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22 / 05 / </w:t>
      </w:r>
      <w:r w:rsidDel="00000000" w:rsidR="00000000" w:rsidRPr="00000000">
        <w:rPr>
          <w:rtl w:val="0"/>
        </w:rPr>
        <w:t xml:space="preserve">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90096" cy="13001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096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>
          <w:i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Dodatkowy tryb rozgrywki w Agony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Deweloper </w:t>
      </w:r>
      <w:r w:rsidDel="00000000" w:rsidR="00000000" w:rsidRPr="00000000">
        <w:rPr>
          <w:b w:val="1"/>
          <w:rtl w:val="0"/>
        </w:rPr>
        <w:t xml:space="preserve">Madmind Studios </w:t>
      </w:r>
      <w:r w:rsidDel="00000000" w:rsidR="00000000" w:rsidRPr="00000000">
        <w:rPr>
          <w:rtl w:val="0"/>
        </w:rPr>
        <w:t xml:space="preserve">oraz wydawca gry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Agony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w Polsce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b w:val="1"/>
          <w:rtl w:val="0"/>
        </w:rPr>
        <w:t xml:space="preserve">Wydawnictwo Techland, </w:t>
      </w:r>
      <w:r w:rsidDel="00000000" w:rsidR="00000000" w:rsidRPr="00000000">
        <w:rPr>
          <w:rtl w:val="0"/>
        </w:rPr>
        <w:t xml:space="preserve">będące partnerem Koch Media, ogłaszają informacje o nowym trybie, który znajdzie się w nadchodzącej grze</w:t>
      </w:r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b w:val="1"/>
          <w:i w:val="1"/>
          <w:rtl w:val="0"/>
        </w:rPr>
        <w:t xml:space="preserve">Agony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trafi na sklepowe półki</w:t>
      </w:r>
      <w:r w:rsidDel="00000000" w:rsidR="00000000" w:rsidRPr="00000000">
        <w:rPr>
          <w:b w:val="1"/>
          <w:rtl w:val="0"/>
        </w:rPr>
        <w:t xml:space="preserve"> 29 maja w wersjach na PC, PlayStation 4 oraz Xbox One.</w:t>
      </w:r>
    </w:p>
    <w:p w:rsidR="00000000" w:rsidDel="00000000" w:rsidP="00000000" w:rsidRDefault="00000000" w:rsidRPr="00000000" w14:paraId="00000005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contextualSpacing w:val="0"/>
        <w:jc w:val="center"/>
        <w:rPr>
          <w:b w:val="1"/>
        </w:rPr>
      </w:pPr>
      <w:hyperlink r:id="rId7">
        <w:r w:rsidDel="00000000" w:rsidR="00000000" w:rsidRPr="00000000">
          <w:rPr>
            <w:b w:val="1"/>
            <w:color w:val="1155cc"/>
            <w:u w:val="single"/>
          </w:rPr>
          <w:drawing>
            <wp:inline distB="114300" distT="114300" distL="114300" distR="114300">
              <wp:extent cx="5291138" cy="2979561"/>
              <wp:effectExtent b="0" l="0" r="0" t="0"/>
              <wp:docPr id="4" name="image8.jpg"/>
              <a:graphic>
                <a:graphicData uri="http://schemas.openxmlformats.org/drawingml/2006/picture">
                  <pic:pic>
                    <pic:nvPicPr>
                      <pic:cNvPr id="0" name="image8.jp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91138" cy="297956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contextualSpacing w:val="0"/>
        <w:jc w:val="center"/>
        <w:rPr>
          <w:i w:val="1"/>
        </w:rPr>
      </w:pPr>
      <w:hyperlink r:id="rId9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Zwiastun trybu Agony -- </w:t>
        </w:r>
      </w:hyperlink>
      <w:hyperlink r:id="rId10">
        <w:r w:rsidDel="00000000" w:rsidR="00000000" w:rsidRPr="00000000">
          <w:rPr>
            <w:rFonts w:ascii="Roboto" w:cs="Roboto" w:eastAsia="Roboto" w:hAnsi="Roboto"/>
            <w:i w:val="1"/>
            <w:color w:val="1155cc"/>
            <w:sz w:val="20"/>
            <w:szCs w:val="20"/>
            <w:u w:val="single"/>
            <w:rtl w:val="0"/>
          </w:rPr>
          <w:t xml:space="preserve">https://youtu.be/s3NwRCJvaPE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Tryb Agonii</w:t>
      </w:r>
      <w:r w:rsidDel="00000000" w:rsidR="00000000" w:rsidRPr="00000000">
        <w:rPr>
          <w:rtl w:val="0"/>
        </w:rPr>
        <w:t xml:space="preserve"> to </w:t>
      </w:r>
      <w:r w:rsidDel="00000000" w:rsidR="00000000" w:rsidRPr="00000000">
        <w:rPr>
          <w:b w:val="1"/>
          <w:rtl w:val="0"/>
        </w:rPr>
        <w:t xml:space="preserve">losowo generowane poziomy i rozgrywka, która wystawi na ciężką próbę umiejętności gracza</w:t>
      </w:r>
      <w:r w:rsidDel="00000000" w:rsidR="00000000" w:rsidRPr="00000000">
        <w:rPr>
          <w:rtl w:val="0"/>
        </w:rPr>
        <w:t xml:space="preserve">. W tajemniczych labiryntach z ludzkich kości i komnatach zmrożonych lodem, na śmiałków czekają losowe wyzwania. Mogą nimi być np. zebranie dziesięciu figurek rozsianych po poziomie. Rozgrywkę wieńczy śmierć, a całość podsumowywana jest oceną. Swoje osiągnięcia będzie można porównać z innymi graczami dzięki globalnym rankingom. </w:t>
      </w:r>
    </w:p>
    <w:p w:rsidR="00000000" w:rsidDel="00000000" w:rsidP="00000000" w:rsidRDefault="00000000" w:rsidRPr="00000000" w14:paraId="0000000A">
      <w:pPr>
        <w:spacing w:line="360" w:lineRule="auto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contextualSpacing w:val="0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Agony</w:t>
      </w:r>
      <w:r w:rsidDel="00000000" w:rsidR="00000000" w:rsidRPr="00000000">
        <w:rPr>
          <w:b w:val="1"/>
          <w:rtl w:val="0"/>
        </w:rPr>
        <w:t xml:space="preserve"> przeniesie gracza w sam środek piekła, a jego zadaniem w brutalnym świecie będzie rozwiązanie tajemnicy Czerwonej Bogini.</w:t>
      </w:r>
      <w:r w:rsidDel="00000000" w:rsidR="00000000" w:rsidRPr="00000000">
        <w:rPr>
          <w:rtl w:val="0"/>
        </w:rPr>
        <w:t xml:space="preserve"> Ta bowiem jako jedyna zna drogę ucieczki z miejsca przepełnionego cierpieniem i rozpaczą. Nękany przez koszmarne stworzenia gracz uczy się z czasem przejmować kontrolę nad demonami i zagubionymi duszami, by spróbować uciec z piekła.</w:t>
      </w:r>
      <w:r w:rsidDel="00000000" w:rsidR="00000000" w:rsidRPr="00000000">
        <w:rPr>
          <w:rtl w:val="0"/>
        </w:rPr>
        <w:t xml:space="preserve"> Oprócz dodatkowego trybu z wyzwaniami, gwoździem programu w </w:t>
      </w:r>
      <w:r w:rsidDel="00000000" w:rsidR="00000000" w:rsidRPr="00000000">
        <w:rPr>
          <w:b w:val="1"/>
          <w:i w:val="1"/>
          <w:rtl w:val="0"/>
        </w:rPr>
        <w:t xml:space="preserve">Agony</w:t>
      </w:r>
      <w:r w:rsidDel="00000000" w:rsidR="00000000" w:rsidRPr="00000000">
        <w:rPr>
          <w:b w:val="1"/>
          <w:rtl w:val="0"/>
        </w:rPr>
        <w:t xml:space="preserve"> jest pełnoprawny tryb fabularny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43538" cy="3065381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3538" cy="3065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u w:val="single"/>
          <w:rtl w:val="0"/>
        </w:rPr>
        <w:t xml:space="preserve">O firmie Techland</w:t>
      </w:r>
    </w:p>
    <w:p w:rsidR="00000000" w:rsidDel="00000000" w:rsidP="00000000" w:rsidRDefault="00000000" w:rsidRPr="00000000" w14:paraId="00000013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Techland, niezależny producent gier, dystrybutor i globalny wydawca, powstał w 1991 roku. Polska firma znana jest najbardziej z gier Dead Island, Call of Juarez oraz Dying Light i dodatku Dying Light: The Following. Łącznie marka Dying Light przyciągnęła ponad 10 milionów graczy. Aktualnie pracuje nad dwiema grami z segmentu AAA, które ujrzą światło dzienne w ciągu najbliższych trzech lat.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 2016 roku Techland rozszerzył swoją działalność o wydawnictwo ogólnoświatowe pod marką Techland Publishing. Na początku 2017 roku firma wydała Torment: Tides of Numenera – ciepło przyjętego duchowego spadkobiercę legendarnego Planescape: Torment. Obecnie firma przygotowuje się do wydania Pure Farming 2018 oraz kilku produkcji firm trzecich.</w:t>
      </w:r>
    </w:p>
    <w:p w:rsidR="00000000" w:rsidDel="00000000" w:rsidP="00000000" w:rsidRDefault="00000000" w:rsidRPr="00000000" w14:paraId="00000015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 tworzy i wydaje najwyższej jakości produkcje na wiodących platformach – PC, Sony PlayStation 4 oraz Microsoft Xbox One. W czterech biurach znajdujących się na terenie Polski oraz Kanady pracuje ponad 350 utalentowanych osób. Każdym swoim produktem firma stara się dostarczać niezapomnianych przeżyć, korzystając przy tym z najświeższych i innowacyjnych technologii.</w:t>
      </w:r>
    </w:p>
    <w:p w:rsidR="00000000" w:rsidDel="00000000" w:rsidP="00000000" w:rsidRDefault="00000000" w:rsidRPr="00000000" w14:paraId="00000017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Więcej informacji o firmie Techland znajdziesz na oficjalnych stronach: http://techlandpublishing.com oraz </w:t>
      </w:r>
      <w:hyperlink r:id="rId12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16"/>
            <w:szCs w:val="16"/>
            <w:u w:val="single"/>
            <w:rtl w:val="0"/>
          </w:rPr>
          <w:t xml:space="preserve">http://techland.pl</w:t>
        </w:r>
      </w:hyperlink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Wszystkie nazwy produktów, wydawców, znaki handlowe, materiały graficzne oraz powiązane grafiki i znaki handlowe, zarejestrowane znaki handlowe i/lub materiały chronione prawami autorskimi są własnością odpowiednich właścicieli. Wszelkie prawa zastrzeżone.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contextualSpacing w:val="0"/>
        <w:jc w:val="center"/>
        <w:rPr>
          <w:rFonts w:ascii="Calibri" w:cs="Calibri" w:eastAsia="Calibri" w:hAnsi="Calibri"/>
          <w:b w:val="1"/>
        </w:rPr>
      </w:pPr>
      <w:bookmarkStart w:colFirst="0" w:colLast="0" w:name="_yq069kaxjwne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Kontakt dla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Konrad Adamczewski | Anna Łada-Grodzicka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contextualSpacing w:val="0"/>
        <w:rPr/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konrad.adamczewski@techland.pl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| </w:t>
      </w:r>
      <w:hyperlink r:id="rId1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anna.lada.grodzicka@techland.pl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355600"/>
          <wp:effectExtent b="0" l="0" r="0" t="0"/>
          <wp:docPr id="3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35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901700"/>
          <wp:effectExtent b="0" l="0" r="0" t="0"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hyperlink" Target="https://youtu.be/s3NwRCJvaPE" TargetMode="External"/><Relationship Id="rId13" Type="http://schemas.openxmlformats.org/officeDocument/2006/relationships/hyperlink" Target="mailto:konrad.adamczewski@techland.pl" TargetMode="External"/><Relationship Id="rId12" Type="http://schemas.openxmlformats.org/officeDocument/2006/relationships/hyperlink" Target="http://techland.p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s3NwRCJvaPE" TargetMode="External"/><Relationship Id="rId15" Type="http://schemas.openxmlformats.org/officeDocument/2006/relationships/header" Target="header1.xml"/><Relationship Id="rId14" Type="http://schemas.openxmlformats.org/officeDocument/2006/relationships/hyperlink" Target="mailto:anna.lada.grodzicka@techland.pl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youtu.be/s3NwRCJvaPE" TargetMode="External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