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7E3F" w14:textId="7EE78895" w:rsidR="00DC31F4" w:rsidRPr="006528D5" w:rsidRDefault="007D4A8A" w:rsidP="00FB2D25">
      <w:pPr>
        <w:tabs>
          <w:tab w:val="left" w:pos="8235"/>
        </w:tabs>
        <w:spacing w:line="264" w:lineRule="auto"/>
        <w:ind w:right="567"/>
        <w:jc w:val="center"/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</w:pPr>
      <w:r w:rsidRPr="006528D5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Sezon na bezpieczeństwo!</w:t>
      </w:r>
    </w:p>
    <w:p w14:paraId="175CD461" w14:textId="2611E028" w:rsidR="00E60D96" w:rsidRPr="006528D5" w:rsidRDefault="001C217C" w:rsidP="007D4A8A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3B604E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7D4A8A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16</w:t>
      </w:r>
      <w:r w:rsidR="00805ABD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7D4A8A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października</w:t>
      </w:r>
      <w:r w:rsidR="003B604E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2018 </w:t>
      </w:r>
      <w:r w:rsidR="00CC247B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F70B04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6D64DF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Aż 94% polskich kierowców </w:t>
      </w:r>
      <w:r w:rsidR="006528D5" w:rsidRPr="00F748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</w:t>
      </w:r>
      <w:r w:rsidR="006D64DF" w:rsidRPr="00F748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mienia opony na zimowe</w:t>
      </w:r>
      <w:r w:rsidR="00F748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pomimo, że</w:t>
      </w:r>
      <w:r w:rsidR="006D64DF" w:rsidRPr="00F748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 Polsce nie ma prawnego obowiąz</w:t>
      </w:r>
      <w:r w:rsidR="006D64DF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ku sezonowej wymiany ogumienia</w:t>
      </w:r>
      <w:r w:rsidR="00E60D96" w:rsidRPr="00F748DF">
        <w:rPr>
          <w:rStyle w:val="Odwoanieprzypisudolnego"/>
          <w:rFonts w:ascii="Arial" w:hAnsi="Arial"/>
          <w:b/>
          <w:color w:val="000000"/>
          <w:sz w:val="22"/>
          <w:szCs w:val="22"/>
          <w:shd w:val="clear" w:color="auto" w:fill="FFFFFF"/>
        </w:rPr>
        <w:footnoteReference w:id="1"/>
      </w:r>
      <w:r w:rsidR="00E60D96" w:rsidRPr="00F748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 Większość zmotoryzowanych zdaje sobie sprawę, że dostosowanie rodzaju opon do warunków atmosferycznych</w:t>
      </w:r>
      <w:r w:rsidR="007900E0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E60D96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ma kluczowy wpływ na bezpieczeństwo jazdy. </w:t>
      </w:r>
    </w:p>
    <w:p w14:paraId="535CBECE" w14:textId="77777777" w:rsidR="009F2DDB" w:rsidRPr="006528D5" w:rsidRDefault="009F2DDB" w:rsidP="007D4A8A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7629FDF" w14:textId="77777777" w:rsidR="009F2DDB" w:rsidRPr="006528D5" w:rsidRDefault="009F2DDB" w:rsidP="009F2DDB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Dlaczego Polacy wybierają opony sezonowe? </w:t>
      </w:r>
    </w:p>
    <w:p w14:paraId="5BD0E15D" w14:textId="5EDE8E43" w:rsidR="009F2DDB" w:rsidRPr="006528D5" w:rsidRDefault="009F2DDB" w:rsidP="007D4A8A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Wyniki badań wskazują, że większość kierowców jeżdżących po polskich drogach jest świadoma zalet wynikających z jazdy na ogumieniu dostosowanym do pory roku –</w:t>
      </w:r>
      <w:r w:rsidRPr="006528D5"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sezonowe 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zapewniają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najwyższy poziom bezpieczeństwa podczas jazdy w warunkach atmosferycznych i drogowych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do których zostały przystosowane. Wysokiej jakości opona zimowa zapewnia optymalne właściwości jezdne podczas jazdy w niskich temperaturach, po śniegu, błocie pośniegowym czy w czasie gołoledzi. Natomiast ogumienie letnie gwarantuje najlepsze właściwości na suchej oraz mokrej nawierzchni</w:t>
      </w:r>
      <w:r w:rsidR="00FB2D25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okresie letnim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924A88" w:rsidRPr="006528D5">
        <w:t xml:space="preserve"> </w:t>
      </w:r>
    </w:p>
    <w:p w14:paraId="7C9A65F2" w14:textId="77777777" w:rsidR="0060106C" w:rsidRPr="006528D5" w:rsidRDefault="0060106C" w:rsidP="0060106C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983EFB" w14:textId="7940D55F" w:rsidR="0060106C" w:rsidRPr="006528D5" w:rsidRDefault="00D729D4" w:rsidP="0060106C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Dwa komplety opon na</w:t>
      </w:r>
      <w:r w:rsidR="0060106C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cały rok</w:t>
      </w:r>
    </w:p>
    <w:p w14:paraId="1C9BC678" w14:textId="422EA1D3" w:rsidR="00C46BA7" w:rsidRPr="00F748DF" w:rsidRDefault="006528D5" w:rsidP="0060106C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Klimat Polski charakteryzuje się dużą zmiennością pogody. Nasz kraj znajduje</w:t>
      </w:r>
      <w:r w:rsidR="006D64DF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się w strefie oddziaływania czynników klimatu zarówno morskiego (od zachodu), jak i l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ądowego (od wschodu). Większy wpływ klimatu lądowego wywołuje np. suche, upalne lato czy</w:t>
      </w:r>
      <w:r w:rsidR="006D64DF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mroźną zimę. </w:t>
      </w:r>
      <w:r w:rsidR="006D64DF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kolei deszczowe lato </w:t>
      </w:r>
      <w:r w:rsidR="00427D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efektem </w:t>
      </w:r>
      <w:r w:rsidR="006D64DF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działania czynników klimatu morskiego.</w:t>
      </w:r>
      <w:r w:rsidRPr="006528D5"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Wartości średniej rocznej temperatury powietrza wahają się od nieco powyżej 5°C do około 9°C.</w:t>
      </w:r>
      <w:r w:rsidRPr="006528D5"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Charakterystyczną cechą klimatu Polski jest także wyraźny podział na okres zimowy i letni. P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ierwszy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trwa 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 listopada </w:t>
      </w:r>
      <w:r w:rsidR="006563C2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do</w:t>
      </w:r>
      <w:r w:rsidR="006D64DF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733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kwietnia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średnia miesięczna temperatura powietrza w Polsce w tych miesiącach</w:t>
      </w:r>
      <w:r w:rsidR="006D64DF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poniżej 7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⁰C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. Kwiecień, zgodnie ze starym porzekadłem, przeplata lato oraz zimę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nierzadko w ramach jednej doby mamy dość drastyczne zmiany pogody.</w:t>
      </w:r>
      <w:r w:rsidR="007900E0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ubiegłym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roku, w kwietniu 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temperatura utrzymała się 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a poziomie 7,1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⁰C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co </w:t>
      </w:r>
      <w:r w:rsidR="007900E0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według Continental, producenta opon i wiodącego dostawcy dla branży motoryzacyjnej, stanowi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granicę wymiany opon sezonowych. Z kolei od maja do października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 2017 roku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pan</w:t>
      </w:r>
      <w:r w:rsidR="00F0683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ował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</w:t>
      </w:r>
      <w:r w:rsidR="007900E0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zon, w którym doskonale sprawdzają się opony letnie</w:t>
      </w:r>
      <w:r w:rsidR="0060106C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więcej, 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według wieloletnich danych klimatycznych IMGW opady deszczu i śniegu w Polsce występują 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przez 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niemal sześć miesięcy 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w związku z tym jazda na oponach letnich przez cały rok 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bardzo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niebezpieczna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. Już w temperaturze 6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⁰C, na mokrej nawierzchni droga hamowania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prędkości 80km/h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opo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nach zimowych będzie krótsza o 7 metrów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stosunku do opon letnich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Na 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zaśnieżonej drodze</w:t>
      </w:r>
      <w:r w:rsidR="00C46BA7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dla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C3844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prędkości 48km/h ta różnica wynosi 31 metrów</w:t>
      </w:r>
      <w:r w:rsidR="009C3844" w:rsidRPr="00F748DF">
        <w:rPr>
          <w:rStyle w:val="Odwoanieprzypisudolnego"/>
          <w:rFonts w:ascii="Arial" w:hAnsi="Arial"/>
          <w:color w:val="000000"/>
          <w:sz w:val="22"/>
          <w:szCs w:val="22"/>
          <w:shd w:val="clear" w:color="auto" w:fill="FFFFFF"/>
        </w:rPr>
        <w:footnoteReference w:id="2"/>
      </w:r>
      <w:r w:rsidR="009C3844" w:rsidRPr="00F748DF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</w:p>
    <w:p w14:paraId="51F1992C" w14:textId="77777777" w:rsidR="000E57FD" w:rsidRPr="006528D5" w:rsidRDefault="000E57FD" w:rsidP="007900E0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D4AC04A" w14:textId="732F93B9" w:rsidR="00DD0325" w:rsidRPr="006528D5" w:rsidRDefault="007073AA" w:rsidP="007900E0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Za bezpieczeństwem stoi technologia</w:t>
      </w:r>
    </w:p>
    <w:p w14:paraId="091B7F3F" w14:textId="16379875" w:rsidR="00C13228" w:rsidRPr="006528D5" w:rsidRDefault="00924A88" w:rsidP="00C13228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Opon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ę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letni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ą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charakteryzuje większa zawartość kauczuku syntetycznego w stosunku do naturalnego, co przekłada się na większą sztywność mieszanki. Jest to konieczne ze względu na zakres temperatur w jakich pracuje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ogumienie letnie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, które w wysokich temperaturach musi zapewnić optymalną przyczepność na suchej jak i mokrej nawierzchni.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Kiedy jed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nak temperatura spada 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poniżej 7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⁰C, mieszank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a letnia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traci elastyczność</w:t>
      </w:r>
      <w:r w:rsidR="00F30E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- i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 niższa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temperatura, tym 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twardsza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staje się opona letnia. A to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kolei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przekłada si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ę spadek przylegania do podłoża,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przenoszenia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sił przyspieszania i wydłużenie drogi hamowania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 przypadku ogumienia zimowego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odpowiednia mieszanka zapewnia elastyczność gumy przy temperaturach poniżej 7⁰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C.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Widoczna różnica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pomiędzy oponami sezono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wymi to także rzeźba bieżnika. 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 ogu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mieniu zimowym bieżnik ma 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wiele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A1E9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lamel</w:t>
      </w:r>
      <w:r w:rsidR="008541D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336A1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, co ułatwia przejazd po nawierzchni pokrytej błotem pośniegowym lub śniegiem</w:t>
      </w:r>
      <w:r w:rsidR="00AA1E9B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kolei bieżnik opon letnich jest tak zaprojektowany, aby skutecznie odprowadzać wodę – ze śniegiem czy błotem pośniegowym tak dobrze sobie nie radzi. </w:t>
      </w:r>
    </w:p>
    <w:p w14:paraId="3786E5F8" w14:textId="77777777" w:rsidR="00C13228" w:rsidRPr="006528D5" w:rsidRDefault="00C13228" w:rsidP="00AA1E9B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6458E53" w14:textId="21BE3667" w:rsidR="00AA1E9B" w:rsidRPr="006528D5" w:rsidRDefault="00AA1E9B" w:rsidP="00AA1E9B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,,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są jedynym elementem, który łączy samochód z nawierzchnią. </w:t>
      </w:r>
      <w:r w:rsidR="00332F30">
        <w:rPr>
          <w:rFonts w:ascii="Arial" w:hAnsi="Arial" w:cs="Arial"/>
          <w:color w:val="000000"/>
          <w:sz w:val="22"/>
          <w:szCs w:val="22"/>
          <w:shd w:val="clear" w:color="auto" w:fill="FFFFFF"/>
        </w:rPr>
        <w:t>Sezonowe o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gumienie wysokiej jakości zapewnia</w:t>
      </w:r>
      <w:r w:rsidR="00332F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7D85">
        <w:rPr>
          <w:rFonts w:ascii="Arial" w:hAnsi="Arial" w:cs="Arial"/>
          <w:color w:val="000000"/>
          <w:sz w:val="22"/>
          <w:szCs w:val="22"/>
          <w:shd w:val="clear" w:color="auto" w:fill="FFFFFF"/>
        </w:rPr>
        <w:t>najwyższy poziom bezpieczeństwa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, a co za tym id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zie ogranicza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7D8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ryzyko wypadku. Dlatego zakupu 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opon sezonowych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nie nal</w:t>
      </w:r>
      <w:r w:rsidR="000E57FD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eży traktować jako wydat</w:t>
      </w:r>
      <w:r w:rsidR="00332F30">
        <w:rPr>
          <w:rFonts w:ascii="Arial" w:hAnsi="Arial" w:cs="Arial"/>
          <w:color w:val="000000"/>
          <w:sz w:val="22"/>
          <w:szCs w:val="22"/>
          <w:shd w:val="clear" w:color="auto" w:fill="FFFFFF"/>
        </w:rPr>
        <w:t>ku</w:t>
      </w:r>
      <w:r w:rsidR="000E57FD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427D8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E57FD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ale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2F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jako 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inwestycj</w:t>
      </w:r>
      <w:r w:rsidR="00332F30">
        <w:rPr>
          <w:rFonts w:ascii="Arial" w:hAnsi="Arial" w:cs="Arial"/>
          <w:color w:val="000000"/>
          <w:sz w:val="22"/>
          <w:szCs w:val="22"/>
          <w:shd w:val="clear" w:color="auto" w:fill="FFFFFF"/>
        </w:rPr>
        <w:t>ę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bezpieczeństwo – własne, swojej rodziny i innych uczestników ruchu</w:t>
      </w:r>
      <w:r w:rsidR="00FB2D25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drogowego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Aby zagwarantować maksymalne bezpieczeństwo oraz doskonałe osiągi w każdej sytuacji na drodze, Continental zaleca stosowanie opon letnich latem i opon zimowych zimą. </w:t>
      </w:r>
      <w:r w:rsidR="00427D8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Bo w Continental sezon na bezpieczeństwo trwa cały rok!</w:t>
      </w:r>
      <w:r w:rsidR="00C13228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– powiedział </w:t>
      </w:r>
      <w:r w:rsidR="00C13228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Łukasz Kusiak</w:t>
      </w:r>
      <w:bookmarkStart w:id="0" w:name="_GoBack"/>
      <w:bookmarkEnd w:id="0"/>
      <w:r w:rsidR="00C13228" w:rsidRPr="006528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Product Manager w Continental Opony Polska. </w:t>
      </w:r>
    </w:p>
    <w:p w14:paraId="5760F254" w14:textId="77777777" w:rsidR="000E57FD" w:rsidRPr="006528D5" w:rsidRDefault="000E57FD" w:rsidP="00C864C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B8F08F" w14:textId="77777777" w:rsidR="00435B6E" w:rsidRDefault="00767D66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Zgodnie z Raportem Komisji Europejskiej używanie opon zimowych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okresie zimowym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zmniejsz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ryzyko wypadku aż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o 46 proc</w:t>
      </w:r>
      <w:r w:rsidRPr="00F748DF">
        <w:rPr>
          <w:rStyle w:val="Odwoanieprzypisudolnego"/>
          <w:rFonts w:ascii="Arial" w:hAnsi="Arial"/>
          <w:color w:val="000000"/>
          <w:sz w:val="22"/>
          <w:szCs w:val="22"/>
          <w:shd w:val="clear" w:color="auto" w:fill="FFFFFF"/>
        </w:rPr>
        <w:footnoteReference w:id="3"/>
      </w:r>
      <w:r w:rsidRPr="00F748DF">
        <w:rPr>
          <w:rFonts w:ascii="Arial" w:hAnsi="Arial" w:cs="Arial"/>
          <w:color w:val="000000"/>
          <w:sz w:val="22"/>
          <w:szCs w:val="22"/>
          <w:shd w:val="clear" w:color="auto" w:fill="FFFFFF"/>
        </w:rPr>
        <w:t>! Dlatego jednym z celów Continental jest zwiększenie</w:t>
      </w:r>
      <w:r w:rsidR="00EA4332" w:rsidRPr="00F748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świadomości kierowców na temat tego,</w:t>
      </w:r>
      <w:r w:rsidR="00EA433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że jazda na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oponach sezonowych, dostosowanych </w:t>
      </w:r>
      <w:r w:rsidR="00EA433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panujących warunków atmosferycznych ma ogromny wpływ na bezpieczeństwo.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Firma od wielu lat projektuje </w:t>
      </w:r>
      <w:r w:rsidR="00FB2D25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zaawansowane technologicznie opony sezonowe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oraz wdraża rozwiązana, które przyczyniają się 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do poprawy bezpieczeństwa na drogach. Swoją str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ategię działania w tym obszarze 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zawarł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C3F62"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528D5">
        <w:rPr>
          <w:rFonts w:ascii="Arial" w:hAnsi="Arial" w:cs="Arial"/>
          <w:color w:val="000000"/>
          <w:sz w:val="22"/>
          <w:szCs w:val="22"/>
          <w:shd w:val="clear" w:color="auto" w:fill="FFFFFF"/>
        </w:rPr>
        <w:t>w Wizji Zero – wspieranej przez innowacje Continental - która zakłada całkowite wyeliminowanie wypadków drogowych</w:t>
      </w:r>
      <w:r w:rsidR="00435B6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0B1AB76" w14:textId="77777777" w:rsidR="00435B6E" w:rsidRDefault="00435B6E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E5FC13" w14:textId="77777777" w:rsidR="00435B6E" w:rsidRDefault="003D19A1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6528D5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912086" w:rsidRPr="006528D5">
        <w:rPr>
          <w:rFonts w:ascii="Arial" w:hAnsi="Arial" w:cs="Arial"/>
          <w:sz w:val="16"/>
          <w:szCs w:val="16"/>
        </w:rPr>
        <w:t xml:space="preserve"> </w:t>
      </w:r>
      <w:r w:rsidRPr="006528D5">
        <w:rPr>
          <w:rFonts w:ascii="Arial" w:hAnsi="Arial" w:cs="Arial"/>
          <w:sz w:val="16"/>
          <w:szCs w:val="16"/>
        </w:rPr>
        <w:t xml:space="preserve">Założona </w:t>
      </w:r>
      <w:r w:rsidRPr="006528D5">
        <w:rPr>
          <w:rFonts w:ascii="Arial" w:hAnsi="Arial" w:cs="Arial"/>
          <w:sz w:val="16"/>
          <w:szCs w:val="16"/>
        </w:rPr>
        <w:br/>
        <w:t xml:space="preserve">w 1871 roku firma technologiczna dostarcza bezpieczne, inteligentne i wydajne rozwiązania dla pojazdów, maszyn, ruchu drogowego </w:t>
      </w:r>
      <w:r w:rsidR="00435B6E">
        <w:rPr>
          <w:rFonts w:ascii="Arial" w:hAnsi="Arial" w:cs="Arial"/>
          <w:sz w:val="16"/>
          <w:szCs w:val="16"/>
        </w:rPr>
        <w:br/>
      </w:r>
      <w:r w:rsidRPr="006528D5">
        <w:rPr>
          <w:rFonts w:ascii="Arial" w:hAnsi="Arial" w:cs="Arial"/>
          <w:sz w:val="16"/>
          <w:szCs w:val="16"/>
        </w:rPr>
        <w:t>i transportu. W 2017 roku wartość sprzedaży wyniosła 44 mld EUR. Continental zatrudnia obecnie ponad 240 000 pracowników w 61 krajach.</w:t>
      </w:r>
    </w:p>
    <w:p w14:paraId="2F6CE44C" w14:textId="77777777" w:rsidR="00435B6E" w:rsidRDefault="00435B6E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760B7A0" w14:textId="77777777" w:rsidR="00435B6E" w:rsidRDefault="003D19A1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>Obecnie Dział Opon</w:t>
      </w:r>
      <w:r w:rsidRPr="006528D5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6528D5">
        <w:rPr>
          <w:rFonts w:ascii="Arial" w:hAnsi="Arial" w:cs="Arial"/>
          <w:sz w:val="16"/>
          <w:szCs w:val="16"/>
        </w:rPr>
        <w:br/>
        <w:t>i nieustanne inwestycje w badania i rozwój znacząco przyczyniają się do rozwoju wydajnej kosztowo i przyjaznej dla środowiska</w:t>
      </w:r>
      <w:r w:rsidR="00367F81" w:rsidRPr="006528D5">
        <w:rPr>
          <w:rFonts w:ascii="Arial" w:hAnsi="Arial" w:cs="Arial"/>
          <w:sz w:val="16"/>
          <w:szCs w:val="16"/>
        </w:rPr>
        <w:t xml:space="preserve"> </w:t>
      </w:r>
      <w:r w:rsidR="00367F81" w:rsidRPr="006528D5">
        <w:rPr>
          <w:rFonts w:ascii="Arial" w:hAnsi="Arial" w:cs="Arial"/>
          <w:sz w:val="16"/>
          <w:szCs w:val="16"/>
        </w:rPr>
        <w:br/>
      </w:r>
      <w:r w:rsidRPr="006528D5">
        <w:rPr>
          <w:rFonts w:ascii="Arial" w:hAnsi="Arial" w:cs="Arial"/>
          <w:sz w:val="16"/>
          <w:szCs w:val="16"/>
        </w:rPr>
        <w:t>naturalnego mobilności. Jako jeden z czołowych producentów opon na świecie, zatrudniający około 50 000 pracowników Dział Opon osiągnął w 2016 roku sprzedaż o wartości 10,7 mld EURO</w:t>
      </w:r>
    </w:p>
    <w:p w14:paraId="6BC3B652" w14:textId="77777777" w:rsidR="00435B6E" w:rsidRDefault="00435B6E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40CF7A" w14:textId="77777777" w:rsidR="00435B6E" w:rsidRDefault="003D19A1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="00367F81" w:rsidRPr="006528D5">
        <w:rPr>
          <w:rFonts w:ascii="Arial" w:hAnsi="Arial" w:cs="Arial"/>
          <w:sz w:val="16"/>
          <w:szCs w:val="16"/>
        </w:rPr>
        <w:t xml:space="preserve"> </w:t>
      </w:r>
    </w:p>
    <w:p w14:paraId="69BCCEA6" w14:textId="7264487E" w:rsidR="00BC6EFA" w:rsidRPr="00435B6E" w:rsidRDefault="003D19A1" w:rsidP="00435B6E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8D5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6528D5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="00367F81" w:rsidRPr="006528D5">
        <w:rPr>
          <w:rFonts w:ascii="Arial" w:hAnsi="Arial" w:cs="Arial"/>
          <w:sz w:val="16"/>
          <w:szCs w:val="16"/>
        </w:rPr>
        <w:br/>
      </w:r>
      <w:r w:rsidRPr="006528D5">
        <w:rPr>
          <w:rFonts w:ascii="Arial" w:hAnsi="Arial" w:cs="Arial"/>
          <w:sz w:val="16"/>
          <w:szCs w:val="16"/>
        </w:rPr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4395C79E" w14:textId="77777777" w:rsidR="00435B6E" w:rsidRDefault="00435B6E" w:rsidP="00412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002B09B" w14:textId="77777777" w:rsidR="003D19A1" w:rsidRPr="006528D5" w:rsidRDefault="003D19A1" w:rsidP="00412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528D5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3D19A1" w:rsidRPr="00332F30" w14:paraId="2AC5017B" w14:textId="77777777" w:rsidTr="005733F6">
        <w:trPr>
          <w:cantSplit/>
          <w:trHeight w:hRule="exact" w:val="1407"/>
        </w:trPr>
        <w:tc>
          <w:tcPr>
            <w:tcW w:w="4287" w:type="dxa"/>
          </w:tcPr>
          <w:p w14:paraId="623E13E1" w14:textId="77777777" w:rsidR="003D19A1" w:rsidRPr="00427D8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28D9C52" w14:textId="77777777" w:rsidR="003D19A1" w:rsidRPr="00427D8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Ostapczuk-</w:t>
            </w:r>
            <w:proofErr w:type="spellStart"/>
            <w:r w:rsidRPr="00427D8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Wasilewska</w:t>
            </w:r>
            <w:proofErr w:type="spellEnd"/>
          </w:p>
          <w:p w14:paraId="6724733A" w14:textId="77777777" w:rsidR="00767D66" w:rsidRPr="00427D85" w:rsidRDefault="00767D66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 &amp; Marketing Communications Manager </w:t>
            </w:r>
          </w:p>
          <w:p w14:paraId="1C8CCAEE" w14:textId="7C65719A" w:rsidR="003D19A1" w:rsidRPr="00F748D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48DF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6528D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28D5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6528D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28D5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F748D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28D5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F748DF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3CAE46A0" w14:textId="77777777" w:rsidR="003D19A1" w:rsidRPr="006528D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D83827" w14:textId="77777777" w:rsidR="003D19A1" w:rsidRPr="006528D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EE357" w14:textId="77777777" w:rsidR="003D19A1" w:rsidRPr="00427D85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68948321" w14:textId="77777777" w:rsidR="003D19A1" w:rsidRPr="00427D85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24777304" w14:textId="77777777" w:rsidR="003D19A1" w:rsidRPr="00427D85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</w:t>
            </w:r>
            <w:proofErr w:type="spellEnd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Communication</w:t>
            </w:r>
          </w:p>
          <w:p w14:paraId="158414C2" w14:textId="77777777" w:rsidR="003D19A1" w:rsidRPr="00427D85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427D8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071D01B7" w14:textId="61DFDDB0" w:rsidR="003D19A1" w:rsidRPr="00427D85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D85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27D85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="00912086" w:rsidRPr="00427D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ED77589" w14:textId="77777777" w:rsidR="003D19A1" w:rsidRPr="00427D85" w:rsidRDefault="003D19A1" w:rsidP="0041276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5724B947" w14:textId="365C0E9D" w:rsidR="00ED33A1" w:rsidRPr="00F748DF" w:rsidRDefault="003D19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6528D5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F748DF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ED33A1" w:rsidRPr="00F748DF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6AD34" w16cid:durableId="1F6B17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8855" w14:textId="77777777" w:rsidR="006B0FE1" w:rsidRDefault="006B0FE1">
      <w:r>
        <w:separator/>
      </w:r>
    </w:p>
  </w:endnote>
  <w:endnote w:type="continuationSeparator" w:id="0">
    <w:p w14:paraId="4FB6F2FE" w14:textId="77777777" w:rsidR="006B0FE1" w:rsidRDefault="006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E2B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54D3" w14:textId="77777777" w:rsidR="006B0FE1" w:rsidRDefault="006B0FE1">
      <w:r>
        <w:separator/>
      </w:r>
    </w:p>
  </w:footnote>
  <w:footnote w:type="continuationSeparator" w:id="0">
    <w:p w14:paraId="6E907664" w14:textId="77777777" w:rsidR="006B0FE1" w:rsidRDefault="006B0FE1">
      <w:r>
        <w:continuationSeparator/>
      </w:r>
    </w:p>
  </w:footnote>
  <w:footnote w:id="1">
    <w:p w14:paraId="24F45208" w14:textId="44F74B80" w:rsidR="00E60D96" w:rsidRPr="009C3844" w:rsidRDefault="00E60D96" w:rsidP="00DC7D51">
      <w:pPr>
        <w:pStyle w:val="Tekstprzypisudolnego"/>
        <w:jc w:val="both"/>
        <w:rPr>
          <w:rFonts w:ascii="Arial" w:hAnsi="Arial" w:cs="Arial"/>
          <w:color w:val="000000" w:themeColor="text1"/>
          <w:sz w:val="10"/>
          <w:szCs w:val="10"/>
        </w:rPr>
      </w:pPr>
      <w:r w:rsidRPr="00336A1B">
        <w:rPr>
          <w:rStyle w:val="Odwoanieprzypisudolnego"/>
          <w:rFonts w:ascii="Arial" w:hAnsi="Arial" w:cs="Arial"/>
          <w:color w:val="000000" w:themeColor="text1"/>
          <w:sz w:val="10"/>
          <w:szCs w:val="10"/>
        </w:rPr>
        <w:footnoteRef/>
      </w:r>
      <w:r w:rsidRPr="00336A1B">
        <w:rPr>
          <w:rFonts w:ascii="Arial" w:hAnsi="Arial" w:cs="Arial"/>
          <w:color w:val="000000" w:themeColor="text1"/>
          <w:sz w:val="10"/>
          <w:szCs w:val="10"/>
        </w:rPr>
        <w:t xml:space="preserve"> Badanie przeprowadzono w ostatnim tygodniu grudnia 2016 i pierwszym tygodniu stycznia 2017 r. przez</w:t>
      </w:r>
      <w:r w:rsidR="009F2DDB" w:rsidRPr="00336A1B">
        <w:rPr>
          <w:rFonts w:ascii="Arial" w:hAnsi="Arial" w:cs="Arial"/>
          <w:color w:val="000000" w:themeColor="text1"/>
          <w:sz w:val="10"/>
          <w:szCs w:val="10"/>
        </w:rPr>
        <w:t xml:space="preserve"> </w:t>
      </w:r>
      <w:r w:rsidRPr="00336A1B">
        <w:rPr>
          <w:rFonts w:ascii="Arial" w:hAnsi="Arial" w:cs="Arial"/>
          <w:color w:val="000000" w:themeColor="text1"/>
          <w:sz w:val="10"/>
          <w:szCs w:val="10"/>
        </w:rPr>
        <w:t>rzez Ośrodek Badań Opinii Adama Kowalskiego OBOAK</w:t>
      </w:r>
      <w:r w:rsidR="00C864C6" w:rsidRPr="00336A1B">
        <w:rPr>
          <w:rFonts w:ascii="Arial" w:hAnsi="Arial" w:cs="Arial"/>
          <w:color w:val="000000" w:themeColor="text1"/>
          <w:sz w:val="10"/>
          <w:szCs w:val="10"/>
        </w:rPr>
        <w:t xml:space="preserve">. W badaniu wzięło udział 10 stacji diagnostycznych: </w:t>
      </w:r>
      <w:r w:rsidR="00336A1B">
        <w:rPr>
          <w:rFonts w:ascii="Arial" w:hAnsi="Arial" w:cs="Arial"/>
          <w:color w:val="000000" w:themeColor="text1"/>
          <w:sz w:val="10"/>
          <w:szCs w:val="10"/>
        </w:rPr>
        <w:br/>
      </w:r>
      <w:r w:rsidR="00C864C6" w:rsidRPr="009C3844">
        <w:rPr>
          <w:rFonts w:ascii="Arial" w:hAnsi="Arial" w:cs="Arial"/>
          <w:color w:val="000000" w:themeColor="text1"/>
          <w:sz w:val="10"/>
          <w:szCs w:val="10"/>
        </w:rPr>
        <w:t xml:space="preserve">w Warszawie, Krakowie, Wrocławiu, Gdańsku, Bielsku-Białej, Tarnowie, Zgierzu, Olsztynie, Zamościu i Pile. Diagności sprawdzili w sumie 732 pojazdy osobowe, które w tym czasie przechodziły obowiązkowe badanie techniczne. </w:t>
      </w:r>
    </w:p>
  </w:footnote>
  <w:footnote w:id="2">
    <w:p w14:paraId="78B34F50" w14:textId="1F56EDC4" w:rsidR="009C3844" w:rsidRPr="009C3844" w:rsidRDefault="009C3844">
      <w:pPr>
        <w:pStyle w:val="Tekstprzypisudolnego"/>
        <w:rPr>
          <w:rFonts w:ascii="Arial" w:hAnsi="Arial" w:cs="Arial"/>
          <w:sz w:val="10"/>
          <w:szCs w:val="10"/>
        </w:rPr>
      </w:pPr>
      <w:r w:rsidRPr="009C3844">
        <w:rPr>
          <w:rStyle w:val="Odwoanieprzypisudolnego"/>
          <w:rFonts w:ascii="Arial" w:hAnsi="Arial" w:cs="Arial"/>
          <w:sz w:val="10"/>
          <w:szCs w:val="10"/>
        </w:rPr>
        <w:footnoteRef/>
      </w:r>
      <w:r w:rsidRPr="009C3844">
        <w:rPr>
          <w:rFonts w:ascii="Arial" w:hAnsi="Arial" w:cs="Arial"/>
          <w:sz w:val="10"/>
          <w:szCs w:val="10"/>
        </w:rPr>
        <w:t xml:space="preserve"> https://pzpo.org.pl/aktualnosci/korki-na-letnich-oponach-w-czasie-%C5%9Bniegu.html</w:t>
      </w:r>
    </w:p>
  </w:footnote>
  <w:footnote w:id="3">
    <w:p w14:paraId="33B00C37" w14:textId="77777777" w:rsidR="00767D66" w:rsidRPr="00924A88" w:rsidRDefault="00767D66" w:rsidP="00767D66">
      <w:pPr>
        <w:pStyle w:val="Tekstprzypisudolnego"/>
        <w:rPr>
          <w:rFonts w:ascii="Arial" w:hAnsi="Arial" w:cs="Arial"/>
          <w:sz w:val="16"/>
          <w:szCs w:val="16"/>
        </w:rPr>
      </w:pPr>
      <w:r w:rsidRPr="009C3844">
        <w:rPr>
          <w:rStyle w:val="Odwoanieprzypisudolnego"/>
          <w:rFonts w:ascii="Arial" w:hAnsi="Arial" w:cs="Arial"/>
          <w:sz w:val="10"/>
          <w:szCs w:val="10"/>
        </w:rPr>
        <w:footnoteRef/>
      </w:r>
      <w:r w:rsidRPr="009C3844">
        <w:rPr>
          <w:rFonts w:ascii="Arial" w:hAnsi="Arial" w:cs="Arial"/>
          <w:sz w:val="10"/>
          <w:szCs w:val="10"/>
        </w:rPr>
        <w:t xml:space="preserve"> Komisja Europejska, Raport Studium wybranych aspektów korzystania z opon związanych z bezpieczeństwem, grudzień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5"/>
  </w:num>
  <w:num w:numId="5">
    <w:abstractNumId w:val="37"/>
  </w:num>
  <w:num w:numId="6">
    <w:abstractNumId w:val="12"/>
  </w:num>
  <w:num w:numId="7">
    <w:abstractNumId w:val="35"/>
  </w:num>
  <w:num w:numId="8">
    <w:abstractNumId w:val="20"/>
  </w:num>
  <w:num w:numId="9">
    <w:abstractNumId w:val="38"/>
  </w:num>
  <w:num w:numId="10">
    <w:abstractNumId w:val="33"/>
  </w:num>
  <w:num w:numId="11">
    <w:abstractNumId w:val="41"/>
  </w:num>
  <w:num w:numId="12">
    <w:abstractNumId w:val="3"/>
  </w:num>
  <w:num w:numId="13">
    <w:abstractNumId w:val="39"/>
  </w:num>
  <w:num w:numId="14">
    <w:abstractNumId w:val="13"/>
  </w:num>
  <w:num w:numId="15">
    <w:abstractNumId w:val="9"/>
  </w:num>
  <w:num w:numId="16">
    <w:abstractNumId w:val="31"/>
  </w:num>
  <w:num w:numId="17">
    <w:abstractNumId w:val="14"/>
  </w:num>
  <w:num w:numId="18">
    <w:abstractNumId w:val="19"/>
  </w:num>
  <w:num w:numId="19">
    <w:abstractNumId w:val="16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36"/>
  </w:num>
  <w:num w:numId="27">
    <w:abstractNumId w:val="40"/>
  </w:num>
  <w:num w:numId="28">
    <w:abstractNumId w:val="11"/>
  </w:num>
  <w:num w:numId="29">
    <w:abstractNumId w:val="34"/>
  </w:num>
  <w:num w:numId="30">
    <w:abstractNumId w:val="5"/>
  </w:num>
  <w:num w:numId="31">
    <w:abstractNumId w:val="17"/>
  </w:num>
  <w:num w:numId="32">
    <w:abstractNumId w:val="29"/>
  </w:num>
  <w:num w:numId="33">
    <w:abstractNumId w:val="30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6F10"/>
    <w:rsid w:val="00057BB6"/>
    <w:rsid w:val="00057CD5"/>
    <w:rsid w:val="000606E1"/>
    <w:rsid w:val="000615F4"/>
    <w:rsid w:val="00062FBB"/>
    <w:rsid w:val="000663A8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7758"/>
    <w:rsid w:val="00211870"/>
    <w:rsid w:val="002132B5"/>
    <w:rsid w:val="00213F4B"/>
    <w:rsid w:val="00214AE5"/>
    <w:rsid w:val="00215774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1AF8"/>
    <w:rsid w:val="00332355"/>
    <w:rsid w:val="00332F30"/>
    <w:rsid w:val="00333B57"/>
    <w:rsid w:val="003347C8"/>
    <w:rsid w:val="00334C25"/>
    <w:rsid w:val="00335EB4"/>
    <w:rsid w:val="00336A1B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27D85"/>
    <w:rsid w:val="00430245"/>
    <w:rsid w:val="00432176"/>
    <w:rsid w:val="00433142"/>
    <w:rsid w:val="00435B6E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5025"/>
    <w:rsid w:val="00495CFE"/>
    <w:rsid w:val="00495FEA"/>
    <w:rsid w:val="00496B65"/>
    <w:rsid w:val="00497400"/>
    <w:rsid w:val="004976DD"/>
    <w:rsid w:val="004A182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42A2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F3B"/>
    <w:rsid w:val="005D233C"/>
    <w:rsid w:val="005D2A4A"/>
    <w:rsid w:val="005D3559"/>
    <w:rsid w:val="005D6649"/>
    <w:rsid w:val="005E0065"/>
    <w:rsid w:val="005E0895"/>
    <w:rsid w:val="005E2409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8D5"/>
    <w:rsid w:val="00652D37"/>
    <w:rsid w:val="0065557B"/>
    <w:rsid w:val="006563C2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4A94"/>
    <w:rsid w:val="006A6511"/>
    <w:rsid w:val="006A6BC2"/>
    <w:rsid w:val="006A6FBE"/>
    <w:rsid w:val="006B0965"/>
    <w:rsid w:val="006B0FE1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4DF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1DB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A7338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387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53E2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2C6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91D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3E4A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288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438F"/>
    <w:rsid w:val="00F16BA7"/>
    <w:rsid w:val="00F206D3"/>
    <w:rsid w:val="00F22346"/>
    <w:rsid w:val="00F232DE"/>
    <w:rsid w:val="00F25899"/>
    <w:rsid w:val="00F2727D"/>
    <w:rsid w:val="00F30AD7"/>
    <w:rsid w:val="00F30E2B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0B04"/>
    <w:rsid w:val="00F70B99"/>
    <w:rsid w:val="00F71BF3"/>
    <w:rsid w:val="00F736B7"/>
    <w:rsid w:val="00F7384D"/>
    <w:rsid w:val="00F746C9"/>
    <w:rsid w:val="00F748DF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460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7D266-BBBA-42A3-A796-A01B19A6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6796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4</cp:revision>
  <cp:lastPrinted>2016-05-30T12:59:00Z</cp:lastPrinted>
  <dcterms:created xsi:type="dcterms:W3CDTF">2018-10-12T11:20:00Z</dcterms:created>
  <dcterms:modified xsi:type="dcterms:W3CDTF">2018-10-15T13:06:00Z</dcterms:modified>
</cp:coreProperties>
</file>