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06 / 11 / </w:t>
      </w:r>
      <w:r w:rsidDel="00000000" w:rsidR="00000000" w:rsidRPr="00000000">
        <w:rPr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Karol Bach w zespole </w:t>
      </w:r>
      <w:r w:rsidDel="00000000" w:rsidR="00000000" w:rsidRPr="00000000">
        <w:rPr>
          <w:b w:val="1"/>
          <w:sz w:val="28"/>
          <w:szCs w:val="28"/>
          <w:rtl w:val="0"/>
        </w:rPr>
        <w:t xml:space="preserve">Techlandu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 listopadzie pracę w firmie Techland rozpoczyna Karol Bach. W strukturach spółki zajmuje rolę Chief Financial Officer.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Karol Bach jest absolwentem warszawskiego SGH i amerykańskiej Harvard Business School. Od 2011 roku był zawodowo związany z mBankiem, w którym w ostatnich pięciu latach pełnił rolę Dyrektora Zarządzającego. W strukturach Techlandu jest odpowiedzialny za finanse firmy.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i w:val="1"/>
          <w:rtl w:val="0"/>
        </w:rPr>
        <w:t xml:space="preserve">“Techland obserwowałem od lat. Sukces tej spółki zawsze kojarzyłem z ich podejściem </w:t>
      </w:r>
      <w:r w:rsidDel="00000000" w:rsidR="00000000" w:rsidRPr="00000000">
        <w:rPr>
          <w:i w:val="1"/>
          <w:rtl w:val="0"/>
        </w:rPr>
        <w:t xml:space="preserve">i umiejętnością dialogu, który prowadzą ze swoją społecznością. To dzięki temu tworzyli namacalne zmiany w samej grze, jej kierunku czy finalnej formie produktu, który pojawia się na rynku i odnosi tak duży sukces” </w:t>
      </w:r>
      <w:r w:rsidDel="00000000" w:rsidR="00000000" w:rsidRPr="00000000">
        <w:rPr>
          <w:rtl w:val="0"/>
        </w:rPr>
        <w:t xml:space="preserve">- komentuje Karol Bach, CFO Techlandu. </w:t>
      </w:r>
      <w:r w:rsidDel="00000000" w:rsidR="00000000" w:rsidRPr="00000000">
        <w:rPr>
          <w:i w:val="1"/>
          <w:rtl w:val="0"/>
        </w:rPr>
        <w:t xml:space="preserve">“Teraz, już z nieco innej perspektywy zauważam, że ten potencjał i podejście widać w całości funkcjonowania firmy. Cieszę się z dołączenia do fantastycznego zespołu ludzi oraz możliwości współuczestniczenia w budowaniu wartości Techlandu” - dodaje Bach.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i w:val="1"/>
          <w:rtl w:val="0"/>
        </w:rPr>
        <w:t xml:space="preserve">"Wierzę, że doświadczenia zawodowe Karola, jego zakres wiedzy i wpisujący się w Techland styl pracy, pomogą nam jeszcze dynamiczniej rozwijać się w przyszłości."</w:t>
      </w:r>
      <w:r w:rsidDel="00000000" w:rsidR="00000000" w:rsidRPr="00000000">
        <w:rPr>
          <w:rtl w:val="0"/>
        </w:rPr>
        <w:t xml:space="preserve"> – podsumowuje </w:t>
      </w:r>
      <w:r w:rsidDel="00000000" w:rsidR="00000000" w:rsidRPr="00000000">
        <w:rPr>
          <w:b w:val="1"/>
          <w:rtl w:val="0"/>
        </w:rPr>
        <w:t xml:space="preserve">CEO Techlandu, Paweł Marchewka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Techland</w:t>
      </w:r>
      <w:r w:rsidDel="00000000" w:rsidR="00000000" w:rsidRPr="00000000">
        <w:rPr>
          <w:rtl w:val="0"/>
        </w:rPr>
        <w:t xml:space="preserve"> posiada studia tworzące gry we Wrocławiu i Warszawie, centrum logistyczne w Ostrowie Wielkopolskim oraz prowadzi ogólnoświatową działalność wydawniczą pod szyldem </w:t>
      </w:r>
      <w:r w:rsidDel="00000000" w:rsidR="00000000" w:rsidRPr="00000000">
        <w:rPr>
          <w:b w:val="1"/>
          <w:rtl w:val="0"/>
        </w:rPr>
        <w:t xml:space="preserve">Techland Publishing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W </w:t>
      </w:r>
      <w:r w:rsidDel="00000000" w:rsidR="00000000" w:rsidRPr="00000000">
        <w:rPr>
          <w:b w:val="1"/>
          <w:rtl w:val="0"/>
        </w:rPr>
        <w:t xml:space="preserve">2018 roku </w:t>
      </w:r>
      <w:r w:rsidDel="00000000" w:rsidR="00000000" w:rsidRPr="00000000">
        <w:rPr>
          <w:rtl w:val="0"/>
        </w:rPr>
        <w:t xml:space="preserve">firma</w:t>
      </w:r>
      <w:r w:rsidDel="00000000" w:rsidR="00000000" w:rsidRPr="00000000">
        <w:rPr>
          <w:rtl w:val="0"/>
        </w:rPr>
        <w:t xml:space="preserve"> podczas najważniejszych branżowych targów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b w:val="1"/>
          <w:rtl w:val="0"/>
        </w:rPr>
        <w:t xml:space="preserve"> E3 w Los Angeles</w:t>
      </w:r>
      <w:r w:rsidDel="00000000" w:rsidR="00000000" w:rsidRPr="00000000">
        <w:rPr>
          <w:rtl w:val="0"/>
        </w:rPr>
        <w:t xml:space="preserve">, ogłosiła </w:t>
      </w:r>
      <w:r w:rsidDel="00000000" w:rsidR="00000000" w:rsidRPr="00000000">
        <w:rPr>
          <w:rtl w:val="0"/>
        </w:rPr>
        <w:t xml:space="preserve">kontynuację stanowiącej ogólnoświatowy fenomen </w:t>
      </w:r>
      <w:r w:rsidDel="00000000" w:rsidR="00000000" w:rsidRPr="00000000">
        <w:rPr>
          <w:rtl w:val="0"/>
        </w:rPr>
        <w:t xml:space="preserve">gry o zombie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Dying Light 2</w:t>
      </w:r>
      <w:r w:rsidDel="00000000" w:rsidR="00000000" w:rsidRPr="00000000">
        <w:rPr>
          <w:rtl w:val="0"/>
        </w:rPr>
        <w:t xml:space="preserve">. We wrześniu premierę w wersji wczesnego dostępu miała też samodzielna produkcja nastawiona na sieciowe zmagania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Dying Light: Bad Blood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  <w:u w:val="single"/>
        </w:rPr>
      </w:pPr>
      <w:r w:rsidDel="00000000" w:rsidR="00000000" w:rsidRPr="00000000">
        <w:rPr>
          <w:rtl w:val="0"/>
        </w:rPr>
        <w:t xml:space="preserve">Produkcja i rozwój obu tytułów będą kontynuowane w 2019 roku. Oba powstają we Wrocławiu. Nad oddzielnym, dotychczas nie ogłoszonym projektem, pracuje studio w Warszawie.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contextualSpacing w:val="0"/>
        <w:rPr>
          <w:rFonts w:ascii="Calibri" w:cs="Calibri" w:eastAsia="Calibri" w:hAnsi="Calibri"/>
          <w:b w:val="1"/>
          <w:color w:val="9999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contextualSpacing w:val="0"/>
        <w:rPr>
          <w:rFonts w:ascii="Calibri" w:cs="Calibri" w:eastAsia="Calibri" w:hAnsi="Calibri"/>
          <w:b w:val="1"/>
          <w:color w:val="9999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contextualSpacing w:val="0"/>
        <w:rPr>
          <w:rFonts w:ascii="Calibri" w:cs="Calibri" w:eastAsia="Calibri" w:hAnsi="Calibri"/>
          <w:b w:val="1"/>
          <w:color w:val="999999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u w:val="single"/>
          <w:rtl w:val="0"/>
        </w:rPr>
        <w:t xml:space="preserve">O firmie Techland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Techland, niezależny producent gier, dystrybutor i globalny wydawca, powstał w 1991 roku. Polska firma znana jest najbardziej z gier Dead Island, Call of Juarez oraz Dying Light i dodatku Dying Light: The Following. Łącznie marka Dying Light przyciągnęła ponad 10 milionów graczy. Aktualnie pracuje nad dwiema grami z segmentu AAA, które ujrzą światło dzienne w ciągu najbliższych trzech lat.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W 2016 roku Techland rozszerzył swoją działalność o wydawnictwo ogólnoświatowe pod marką Techland Publishing.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Techland tworzy i wydaje najwyższej jakości produkcje na wiodących platformach – PC, Sony PlayStation 4 oraz Microsoft Xbox One. W czterech biurach znajdujących się na terenie Polski pracuje ponad 400 utalentowanych osób. Każdym swoim produktem firma stara się dostarczać niezapomnianych przeżyć, korzystając przy tym z najświeższych i innowacyjnych technologii.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Więcej informacji o firmie Techland znajdziesz na oficjalnych stronach: http://techlandpublishing.com oraz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16"/>
            <w:szCs w:val="16"/>
            <w:u w:val="single"/>
            <w:rtl w:val="0"/>
          </w:rPr>
          <w:t xml:space="preserve">http://techland.pl</w:t>
        </w:r>
      </w:hyperlink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Wszystkie nazwy produktów, wydawców, znaki handlowe, materiały graficzne oraz powiązane grafiki i znaki handlowe, zarejestrowane znaki handlowe i/lub materiały chronione prawami autorskimi są własnością odpowiednich właścicieli. Wszelkie prawa zastrzeżone.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</w:rPr>
      </w:pPr>
      <w:bookmarkStart w:colFirst="0" w:colLast="0" w:name="_yq069kaxjwne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1d2129"/>
          <w:highlight w:val="whit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Kontakt dla mediów: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Konrad Adamczewski | Anna Łada-Grodzicka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rPr/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konrad.adamczewski@techland.pl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|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anna.lada.grodzicka@techland.pl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357313" cy="51313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48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7313" cy="513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techland.pl" TargetMode="External"/><Relationship Id="rId7" Type="http://schemas.openxmlformats.org/officeDocument/2006/relationships/hyperlink" Target="mailto:konrad.adamczewski@techland.pl" TargetMode="External"/><Relationship Id="rId8" Type="http://schemas.openxmlformats.org/officeDocument/2006/relationships/hyperlink" Target="mailto:anna.lada.grodzicka@techland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