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19" w:rsidRDefault="009D3C40">
      <w:pPr>
        <w:jc w:val="both"/>
        <w:rPr>
          <w:rFonts w:ascii="Arial" w:hAnsi="Arial" w:cs="Arial"/>
          <w:sz w:val="22"/>
          <w:szCs w:val="22"/>
          <w:lang w:val="pl-PL" w:eastAsia="pl-PL"/>
        </w:rPr>
      </w:pPr>
      <w:r>
        <w:rPr>
          <w:rFonts w:ascii="Arial" w:hAnsi="Arial" w:cs="Arial"/>
          <w:sz w:val="22"/>
          <w:szCs w:val="22"/>
          <w:lang w:val="pl-PL" w:eastAsia="pl-PL"/>
        </w:rPr>
        <w:t>Warszawa</w:t>
      </w:r>
      <w:r w:rsidRPr="00395264">
        <w:rPr>
          <w:rFonts w:ascii="Arial" w:hAnsi="Arial" w:cs="Arial"/>
          <w:sz w:val="22"/>
          <w:szCs w:val="22"/>
          <w:lang w:val="pl-PL" w:eastAsia="pl-PL"/>
        </w:rPr>
        <w:t xml:space="preserve">, </w:t>
      </w:r>
      <w:r w:rsidR="00395264" w:rsidRPr="00395264">
        <w:rPr>
          <w:rFonts w:ascii="Arial" w:hAnsi="Arial" w:cs="Arial"/>
          <w:sz w:val="22"/>
          <w:szCs w:val="22"/>
          <w:lang w:val="pl-PL" w:eastAsia="pl-PL"/>
        </w:rPr>
        <w:t>23</w:t>
      </w:r>
      <w:r w:rsidRPr="00395264">
        <w:rPr>
          <w:rFonts w:ascii="Arial" w:hAnsi="Arial" w:cs="Arial"/>
          <w:sz w:val="22"/>
          <w:szCs w:val="22"/>
          <w:lang w:val="pl-PL" w:eastAsia="pl-PL"/>
        </w:rPr>
        <w:t xml:space="preserve"> października</w:t>
      </w:r>
      <w:r>
        <w:rPr>
          <w:rFonts w:ascii="Arial" w:hAnsi="Arial" w:cs="Arial"/>
          <w:sz w:val="22"/>
          <w:szCs w:val="22"/>
          <w:lang w:val="pl-PL" w:eastAsia="pl-PL"/>
        </w:rPr>
        <w:t xml:space="preserve"> 2018 roku</w:t>
      </w:r>
    </w:p>
    <w:p w:rsidR="00D92B19" w:rsidRDefault="009D3C40">
      <w:pPr>
        <w:spacing w:before="240" w:after="240"/>
        <w:jc w:val="center"/>
        <w:outlineLvl w:val="0"/>
        <w:rPr>
          <w:rFonts w:ascii="Arial" w:hAnsi="Arial" w:cs="Arial"/>
          <w:b/>
          <w:sz w:val="40"/>
          <w:szCs w:val="40"/>
          <w:lang w:val="pl-PL"/>
        </w:rPr>
      </w:pPr>
      <w:r>
        <w:rPr>
          <w:rFonts w:ascii="Arial" w:hAnsi="Arial" w:cs="Arial"/>
          <w:b/>
          <w:sz w:val="40"/>
          <w:szCs w:val="40"/>
          <w:lang w:val="pl-PL"/>
        </w:rPr>
        <w:t xml:space="preserve">W te święta podaruj pracownikom więcej </w:t>
      </w:r>
    </w:p>
    <w:p w:rsidR="00D92B19" w:rsidRDefault="009D3C40">
      <w:pPr>
        <w:suppressAutoHyphens/>
        <w:jc w:val="both"/>
        <w:rPr>
          <w:rFonts w:ascii="Arial" w:hAnsi="Arial" w:cs="Arial"/>
          <w:b/>
          <w:color w:val="000000"/>
          <w:sz w:val="22"/>
          <w:szCs w:val="22"/>
          <w:shd w:val="clear" w:color="auto" w:fill="FFFFFF"/>
          <w:lang w:val="pl-PL"/>
        </w:rPr>
      </w:pPr>
      <w:r>
        <w:rPr>
          <w:rFonts w:ascii="Arial" w:hAnsi="Arial" w:cs="Arial"/>
          <w:b/>
          <w:color w:val="000000"/>
          <w:sz w:val="22"/>
          <w:szCs w:val="22"/>
          <w:shd w:val="clear" w:color="auto" w:fill="FFFFFF"/>
          <w:lang w:val="pl-PL"/>
        </w:rPr>
        <w:t>Dziewięć na dziesięć firm w Polsce wręcza prezenty swoim pracownikom z okazji Bożego Narodzenia</w:t>
      </w:r>
      <w:r>
        <w:rPr>
          <w:rStyle w:val="Odwoanieprzypisudolnego"/>
          <w:rFonts w:ascii="Arial" w:hAnsi="Arial" w:cs="Arial"/>
          <w:b/>
          <w:sz w:val="22"/>
          <w:szCs w:val="40"/>
          <w:lang w:val="pl-PL"/>
        </w:rPr>
        <w:footnoteReference w:id="1"/>
      </w:r>
      <w:r>
        <w:rPr>
          <w:rFonts w:ascii="Arial" w:hAnsi="Arial" w:cs="Arial"/>
          <w:b/>
          <w:color w:val="000000"/>
          <w:sz w:val="22"/>
          <w:szCs w:val="22"/>
          <w:shd w:val="clear" w:color="auto" w:fill="FFFFFF"/>
          <w:lang w:val="pl-PL"/>
        </w:rPr>
        <w:t>! Nic dziwnego, że p</w:t>
      </w:r>
      <w:r>
        <w:rPr>
          <w:rFonts w:ascii="Arial" w:hAnsi="Arial" w:cs="Arial"/>
          <w:b/>
          <w:sz w:val="22"/>
          <w:szCs w:val="22"/>
          <w:lang w:val="pl-PL" w:eastAsia="pl-PL"/>
        </w:rPr>
        <w:t>racownicy czekają na gwiazdkę. Są ciekawi co z tej okazji przygotowali dla nich pracodawcy i co znajdą pod firmową choinką. </w:t>
      </w:r>
      <w:r>
        <w:rPr>
          <w:rFonts w:ascii="Arial" w:hAnsi="Arial" w:cs="Arial"/>
          <w:b/>
          <w:color w:val="000000"/>
          <w:sz w:val="22"/>
          <w:szCs w:val="22"/>
          <w:shd w:val="clear" w:color="auto" w:fill="FFFFFF"/>
          <w:lang w:val="pl-PL"/>
        </w:rPr>
        <w:t xml:space="preserve"> Znacznie bardziej ucieszą się z prezentu, który niesie ze sobą wartość dodaną niż z wręczonej gotówki czy przelewu </w:t>
      </w:r>
      <w:r>
        <w:rPr>
          <w:rFonts w:ascii="Arial" w:hAnsi="Arial" w:cs="Arial"/>
          <w:b/>
          <w:color w:val="000000"/>
          <w:sz w:val="22"/>
          <w:szCs w:val="22"/>
          <w:shd w:val="clear" w:color="auto" w:fill="FFFFFF"/>
          <w:lang w:val="pl-PL"/>
        </w:rPr>
        <w:br/>
        <w:t>na konto. Głównie dlatego w tym roku ponad połowa zatrudnionych otrzyma karty i kupony podarunkowe</w:t>
      </w:r>
      <w:r>
        <w:rPr>
          <w:rStyle w:val="Odwoanieprzypisudolnego"/>
          <w:rFonts w:ascii="Arial" w:hAnsi="Arial" w:cs="Arial"/>
          <w:b/>
          <w:color w:val="000000"/>
          <w:sz w:val="22"/>
          <w:szCs w:val="22"/>
          <w:shd w:val="clear" w:color="auto" w:fill="FFFFFF"/>
          <w:lang w:val="pl-PL"/>
        </w:rPr>
        <w:footnoteReference w:id="2"/>
      </w:r>
      <w:r>
        <w:rPr>
          <w:rFonts w:ascii="Arial" w:hAnsi="Arial" w:cs="Arial"/>
          <w:b/>
          <w:color w:val="000000"/>
          <w:sz w:val="22"/>
          <w:szCs w:val="22"/>
          <w:shd w:val="clear" w:color="auto" w:fill="FFFFFF"/>
          <w:lang w:val="pl-PL"/>
        </w:rPr>
        <w:t xml:space="preserve">. </w:t>
      </w:r>
    </w:p>
    <w:p w:rsidR="00D92B19" w:rsidRDefault="00D92B19">
      <w:pPr>
        <w:suppressAutoHyphens/>
        <w:jc w:val="both"/>
        <w:rPr>
          <w:rFonts w:ascii="Arial" w:hAnsi="Arial" w:cs="Arial"/>
          <w:color w:val="000000"/>
          <w:sz w:val="22"/>
          <w:szCs w:val="22"/>
          <w:shd w:val="clear" w:color="auto" w:fill="FFFFFF"/>
          <w:lang w:val="pl-PL"/>
        </w:rPr>
      </w:pPr>
    </w:p>
    <w:p w:rsidR="00D92B19" w:rsidRDefault="009D3C40">
      <w:pPr>
        <w:suppressAutoHyphens/>
        <w:jc w:val="both"/>
        <w:rPr>
          <w:rFonts w:ascii="Arial" w:hAnsi="Arial" w:cs="Arial"/>
          <w:b/>
          <w:color w:val="000000"/>
          <w:sz w:val="22"/>
          <w:szCs w:val="22"/>
          <w:shd w:val="clear" w:color="auto" w:fill="FFFFFF"/>
          <w:lang w:val="pl-PL"/>
        </w:rPr>
      </w:pPr>
      <w:r>
        <w:rPr>
          <w:rFonts w:ascii="Arial" w:hAnsi="Arial" w:cs="Arial"/>
          <w:b/>
          <w:color w:val="000000"/>
          <w:sz w:val="22"/>
          <w:szCs w:val="22"/>
          <w:shd w:val="clear" w:color="auto" w:fill="FFFFFF"/>
          <w:lang w:val="pl-PL"/>
        </w:rPr>
        <w:t>Więcej niż zwykły prezent</w:t>
      </w:r>
    </w:p>
    <w:p w:rsidR="00D92B19" w:rsidRDefault="009D3C40">
      <w:pPr>
        <w:suppressAutoHyphens/>
        <w:jc w:val="both"/>
        <w:rPr>
          <w:rFonts w:ascii="Arial" w:hAnsi="Arial" w:cs="Arial"/>
          <w:color w:val="000000"/>
          <w:sz w:val="22"/>
          <w:szCs w:val="22"/>
          <w:lang w:val="pl-PL"/>
        </w:rPr>
      </w:pPr>
      <w:r>
        <w:rPr>
          <w:rFonts w:ascii="Arial" w:hAnsi="Arial" w:cs="Arial"/>
          <w:color w:val="000000"/>
          <w:sz w:val="22"/>
          <w:szCs w:val="22"/>
          <w:lang w:val="pl-PL"/>
        </w:rPr>
        <w:t xml:space="preserve">W tym roku Sodexo, lider rynku świadczeń pozapłacowych, przygotował limitowaną edycję Karty Podarunkowej z Pajacykiem, dzięki której pracownicy otrzymują znacznie więcej radości i przyjemności z bycia obdarowanym. Poza wartością nominalną środków przekazanych na karcie przedpłaconej, otrzymują swobodę i wygodę wyboru wymarzonego prezentu oraz dostęp do promocji i ofert specjalnych </w:t>
      </w:r>
      <w:r w:rsidRPr="00A062C2">
        <w:rPr>
          <w:rFonts w:ascii="Arial" w:hAnsi="Arial" w:cs="Arial"/>
          <w:color w:val="000000"/>
          <w:sz w:val="22"/>
          <w:szCs w:val="22"/>
          <w:lang w:val="pl-PL"/>
        </w:rPr>
        <w:t>w tysiącach sklepów w</w:t>
      </w:r>
      <w:r>
        <w:rPr>
          <w:rFonts w:ascii="Arial" w:hAnsi="Arial" w:cs="Arial"/>
          <w:color w:val="000000"/>
          <w:sz w:val="22"/>
          <w:szCs w:val="22"/>
          <w:lang w:val="pl-PL"/>
        </w:rPr>
        <w:t xml:space="preserve"> Polsce i w Internecie.  </w:t>
      </w:r>
    </w:p>
    <w:p w:rsidR="00D92B19" w:rsidRDefault="00D92B19">
      <w:pPr>
        <w:suppressAutoHyphens/>
        <w:jc w:val="both"/>
        <w:rPr>
          <w:rFonts w:ascii="Arial" w:hAnsi="Arial" w:cs="Arial"/>
          <w:color w:val="000000"/>
          <w:sz w:val="22"/>
          <w:szCs w:val="22"/>
          <w:shd w:val="clear" w:color="auto" w:fill="FFFFFF"/>
          <w:lang w:val="pl-PL"/>
        </w:rPr>
      </w:pPr>
    </w:p>
    <w:p w:rsidR="00D92B19" w:rsidRDefault="009D3C40">
      <w:pPr>
        <w:suppressAutoHyphens/>
        <w:jc w:val="both"/>
        <w:rPr>
          <w:rFonts w:ascii="Arial" w:hAnsi="Arial" w:cs="Arial"/>
          <w:b/>
          <w:color w:val="000000"/>
          <w:sz w:val="22"/>
          <w:szCs w:val="22"/>
          <w:shd w:val="clear" w:color="auto" w:fill="FFFFFF"/>
          <w:lang w:val="pl-PL"/>
        </w:rPr>
      </w:pPr>
      <w:r>
        <w:rPr>
          <w:rFonts w:ascii="Arial" w:hAnsi="Arial" w:cs="Arial"/>
          <w:b/>
          <w:color w:val="000000"/>
          <w:sz w:val="22"/>
          <w:szCs w:val="22"/>
          <w:shd w:val="clear" w:color="auto" w:fill="FFFFFF"/>
          <w:lang w:val="pl-PL"/>
        </w:rPr>
        <w:t xml:space="preserve">Więcej możliwości wyboru </w:t>
      </w:r>
    </w:p>
    <w:p w:rsidR="00D92B19" w:rsidRDefault="009D3C40">
      <w:pPr>
        <w:suppressAutoHyphens/>
        <w:jc w:val="both"/>
        <w:rPr>
          <w:rFonts w:ascii="Arial" w:hAnsi="Arial" w:cs="Arial"/>
          <w:color w:val="000000"/>
          <w:sz w:val="22"/>
          <w:szCs w:val="22"/>
          <w:shd w:val="clear" w:color="auto" w:fill="FFFFFF"/>
          <w:lang w:val="pl-PL"/>
        </w:rPr>
      </w:pPr>
      <w:r>
        <w:rPr>
          <w:rFonts w:ascii="Arial" w:hAnsi="Arial" w:cs="Arial"/>
          <w:color w:val="000000"/>
          <w:sz w:val="22"/>
          <w:szCs w:val="22"/>
          <w:shd w:val="clear" w:color="auto" w:fill="FFFFFF"/>
          <w:lang w:val="pl-PL"/>
        </w:rPr>
        <w:t xml:space="preserve">Każda obdarowana osoba może z łatwością wykorzystać prezent dla siebie lub swoich bliskich – płacąc nią w każdym miejscu na świecie, w którym akceptowane są karty MasterCard, w Internecie czy wypłacając środki z bankomatu. Użytkownik może dokonywać płatności zbliżeniowo, przez Google Pay oraz samodzielnie zarządzać ustawieniami karty online lub przez aplikację, czyli zmienić PIN, sprawdzić saldo lub historię konta. Korzystanie z karty jest bezpieczne, bezpłatne i analogiczne proste jak korzystanie ze zwykłem, prywatnej karty płatniczej. </w:t>
      </w:r>
    </w:p>
    <w:p w:rsidR="00D92B19" w:rsidRDefault="00D92B19">
      <w:pPr>
        <w:suppressAutoHyphens/>
        <w:jc w:val="both"/>
        <w:rPr>
          <w:rFonts w:ascii="Arial" w:hAnsi="Arial" w:cs="Arial"/>
          <w:color w:val="000000"/>
          <w:sz w:val="22"/>
          <w:szCs w:val="22"/>
          <w:shd w:val="clear" w:color="auto" w:fill="FFFFFF"/>
          <w:lang w:val="pl-PL"/>
        </w:rPr>
      </w:pPr>
    </w:p>
    <w:p w:rsidR="00D92B19" w:rsidRDefault="009D3C40">
      <w:pPr>
        <w:suppressAutoHyphens/>
        <w:jc w:val="both"/>
        <w:rPr>
          <w:rFonts w:ascii="Arial" w:hAnsi="Arial" w:cs="Arial"/>
          <w:b/>
          <w:color w:val="000000"/>
          <w:sz w:val="22"/>
          <w:szCs w:val="22"/>
          <w:shd w:val="clear" w:color="auto" w:fill="FFFFFF"/>
          <w:lang w:val="pl-PL"/>
        </w:rPr>
      </w:pPr>
      <w:r>
        <w:rPr>
          <w:rFonts w:ascii="Arial" w:hAnsi="Arial" w:cs="Arial"/>
          <w:b/>
          <w:color w:val="000000"/>
          <w:sz w:val="22"/>
          <w:szCs w:val="22"/>
          <w:shd w:val="clear" w:color="auto" w:fill="FFFFFF"/>
          <w:lang w:val="pl-PL"/>
        </w:rPr>
        <w:t xml:space="preserve">Więcej oszczędności </w:t>
      </w:r>
    </w:p>
    <w:p w:rsidR="00D92B19" w:rsidRDefault="009D3C40">
      <w:pPr>
        <w:suppressAutoHyphens/>
        <w:jc w:val="both"/>
        <w:rPr>
          <w:rFonts w:ascii="Arial" w:hAnsi="Arial" w:cs="Arial"/>
          <w:color w:val="000000"/>
          <w:sz w:val="22"/>
          <w:szCs w:val="22"/>
          <w:shd w:val="clear" w:color="auto" w:fill="FFFFFF"/>
          <w:lang w:val="pl-PL"/>
        </w:rPr>
      </w:pPr>
      <w:r>
        <w:rPr>
          <w:rFonts w:ascii="Arial" w:hAnsi="Arial" w:cs="Arial"/>
          <w:color w:val="000000"/>
          <w:sz w:val="22"/>
          <w:szCs w:val="22"/>
          <w:shd w:val="clear" w:color="auto" w:fill="FFFFFF"/>
          <w:lang w:val="pl-PL"/>
        </w:rPr>
        <w:t xml:space="preserve">Analitycy prognozują, że tegoroczne święta będą jeszcze droższe niż rok temu, gdy rodzina wydała średnio 882 złote na świąteczne zakupy. Dlatego podarunki od pracodawcy wspierające budżet pracowników, gwarantujące oszczędności na świątecznych zakupach i podarunkach, takie jak karty podarunkowe, są przez nich bardzo doceniane. Wartość limitowanej Karty Podarunkowej z Pajacykiem podnosi fakt, że towarzyszą jej liczne akcje promocyjne, które można sprawdzić na w aplikacji mobilnej Sodexo dla Ciebie oraz na </w:t>
      </w:r>
      <w:r w:rsidR="008625C4">
        <w:rPr>
          <w:rFonts w:ascii="Arial" w:hAnsi="Arial" w:cs="Arial"/>
          <w:color w:val="000000"/>
          <w:sz w:val="22"/>
          <w:szCs w:val="22"/>
          <w:shd w:val="clear" w:color="auto" w:fill="FFFFFF"/>
          <w:lang w:val="pl-PL"/>
        </w:rPr>
        <w:t>stronie DlaCiebie.Sodexo.pl</w:t>
      </w:r>
      <w:r>
        <w:rPr>
          <w:rFonts w:ascii="Arial" w:hAnsi="Arial" w:cs="Arial"/>
          <w:color w:val="000000"/>
          <w:sz w:val="22"/>
          <w:szCs w:val="22"/>
          <w:shd w:val="clear" w:color="auto" w:fill="FFFFFF"/>
          <w:lang w:val="pl-PL"/>
        </w:rPr>
        <w:t xml:space="preserve">. Do karty dołączane są specjalne kupony promocyjne dedykowane wyłącznie jej posiadaczom, które gwarantują zniżki u takich partnerów jak: </w:t>
      </w:r>
      <w:r w:rsidR="008625C4" w:rsidRPr="008625C4">
        <w:rPr>
          <w:rFonts w:ascii="Arial" w:hAnsi="Arial" w:cs="Arial"/>
          <w:color w:val="000000"/>
          <w:sz w:val="22"/>
          <w:szCs w:val="22"/>
          <w:shd w:val="clear" w:color="auto" w:fill="FFFFFF"/>
          <w:lang w:val="pl-PL"/>
        </w:rPr>
        <w:t>Biedronka, Allegro, Media</w:t>
      </w:r>
      <w:bookmarkStart w:id="0" w:name="_GoBack"/>
      <w:bookmarkEnd w:id="0"/>
      <w:r w:rsidR="008625C4" w:rsidRPr="008625C4">
        <w:rPr>
          <w:rFonts w:ascii="Arial" w:hAnsi="Arial" w:cs="Arial"/>
          <w:color w:val="000000"/>
          <w:sz w:val="22"/>
          <w:szCs w:val="22"/>
          <w:shd w:val="clear" w:color="auto" w:fill="FFFFFF"/>
          <w:lang w:val="pl-PL"/>
        </w:rPr>
        <w:t>Markt, ShowMax i Alior Bank</w:t>
      </w:r>
      <w:r>
        <w:rPr>
          <w:rFonts w:ascii="Arial" w:hAnsi="Arial" w:cs="Arial"/>
          <w:color w:val="000000"/>
          <w:sz w:val="22"/>
          <w:szCs w:val="22"/>
          <w:shd w:val="clear" w:color="auto" w:fill="FFFFFF"/>
          <w:lang w:val="pl-PL"/>
        </w:rPr>
        <w:t>. Jest to o tyle istotne, że według badania „</w:t>
      </w:r>
      <w:hyperlink r:id="rId12" w:history="1">
        <w:r>
          <w:rPr>
            <w:rStyle w:val="Hipercze"/>
            <w:rFonts w:ascii="Arial" w:hAnsi="Arial" w:cs="Arial"/>
            <w:sz w:val="22"/>
            <w:szCs w:val="22"/>
            <w:shd w:val="clear" w:color="auto" w:fill="FFFFFF"/>
            <w:lang w:val="pl-PL"/>
          </w:rPr>
          <w:t>Świąteczne zakupy</w:t>
        </w:r>
      </w:hyperlink>
      <w:r>
        <w:rPr>
          <w:rFonts w:ascii="Arial" w:hAnsi="Arial" w:cs="Arial"/>
          <w:color w:val="000000"/>
          <w:sz w:val="22"/>
          <w:szCs w:val="22"/>
          <w:shd w:val="clear" w:color="auto" w:fill="FFFFFF"/>
          <w:lang w:val="pl-PL"/>
        </w:rPr>
        <w:t>”</w:t>
      </w:r>
      <w:r>
        <w:rPr>
          <w:rStyle w:val="Odwoanieprzypisudolnego"/>
          <w:rFonts w:ascii="Arial" w:hAnsi="Arial" w:cs="Arial"/>
          <w:color w:val="000000"/>
          <w:sz w:val="22"/>
          <w:szCs w:val="22"/>
          <w:shd w:val="clear" w:color="auto" w:fill="FFFFFF"/>
          <w:lang w:val="pl-PL"/>
        </w:rPr>
        <w:footnoteReference w:id="3"/>
      </w:r>
      <w:r>
        <w:rPr>
          <w:rFonts w:ascii="Arial" w:hAnsi="Arial" w:cs="Arial"/>
          <w:color w:val="000000"/>
          <w:sz w:val="22"/>
          <w:szCs w:val="22"/>
          <w:shd w:val="clear" w:color="auto" w:fill="FFFFFF"/>
          <w:lang w:val="pl-PL"/>
        </w:rPr>
        <w:t xml:space="preserve"> aż 97 proc. Polaków korzysta z takich ofert, a 44 proc. to poszukiwacze promocji, którzy dokonują zakupów wyłącznie podczas specjalnych okazji. </w:t>
      </w:r>
    </w:p>
    <w:p w:rsidR="00D92B19" w:rsidRDefault="00D92B19">
      <w:pPr>
        <w:suppressAutoHyphens/>
        <w:jc w:val="both"/>
        <w:rPr>
          <w:rFonts w:ascii="Arial" w:hAnsi="Arial" w:cs="Arial"/>
          <w:color w:val="000000"/>
          <w:sz w:val="22"/>
          <w:szCs w:val="22"/>
          <w:shd w:val="clear" w:color="auto" w:fill="FFFFFF"/>
          <w:lang w:val="pl-PL"/>
        </w:rPr>
      </w:pPr>
    </w:p>
    <w:p w:rsidR="00D92B19" w:rsidRDefault="009D3C40">
      <w:pPr>
        <w:pBdr>
          <w:left w:val="single" w:sz="48" w:space="4" w:color="FF0000"/>
        </w:pBdr>
        <w:spacing w:before="20" w:after="80" w:line="220" w:lineRule="atLeast"/>
        <w:ind w:left="227"/>
        <w:jc w:val="both"/>
        <w:rPr>
          <w:rFonts w:ascii="Arial" w:hAnsi="Arial" w:cs="Arial"/>
          <w:i/>
          <w:sz w:val="22"/>
          <w:szCs w:val="22"/>
          <w:lang w:val="pl-PL" w:eastAsia="pl-PL"/>
        </w:rPr>
      </w:pPr>
      <w:r>
        <w:rPr>
          <w:rFonts w:ascii="Arial" w:hAnsi="Arial" w:cs="Arial"/>
          <w:i/>
          <w:sz w:val="22"/>
          <w:szCs w:val="22"/>
          <w:lang w:val="pl-PL" w:eastAsia="pl-PL"/>
        </w:rPr>
        <w:t xml:space="preserve">Limitowana edycja świątecznej Karty Podarunkowej Sodexo z Pajacykiem to oferta dla świadomych pracodawców, którzy chcą docenić swoich pracowników oraz wręczyć im nowoczesny prezent, który wpisze się w ich oczekiwania i potrzeby. Dając tę Kartę dajemy pracownikom jeszcze więcej radości i przyjemności z bycia obdarowanym </w:t>
      </w:r>
      <w:r>
        <w:rPr>
          <w:rFonts w:ascii="Arial" w:hAnsi="Arial" w:cs="Arial"/>
          <w:bCs/>
          <w:i/>
          <w:sz w:val="22"/>
          <w:szCs w:val="22"/>
          <w:lang w:val="pl-PL" w:eastAsia="pl-PL"/>
        </w:rPr>
        <w:t xml:space="preserve">– </w:t>
      </w:r>
      <w:r>
        <w:rPr>
          <w:rFonts w:ascii="Arial" w:hAnsi="Arial" w:cs="Arial"/>
          <w:b/>
          <w:sz w:val="22"/>
          <w:szCs w:val="22"/>
          <w:lang w:val="pl-PL"/>
        </w:rPr>
        <w:t xml:space="preserve">powiedziała Marta </w:t>
      </w:r>
      <w:r w:rsidR="008625C4">
        <w:rPr>
          <w:rFonts w:ascii="Arial" w:hAnsi="Arial" w:cs="Arial"/>
          <w:b/>
          <w:sz w:val="22"/>
          <w:szCs w:val="22"/>
          <w:lang w:val="pl-PL"/>
        </w:rPr>
        <w:t>Robak</w:t>
      </w:r>
      <w:r>
        <w:rPr>
          <w:rFonts w:ascii="Arial" w:hAnsi="Arial" w:cs="Arial"/>
          <w:b/>
          <w:sz w:val="22"/>
          <w:szCs w:val="22"/>
          <w:lang w:val="pl-PL"/>
        </w:rPr>
        <w:t xml:space="preserve">, Junior Product Manager </w:t>
      </w:r>
      <w:r>
        <w:rPr>
          <w:rFonts w:ascii="Arial" w:hAnsi="Arial" w:cs="Arial"/>
          <w:b/>
          <w:color w:val="000000"/>
          <w:sz w:val="22"/>
          <w:szCs w:val="22"/>
          <w:lang w:val="pl-PL"/>
        </w:rPr>
        <w:t>w Sodexo Benefits and Rewards Services w Polsce.</w:t>
      </w:r>
    </w:p>
    <w:p w:rsidR="00D92B19" w:rsidRDefault="00D92B19">
      <w:pPr>
        <w:autoSpaceDE w:val="0"/>
        <w:jc w:val="both"/>
        <w:rPr>
          <w:rFonts w:ascii="Arial" w:hAnsi="Arial" w:cs="Arial"/>
          <w:color w:val="252525"/>
          <w:sz w:val="22"/>
          <w:szCs w:val="22"/>
          <w:lang w:val="pl-PL"/>
        </w:rPr>
      </w:pPr>
    </w:p>
    <w:p w:rsidR="00D92B19" w:rsidRDefault="009D3C40">
      <w:pPr>
        <w:suppressAutoHyphens/>
        <w:jc w:val="both"/>
        <w:rPr>
          <w:rFonts w:ascii="Arial" w:hAnsi="Arial" w:cs="Arial"/>
          <w:b/>
          <w:color w:val="000000"/>
          <w:sz w:val="22"/>
          <w:szCs w:val="22"/>
          <w:lang w:val="pl-PL"/>
        </w:rPr>
      </w:pPr>
      <w:r>
        <w:rPr>
          <w:rFonts w:ascii="Arial" w:hAnsi="Arial" w:cs="Arial"/>
          <w:b/>
          <w:color w:val="000000"/>
          <w:sz w:val="22"/>
          <w:szCs w:val="22"/>
          <w:lang w:val="pl-PL"/>
        </w:rPr>
        <w:t>Więcej wygody również dla pracodawcy</w:t>
      </w:r>
    </w:p>
    <w:p w:rsidR="00D92B19" w:rsidRDefault="009D3C40">
      <w:pPr>
        <w:jc w:val="both"/>
        <w:rPr>
          <w:rFonts w:ascii="Arial" w:hAnsi="Arial" w:cs="Arial"/>
          <w:color w:val="000000"/>
          <w:sz w:val="22"/>
          <w:szCs w:val="22"/>
          <w:lang w:val="pl-PL"/>
        </w:rPr>
      </w:pPr>
      <w:r>
        <w:rPr>
          <w:rFonts w:ascii="Arial" w:hAnsi="Arial" w:cs="Arial"/>
          <w:color w:val="000000"/>
          <w:sz w:val="22"/>
          <w:szCs w:val="22"/>
          <w:lang w:val="pl-PL"/>
        </w:rPr>
        <w:t xml:space="preserve">Zamówienie kart jest wyjątkowo proste, wystarczy podać ich liczbę, określić wartość doładowania oraz wykonać przelew. Sodexo gwarantuje </w:t>
      </w:r>
      <w:r>
        <w:rPr>
          <w:rFonts w:ascii="Arial" w:hAnsi="Arial" w:cs="Arial"/>
          <w:sz w:val="22"/>
          <w:szCs w:val="22"/>
          <w:lang w:val="pl-PL"/>
        </w:rPr>
        <w:t>szybką realizacj</w:t>
      </w:r>
      <w:r w:rsidR="008625C4">
        <w:rPr>
          <w:rFonts w:ascii="Arial" w:hAnsi="Arial" w:cs="Arial"/>
          <w:sz w:val="22"/>
          <w:szCs w:val="22"/>
          <w:lang w:val="pl-PL"/>
        </w:rPr>
        <w:t>ę</w:t>
      </w:r>
      <w:r>
        <w:rPr>
          <w:rFonts w:ascii="Arial" w:hAnsi="Arial" w:cs="Arial"/>
          <w:sz w:val="22"/>
          <w:szCs w:val="22"/>
          <w:lang w:val="pl-PL"/>
        </w:rPr>
        <w:t xml:space="preserve"> zlecenia i dostawę zamówionych kart w ciągu zaledwie 72 godzin. Święty Mikołaj nie może się przecież spóźnić do pracowników. </w:t>
      </w:r>
      <w:r>
        <w:rPr>
          <w:rFonts w:ascii="Arial" w:hAnsi="Arial" w:cs="Arial"/>
          <w:color w:val="000000"/>
          <w:sz w:val="22"/>
          <w:szCs w:val="22"/>
          <w:lang w:val="pl-PL"/>
        </w:rPr>
        <w:t>Co ważne pełna odpowiedzialność logistyczna oraz obsługa posprzedażowa spoczywa na Sodexo, a to pozwala uniknąć dodatkowej pracy zespołu HR zamawiającego, dla którego ostatni kwartał roku i tak jest bardzo</w:t>
      </w:r>
      <w:r>
        <w:rPr>
          <w:rFonts w:ascii="Arial" w:hAnsi="Arial" w:cs="Arial"/>
          <w:color w:val="000000"/>
          <w:sz w:val="22"/>
          <w:szCs w:val="22"/>
        </w:rPr>
        <w:t xml:space="preserve"> </w:t>
      </w:r>
      <w:r>
        <w:rPr>
          <w:rFonts w:ascii="Arial" w:hAnsi="Arial" w:cs="Arial"/>
          <w:color w:val="000000"/>
          <w:sz w:val="22"/>
          <w:szCs w:val="22"/>
          <w:lang w:val="pl-PL"/>
        </w:rPr>
        <w:t xml:space="preserve">intensywny. </w:t>
      </w:r>
      <w:r>
        <w:rPr>
          <w:rFonts w:ascii="Arial" w:hAnsi="Arial" w:cs="Arial"/>
          <w:color w:val="000000"/>
          <w:sz w:val="22"/>
          <w:szCs w:val="22"/>
        </w:rPr>
        <w:t>Nie bez znaczenia pozostaje fakt, że karty podarunkowe finansowane z ZFŚS, jako świadczenia pieniężne są zwolnione z podatku dochodowego do kwoty 1.000 zł na pracownika,  a opłaty związane z zakupem, zasileniem i obsługą  z podatku VAT</w:t>
      </w:r>
      <w:r>
        <w:rPr>
          <w:rFonts w:ascii="Arial" w:hAnsi="Arial" w:cs="Arial"/>
          <w:color w:val="000000"/>
          <w:sz w:val="22"/>
          <w:szCs w:val="22"/>
          <w:lang w:val="pl-PL"/>
        </w:rPr>
        <w:t xml:space="preserve">. </w:t>
      </w:r>
    </w:p>
    <w:p w:rsidR="00D92B19" w:rsidRDefault="00D92B19">
      <w:pPr>
        <w:jc w:val="both"/>
        <w:rPr>
          <w:rFonts w:ascii="Arial" w:hAnsi="Arial" w:cs="Arial"/>
          <w:sz w:val="22"/>
          <w:szCs w:val="22"/>
          <w:lang w:val="pl-PL"/>
        </w:rPr>
      </w:pPr>
    </w:p>
    <w:p w:rsidR="00D92B19" w:rsidRDefault="009D3C40">
      <w:pPr>
        <w:jc w:val="both"/>
        <w:rPr>
          <w:rFonts w:ascii="Arial" w:hAnsi="Arial" w:cs="Arial"/>
          <w:color w:val="2F5496"/>
          <w:sz w:val="18"/>
          <w:szCs w:val="18"/>
          <w:lang w:val="pl-PL"/>
        </w:rPr>
      </w:pPr>
      <w:r>
        <w:rPr>
          <w:rFonts w:ascii="Arial" w:hAnsi="Arial" w:cs="Arial"/>
          <w:b/>
          <w:color w:val="2F5496"/>
          <w:sz w:val="18"/>
          <w:szCs w:val="18"/>
          <w:lang w:val="pl-PL"/>
        </w:rPr>
        <w:t>Kontakt</w:t>
      </w:r>
      <w:r>
        <w:rPr>
          <w:rFonts w:ascii="Arial" w:hAnsi="Arial" w:cs="Arial"/>
          <w:color w:val="2F5496"/>
          <w:sz w:val="18"/>
          <w:szCs w:val="18"/>
          <w:lang w:val="pl-PL"/>
        </w:rPr>
        <w:t>:</w:t>
      </w:r>
    </w:p>
    <w:p w:rsidR="00D92B19" w:rsidRDefault="009D3C40">
      <w:pPr>
        <w:jc w:val="both"/>
        <w:rPr>
          <w:rFonts w:ascii="Arial" w:hAnsi="Arial" w:cs="Arial"/>
          <w:color w:val="2F5496"/>
          <w:sz w:val="18"/>
          <w:szCs w:val="18"/>
          <w:lang w:val="pl-PL"/>
        </w:rPr>
      </w:pPr>
      <w:r>
        <w:rPr>
          <w:rFonts w:ascii="Arial" w:hAnsi="Arial" w:cs="Arial"/>
          <w:color w:val="2F5496"/>
          <w:sz w:val="18"/>
          <w:szCs w:val="18"/>
          <w:lang w:val="pl-PL"/>
        </w:rPr>
        <w:t>Marta Zagożdżon, tel. +48 605 073 929, e-mail: m.zagozdzon@contrust.pl</w:t>
      </w:r>
    </w:p>
    <w:p w:rsidR="00D92B19" w:rsidRDefault="00D92B19">
      <w:pPr>
        <w:jc w:val="both"/>
        <w:outlineLvl w:val="0"/>
        <w:rPr>
          <w:rFonts w:ascii="Arial" w:hAnsi="Arial" w:cs="Arial"/>
          <w:b/>
          <w:bCs/>
          <w:color w:val="2F5496"/>
          <w:sz w:val="18"/>
          <w:szCs w:val="18"/>
          <w:lang w:val="pl-PL"/>
        </w:rPr>
      </w:pPr>
    </w:p>
    <w:p w:rsidR="00D92B19" w:rsidRDefault="009D3C40">
      <w:pPr>
        <w:jc w:val="both"/>
        <w:outlineLvl w:val="0"/>
        <w:rPr>
          <w:rFonts w:ascii="Arial" w:hAnsi="Arial" w:cs="Arial"/>
          <w:b/>
          <w:bCs/>
          <w:color w:val="2F5496"/>
          <w:sz w:val="18"/>
          <w:szCs w:val="18"/>
          <w:lang w:val="en-IE"/>
        </w:rPr>
      </w:pPr>
      <w:bookmarkStart w:id="1" w:name="_Hlk526241678"/>
      <w:r>
        <w:rPr>
          <w:rFonts w:ascii="Arial" w:hAnsi="Arial" w:cs="Arial"/>
          <w:b/>
          <w:bCs/>
          <w:color w:val="2F5496"/>
          <w:sz w:val="18"/>
          <w:szCs w:val="18"/>
          <w:lang w:val="en-IE"/>
        </w:rPr>
        <w:t>Sodexo Benefits and Rewards Services Polska</w:t>
      </w:r>
    </w:p>
    <w:p w:rsidR="00D92B19" w:rsidRDefault="009D3C40">
      <w:pPr>
        <w:jc w:val="both"/>
        <w:rPr>
          <w:rFonts w:ascii="Arial" w:hAnsi="Arial" w:cs="Arial"/>
          <w:color w:val="2F5496"/>
          <w:sz w:val="18"/>
          <w:szCs w:val="18"/>
          <w:lang w:val="pl-PL"/>
        </w:rPr>
      </w:pPr>
      <w:r>
        <w:rPr>
          <w:rFonts w:ascii="Arial" w:hAnsi="Arial" w:cs="Arial"/>
          <w:color w:val="2F5496"/>
          <w:sz w:val="18"/>
          <w:szCs w:val="18"/>
          <w:lang w:val="pl-PL"/>
        </w:rPr>
        <w:t>Sodexo Benefits and Rewards Services Polska jest strategicznym partnerem dla firm i instytucji, które kładą nacisk na efektywność, lojalność i dobre samopoczucie pracowników oraz partnerów biznesowych. Wierzymy, że jakość codziennego życia zwiększa satysfakcję i motywację pracowników, klientów i kontrahentów, a tym samym odgrywa istotną rolę w strukturze organizacyjnej naszych strategicznych partnerów.</w:t>
      </w:r>
    </w:p>
    <w:p w:rsidR="00D92B19" w:rsidRDefault="00D92B19">
      <w:pPr>
        <w:jc w:val="both"/>
        <w:rPr>
          <w:rFonts w:ascii="Arial" w:hAnsi="Arial" w:cs="Arial"/>
          <w:color w:val="2F5496"/>
          <w:sz w:val="18"/>
          <w:szCs w:val="18"/>
          <w:lang w:val="pl-PL"/>
        </w:rPr>
      </w:pPr>
    </w:p>
    <w:p w:rsidR="00D92B19" w:rsidRDefault="009D3C40">
      <w:pPr>
        <w:jc w:val="both"/>
        <w:rPr>
          <w:rFonts w:ascii="Arial" w:hAnsi="Arial" w:cs="Arial"/>
          <w:color w:val="2F5496"/>
          <w:sz w:val="18"/>
          <w:szCs w:val="18"/>
          <w:lang w:val="pl-PL"/>
        </w:rPr>
      </w:pPr>
      <w:r>
        <w:rPr>
          <w:rFonts w:ascii="Arial" w:hAnsi="Arial" w:cs="Arial"/>
          <w:color w:val="2F5496"/>
          <w:sz w:val="18"/>
          <w:szCs w:val="18"/>
          <w:lang w:val="pl-PL"/>
        </w:rPr>
        <w:t xml:space="preserve">Sodexo Benefits and Rewards Services działa na polskim rynku od 1998 roku. Z oferty firmy w Polsce skorzystało już 43 000 Klientów, a rozwiązania trafiły do ponad 3,5 mln użytkowników. Sodexo zostało nagrodzone m.in. tytułem Business Superbrands oraz nagrodą Złota Jakość Roku. W 2016 roku Aon Hewitt, światowy lider w doradztwie i rozwiązaniach outsourcingowych w obszarze zarządzania kapitałem ludzkim, po raz kolejny przyznała firmie certyfikat Aon Hewitt Best Employer™ na poziomie międzynarodowym i krajowym. </w:t>
      </w:r>
    </w:p>
    <w:p w:rsidR="00D92B19" w:rsidRDefault="00D92B19">
      <w:pPr>
        <w:jc w:val="both"/>
        <w:rPr>
          <w:rFonts w:ascii="Arial" w:hAnsi="Arial" w:cs="Arial"/>
          <w:b/>
          <w:bCs/>
          <w:color w:val="2F5496"/>
          <w:sz w:val="18"/>
          <w:szCs w:val="18"/>
          <w:lang w:val="pl-PL"/>
        </w:rPr>
      </w:pPr>
    </w:p>
    <w:p w:rsidR="00D92B19" w:rsidRDefault="009D3C40">
      <w:pPr>
        <w:jc w:val="both"/>
        <w:outlineLvl w:val="0"/>
        <w:rPr>
          <w:rFonts w:ascii="Arial" w:hAnsi="Arial" w:cs="Arial"/>
          <w:b/>
          <w:bCs/>
          <w:color w:val="2F5496"/>
          <w:sz w:val="18"/>
          <w:szCs w:val="18"/>
          <w:lang w:val="pl-PL"/>
        </w:rPr>
      </w:pPr>
      <w:r>
        <w:rPr>
          <w:rFonts w:ascii="Arial" w:hAnsi="Arial" w:cs="Arial"/>
          <w:b/>
          <w:bCs/>
          <w:color w:val="2F5496"/>
          <w:sz w:val="18"/>
          <w:szCs w:val="18"/>
          <w:lang w:val="pl-PL"/>
        </w:rPr>
        <w:t>Grupa Sodexo</w:t>
      </w:r>
    </w:p>
    <w:p w:rsidR="00D92B19" w:rsidRDefault="009D3C40">
      <w:pPr>
        <w:jc w:val="both"/>
        <w:rPr>
          <w:rFonts w:ascii="Arial" w:hAnsi="Arial" w:cs="Arial"/>
          <w:color w:val="2F5496"/>
          <w:sz w:val="18"/>
          <w:szCs w:val="18"/>
          <w:lang w:val="pl-PL"/>
        </w:rPr>
      </w:pPr>
      <w:r>
        <w:rPr>
          <w:rFonts w:ascii="Arial" w:hAnsi="Arial" w:cs="Arial"/>
          <w:color w:val="2F5496"/>
          <w:sz w:val="18"/>
          <w:szCs w:val="18"/>
          <w:lang w:val="pl-PL"/>
        </w:rPr>
        <w:t>Grupa Sodexo od 1966 roku jest światowym liderem w zakresie usług poprawiających jakość życia i strategicznym partnerem dla firm i instytucji, które kładą nacisk na efektywność, lojalność i dobre samopoczucie pracowników oraz partnerów biznesowych. Z wielką pasją 427 000 pracowników Sodexo w 80 krajach projektuje, zarządza i dostarcza kompleksowe usługi w zakresie obsługi nieruchomości (Sodexo On-site Services) oraz w zakresie motywacji (Sodexo Benefits and Rewards Services), obsługując każdego dnia 100 milionów konsumentów na całym świecie.</w:t>
      </w:r>
    </w:p>
    <w:p w:rsidR="00D92B19" w:rsidRDefault="00D92B19">
      <w:pPr>
        <w:jc w:val="both"/>
        <w:rPr>
          <w:rFonts w:ascii="Arial" w:hAnsi="Arial" w:cs="Arial"/>
          <w:color w:val="2F5496"/>
          <w:sz w:val="18"/>
          <w:szCs w:val="18"/>
          <w:lang w:val="pl-PL"/>
        </w:rPr>
      </w:pPr>
    </w:p>
    <w:tbl>
      <w:tblPr>
        <w:tblW w:w="9615" w:type="dxa"/>
        <w:tblLook w:val="04A0" w:firstRow="1" w:lastRow="0" w:firstColumn="1" w:lastColumn="0" w:noHBand="0" w:noVBand="1"/>
      </w:tblPr>
      <w:tblGrid>
        <w:gridCol w:w="4962"/>
        <w:gridCol w:w="4653"/>
      </w:tblGrid>
      <w:tr w:rsidR="00D92B19">
        <w:trPr>
          <w:trHeight w:val="182"/>
        </w:trPr>
        <w:tc>
          <w:tcPr>
            <w:tcW w:w="4962" w:type="dxa"/>
          </w:tcPr>
          <w:p w:rsidR="00D92B19" w:rsidRDefault="009D3C40">
            <w:pPr>
              <w:jc w:val="both"/>
              <w:rPr>
                <w:rFonts w:ascii="Arial" w:hAnsi="Arial" w:cs="Arial"/>
                <w:b/>
                <w:color w:val="2F5496"/>
                <w:sz w:val="18"/>
                <w:szCs w:val="22"/>
                <w:lang w:val="pl-PL"/>
              </w:rPr>
            </w:pPr>
            <w:r>
              <w:rPr>
                <w:rFonts w:ascii="Arial" w:hAnsi="Arial" w:cs="Arial"/>
                <w:b/>
                <w:color w:val="2F5496"/>
                <w:sz w:val="18"/>
                <w:szCs w:val="22"/>
                <w:lang w:val="pl-PL"/>
              </w:rPr>
              <w:t>Sodexo w liczbach</w:t>
            </w:r>
          </w:p>
          <w:p w:rsidR="00D92B19" w:rsidRDefault="009D3C40">
            <w:pPr>
              <w:jc w:val="both"/>
              <w:rPr>
                <w:rFonts w:ascii="Arial" w:hAnsi="Arial" w:cs="Arial"/>
                <w:b/>
                <w:bCs/>
                <w:color w:val="2F5496"/>
                <w:sz w:val="18"/>
                <w:szCs w:val="22"/>
                <w:lang w:val="pl-PL"/>
              </w:rPr>
            </w:pPr>
            <w:r>
              <w:rPr>
                <w:rFonts w:ascii="Arial" w:hAnsi="Arial" w:cs="Arial"/>
                <w:color w:val="2F5496"/>
                <w:sz w:val="18"/>
                <w:szCs w:val="22"/>
                <w:lang w:val="pl-PL"/>
              </w:rPr>
              <w:t>(dane z 31 sierpnia 2017 roku)</w:t>
            </w:r>
          </w:p>
          <w:p w:rsidR="00D92B19" w:rsidRDefault="00D92B19">
            <w:pPr>
              <w:jc w:val="both"/>
              <w:rPr>
                <w:rFonts w:ascii="Arial" w:hAnsi="Arial" w:cs="Arial"/>
                <w:color w:val="2F5496"/>
                <w:sz w:val="18"/>
                <w:szCs w:val="22"/>
                <w:lang w:val="pl-PL"/>
              </w:rPr>
            </w:pPr>
          </w:p>
          <w:p w:rsidR="00D92B19" w:rsidRDefault="009D3C40">
            <w:pPr>
              <w:jc w:val="both"/>
              <w:rPr>
                <w:rFonts w:ascii="Arial" w:hAnsi="Arial" w:cs="Arial"/>
                <w:b/>
                <w:bCs/>
                <w:color w:val="2F5496"/>
                <w:sz w:val="18"/>
                <w:szCs w:val="22"/>
                <w:lang w:val="pl-PL"/>
              </w:rPr>
            </w:pPr>
            <w:r>
              <w:rPr>
                <w:rFonts w:ascii="Arial" w:hAnsi="Arial" w:cs="Arial"/>
                <w:b/>
                <w:bCs/>
                <w:color w:val="2F5496"/>
                <w:sz w:val="18"/>
                <w:szCs w:val="22"/>
                <w:lang w:val="pl-PL"/>
              </w:rPr>
              <w:t xml:space="preserve">Grupa Sodexo na świecie </w:t>
            </w:r>
          </w:p>
          <w:p w:rsidR="00D92B19" w:rsidRDefault="009D3C40">
            <w:pPr>
              <w:jc w:val="both"/>
              <w:rPr>
                <w:rFonts w:ascii="Arial" w:hAnsi="Arial" w:cs="Arial"/>
                <w:color w:val="2F5496"/>
                <w:sz w:val="18"/>
                <w:szCs w:val="22"/>
                <w:lang w:val="pl-PL"/>
              </w:rPr>
            </w:pPr>
            <w:r>
              <w:rPr>
                <w:rFonts w:ascii="Arial" w:hAnsi="Arial" w:cs="Arial"/>
                <w:b/>
                <w:color w:val="2F5496"/>
                <w:sz w:val="18"/>
                <w:szCs w:val="22"/>
                <w:lang w:val="pl-PL"/>
              </w:rPr>
              <w:t xml:space="preserve">20,7 miliardów </w:t>
            </w:r>
            <w:r>
              <w:rPr>
                <w:rFonts w:ascii="Arial" w:hAnsi="Arial" w:cs="Arial"/>
                <w:color w:val="2F5496"/>
                <w:sz w:val="18"/>
                <w:szCs w:val="22"/>
                <w:lang w:val="pl-PL"/>
              </w:rPr>
              <w:t xml:space="preserve">euro skonsolidowanego dochodu </w:t>
            </w:r>
          </w:p>
          <w:p w:rsidR="00D92B19" w:rsidRDefault="009D3C40">
            <w:pPr>
              <w:jc w:val="both"/>
              <w:rPr>
                <w:rFonts w:ascii="Arial" w:hAnsi="Arial" w:cs="Arial"/>
                <w:color w:val="2F5496"/>
                <w:sz w:val="18"/>
                <w:szCs w:val="22"/>
                <w:lang w:val="pl-PL"/>
              </w:rPr>
            </w:pPr>
            <w:r>
              <w:rPr>
                <w:rFonts w:ascii="Arial" w:hAnsi="Arial" w:cs="Arial"/>
                <w:b/>
                <w:color w:val="2F5496"/>
                <w:sz w:val="18"/>
                <w:szCs w:val="22"/>
                <w:lang w:val="pl-PL"/>
              </w:rPr>
              <w:t>427 000</w:t>
            </w:r>
            <w:r>
              <w:rPr>
                <w:rFonts w:ascii="Arial" w:hAnsi="Arial" w:cs="Arial"/>
                <w:color w:val="2F5496"/>
                <w:sz w:val="18"/>
                <w:szCs w:val="22"/>
                <w:lang w:val="pl-PL"/>
              </w:rPr>
              <w:t xml:space="preserve"> pracowników</w:t>
            </w:r>
          </w:p>
          <w:p w:rsidR="00D92B19" w:rsidRDefault="009D3C40">
            <w:pPr>
              <w:jc w:val="both"/>
              <w:rPr>
                <w:rFonts w:ascii="Arial" w:hAnsi="Arial" w:cs="Arial"/>
                <w:color w:val="2F5496"/>
                <w:sz w:val="18"/>
                <w:szCs w:val="22"/>
                <w:lang w:val="pl-PL"/>
              </w:rPr>
            </w:pPr>
            <w:r>
              <w:rPr>
                <w:rFonts w:ascii="Arial" w:hAnsi="Arial" w:cs="Arial"/>
                <w:b/>
                <w:color w:val="2F5496"/>
                <w:sz w:val="18"/>
                <w:szCs w:val="22"/>
                <w:lang w:val="pl-PL"/>
              </w:rPr>
              <w:t xml:space="preserve">19. pozycja </w:t>
            </w:r>
            <w:r>
              <w:rPr>
                <w:rFonts w:ascii="Arial" w:hAnsi="Arial" w:cs="Arial"/>
                <w:color w:val="2F5496"/>
                <w:sz w:val="18"/>
                <w:szCs w:val="22"/>
                <w:lang w:val="pl-PL"/>
              </w:rPr>
              <w:t>na liście największych pracodawców</w:t>
            </w:r>
          </w:p>
          <w:p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na świecie</w:t>
            </w:r>
          </w:p>
          <w:p w:rsidR="00D92B19" w:rsidRDefault="009D3C40">
            <w:pPr>
              <w:jc w:val="both"/>
              <w:rPr>
                <w:rFonts w:ascii="Arial" w:hAnsi="Arial" w:cs="Arial"/>
                <w:color w:val="2F5496"/>
                <w:sz w:val="18"/>
                <w:szCs w:val="22"/>
                <w:lang w:val="pl-PL"/>
              </w:rPr>
            </w:pPr>
            <w:r>
              <w:rPr>
                <w:rFonts w:ascii="Arial" w:hAnsi="Arial" w:cs="Arial"/>
                <w:b/>
                <w:color w:val="2F5496"/>
                <w:sz w:val="18"/>
                <w:szCs w:val="22"/>
                <w:lang w:val="pl-PL"/>
              </w:rPr>
              <w:t>80</w:t>
            </w:r>
            <w:r>
              <w:rPr>
                <w:rFonts w:ascii="Arial" w:hAnsi="Arial" w:cs="Arial"/>
                <w:color w:val="2F5496"/>
                <w:sz w:val="18"/>
                <w:szCs w:val="22"/>
                <w:lang w:val="pl-PL"/>
              </w:rPr>
              <w:t xml:space="preserve"> krajów</w:t>
            </w:r>
          </w:p>
          <w:p w:rsidR="00D92B19" w:rsidRDefault="009D3C40">
            <w:pPr>
              <w:jc w:val="both"/>
              <w:rPr>
                <w:rFonts w:ascii="Arial" w:hAnsi="Arial" w:cs="Arial"/>
                <w:color w:val="2F5496"/>
                <w:sz w:val="18"/>
                <w:szCs w:val="22"/>
                <w:lang w:val="pl-PL"/>
              </w:rPr>
            </w:pPr>
            <w:r>
              <w:rPr>
                <w:rFonts w:ascii="Arial" w:hAnsi="Arial" w:cs="Arial"/>
                <w:b/>
                <w:color w:val="2F5496"/>
                <w:sz w:val="18"/>
                <w:szCs w:val="22"/>
                <w:lang w:val="pl-PL"/>
              </w:rPr>
              <w:t>100 milionów</w:t>
            </w:r>
            <w:r>
              <w:rPr>
                <w:rFonts w:ascii="Arial" w:hAnsi="Arial" w:cs="Arial"/>
                <w:color w:val="2F5496"/>
                <w:sz w:val="18"/>
                <w:szCs w:val="22"/>
                <w:lang w:val="pl-PL"/>
              </w:rPr>
              <w:t xml:space="preserve"> konsumentów dziennie</w:t>
            </w:r>
          </w:p>
          <w:p w:rsidR="00D92B19" w:rsidRDefault="00D92B19">
            <w:pPr>
              <w:jc w:val="both"/>
              <w:rPr>
                <w:rFonts w:ascii="Arial" w:hAnsi="Arial" w:cs="Arial"/>
                <w:color w:val="2F5496"/>
                <w:sz w:val="18"/>
                <w:szCs w:val="22"/>
                <w:lang w:val="pl-PL"/>
              </w:rPr>
            </w:pPr>
          </w:p>
        </w:tc>
        <w:tc>
          <w:tcPr>
            <w:tcW w:w="4653" w:type="dxa"/>
          </w:tcPr>
          <w:p w:rsidR="00D92B19" w:rsidRDefault="009D3C40">
            <w:pPr>
              <w:jc w:val="both"/>
              <w:rPr>
                <w:rFonts w:ascii="Arial" w:hAnsi="Arial" w:cs="Arial"/>
                <w:b/>
                <w:bCs/>
                <w:color w:val="2F5496"/>
                <w:sz w:val="18"/>
                <w:szCs w:val="22"/>
                <w:lang w:val="en-IE"/>
              </w:rPr>
            </w:pPr>
            <w:r>
              <w:rPr>
                <w:rFonts w:ascii="Arial" w:hAnsi="Arial" w:cs="Arial"/>
                <w:b/>
                <w:bCs/>
                <w:color w:val="2F5496"/>
                <w:sz w:val="18"/>
                <w:szCs w:val="22"/>
                <w:lang w:val="en-IE"/>
              </w:rPr>
              <w:t>Sodexo On-site Services w Polsce</w:t>
            </w:r>
          </w:p>
          <w:p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5 200 000 m</w:t>
            </w:r>
            <w:r>
              <w:rPr>
                <w:rFonts w:ascii="Arial" w:hAnsi="Arial" w:cs="Arial"/>
                <w:color w:val="2F5496"/>
                <w:sz w:val="18"/>
                <w:szCs w:val="22"/>
                <w:vertAlign w:val="superscript"/>
                <w:lang w:val="pl-PL"/>
              </w:rPr>
              <w:t>2</w:t>
            </w:r>
            <w:r>
              <w:rPr>
                <w:rFonts w:ascii="Arial" w:hAnsi="Arial" w:cs="Arial"/>
                <w:color w:val="2F5496"/>
                <w:sz w:val="18"/>
                <w:szCs w:val="22"/>
                <w:lang w:val="pl-PL"/>
              </w:rPr>
              <w:t xml:space="preserve"> obsługiwanej powierzchni</w:t>
            </w:r>
          </w:p>
          <w:p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2 250 obsługiwanych mniejszych jednostek</w:t>
            </w:r>
          </w:p>
          <w:p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 xml:space="preserve">2 200 zatrudnionych pracowników </w:t>
            </w:r>
          </w:p>
          <w:p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 xml:space="preserve">400 Klientów </w:t>
            </w:r>
          </w:p>
          <w:p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250 obsługiwanych nieruchomości</w:t>
            </w:r>
          </w:p>
          <w:p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70 restauracji</w:t>
            </w:r>
          </w:p>
          <w:p w:rsidR="00D92B19" w:rsidRDefault="009D3C40">
            <w:pPr>
              <w:jc w:val="both"/>
              <w:rPr>
                <w:rFonts w:ascii="Arial" w:hAnsi="Arial" w:cs="Arial"/>
                <w:b/>
                <w:bCs/>
                <w:color w:val="2F5496"/>
                <w:sz w:val="18"/>
                <w:szCs w:val="22"/>
                <w:lang w:val="en-IE"/>
              </w:rPr>
            </w:pPr>
            <w:r>
              <w:rPr>
                <w:rFonts w:ascii="Arial" w:hAnsi="Arial" w:cs="Arial"/>
                <w:b/>
                <w:bCs/>
                <w:color w:val="2F5496"/>
                <w:sz w:val="18"/>
                <w:szCs w:val="22"/>
                <w:lang w:val="en-IE"/>
              </w:rPr>
              <w:t>Sodexo Benefits and Rewards Services w Polsce</w:t>
            </w:r>
          </w:p>
          <w:p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43 000 Klientów</w:t>
            </w:r>
          </w:p>
          <w:p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3 500 000 użytkowników naszych rozwiązań</w:t>
            </w:r>
          </w:p>
          <w:p w:rsidR="00D92B19" w:rsidRDefault="009D3C40">
            <w:pPr>
              <w:rPr>
                <w:rFonts w:ascii="Arial" w:hAnsi="Arial" w:cs="Arial"/>
                <w:color w:val="2F5496"/>
                <w:sz w:val="18"/>
                <w:szCs w:val="22"/>
                <w:lang w:val="pl-PL"/>
              </w:rPr>
            </w:pPr>
            <w:r>
              <w:rPr>
                <w:rFonts w:ascii="Arial" w:hAnsi="Arial" w:cs="Arial"/>
                <w:color w:val="2F5496"/>
                <w:sz w:val="18"/>
                <w:szCs w:val="22"/>
                <w:lang w:val="pl-PL"/>
              </w:rPr>
              <w:t xml:space="preserve">50 000 współpracujących punktów usługowo-handlowych </w:t>
            </w:r>
          </w:p>
        </w:tc>
      </w:tr>
      <w:bookmarkEnd w:id="1"/>
    </w:tbl>
    <w:p w:rsidR="00D92B19" w:rsidRDefault="00D92B19">
      <w:pPr>
        <w:jc w:val="both"/>
        <w:rPr>
          <w:rFonts w:ascii="Arial" w:hAnsi="Arial" w:cs="Arial"/>
          <w:b/>
          <w:bCs/>
          <w:color w:val="1F4E79"/>
          <w:sz w:val="18"/>
          <w:szCs w:val="18"/>
          <w:lang w:val="pl-PL"/>
        </w:rPr>
      </w:pPr>
    </w:p>
    <w:sectPr w:rsidR="00D92B19">
      <w:headerReference w:type="default" r:id="rId13"/>
      <w:footerReference w:type="default" r:id="rId14"/>
      <w:headerReference w:type="first" r:id="rId15"/>
      <w:footerReference w:type="first" r:id="rId16"/>
      <w:pgSz w:w="11900" w:h="16840"/>
      <w:pgMar w:top="2127" w:right="985" w:bottom="1418" w:left="90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CEA" w:rsidRDefault="00995CEA">
      <w:r>
        <w:separator/>
      </w:r>
    </w:p>
  </w:endnote>
  <w:endnote w:type="continuationSeparator" w:id="0">
    <w:p w:rsidR="00995CEA" w:rsidRDefault="0099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EE"/>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orbel">
    <w:altName w:val="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19" w:rsidRDefault="009D3C40">
    <w:pPr>
      <w:pStyle w:val="Stopka"/>
      <w:rPr>
        <w:rStyle w:val="Hipercze"/>
        <w:rFonts w:ascii="Arial" w:hAnsi="Arial" w:cs="Arial"/>
        <w:sz w:val="18"/>
        <w:szCs w:val="18"/>
      </w:rPr>
    </w:pPr>
    <w:r>
      <w:rPr>
        <w:noProof/>
        <w:lang w:val="pl-PL" w:eastAsia="pl-PL"/>
      </w:rPr>
      <w:drawing>
        <wp:anchor distT="0" distB="0" distL="114300" distR="114300" simplePos="0" relativeHeight="6" behindDoc="1" locked="0" layoutInCell="1" allowOverlap="1">
          <wp:simplePos x="0" y="0"/>
          <wp:positionH relativeFrom="column">
            <wp:posOffset>2792730</wp:posOffset>
          </wp:positionH>
          <wp:positionV relativeFrom="paragraph">
            <wp:posOffset>-100965</wp:posOffset>
          </wp:positionV>
          <wp:extent cx="1081404" cy="477520"/>
          <wp:effectExtent l="0" t="0" r="4445" b="0"/>
          <wp:wrapTight wrapText="bothSides">
            <wp:wrapPolygon edited="0">
              <wp:start x="0" y="0"/>
              <wp:lineTo x="0" y="20681"/>
              <wp:lineTo x="21308" y="20681"/>
              <wp:lineTo x="21308" y="0"/>
              <wp:lineTo x="0" y="0"/>
            </wp:wrapPolygon>
          </wp:wrapTight>
          <wp:docPr id="4098"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6"/>
                  <pic:cNvPicPr/>
                </pic:nvPicPr>
                <pic:blipFill>
                  <a:blip r:embed="rId1" cstate="print"/>
                  <a:srcRect/>
                  <a:stretch/>
                </pic:blipFill>
                <pic:spPr>
                  <a:xfrm>
                    <a:off x="0" y="0"/>
                    <a:ext cx="1081404" cy="477520"/>
                  </a:xfrm>
                  <a:prstGeom prst="rect">
                    <a:avLst/>
                  </a:prstGeom>
                  <a:ln>
                    <a:noFill/>
                  </a:ln>
                </pic:spPr>
              </pic:pic>
            </a:graphicData>
          </a:graphic>
        </wp:anchor>
      </w:drawing>
    </w:r>
    <w:r>
      <w:rPr>
        <w:noProof/>
        <w:lang w:val="pl-PL" w:eastAsia="pl-PL"/>
      </w:rPr>
      <w:drawing>
        <wp:anchor distT="0" distB="0" distL="114300" distR="114300" simplePos="0" relativeHeight="5" behindDoc="0" locked="0" layoutInCell="1" allowOverlap="1">
          <wp:simplePos x="0" y="0"/>
          <wp:positionH relativeFrom="column">
            <wp:posOffset>4904105</wp:posOffset>
          </wp:positionH>
          <wp:positionV relativeFrom="paragraph">
            <wp:posOffset>-80010</wp:posOffset>
          </wp:positionV>
          <wp:extent cx="1311909" cy="461010"/>
          <wp:effectExtent l="0" t="0" r="2540" b="0"/>
          <wp:wrapSquare wrapText="bothSides"/>
          <wp:docPr id="4099"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4"/>
                  <pic:cNvPicPr/>
                </pic:nvPicPr>
                <pic:blipFill>
                  <a:blip r:embed="rId2" cstate="print"/>
                  <a:srcRect/>
                  <a:stretch/>
                </pic:blipFill>
                <pic:spPr>
                  <a:xfrm>
                    <a:off x="0" y="0"/>
                    <a:ext cx="1311909" cy="461010"/>
                  </a:xfrm>
                  <a:prstGeom prst="rect">
                    <a:avLst/>
                  </a:prstGeom>
                  <a:ln>
                    <a:noFill/>
                  </a:ln>
                </pic:spPr>
              </pic:pic>
            </a:graphicData>
          </a:graphic>
        </wp:anchor>
      </w:drawing>
    </w:r>
    <w:r>
      <w:fldChar w:fldCharType="begin"/>
    </w:r>
    <w:r>
      <w:instrText xml:space="preserve"> PAGE  \* MERGEFORMAT </w:instrText>
    </w:r>
    <w:r>
      <w:fldChar w:fldCharType="separate"/>
    </w:r>
    <w:r>
      <w:rPr>
        <w:noProof/>
      </w:rPr>
      <w:t>2</w:t>
    </w:r>
    <w: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t xml:space="preserve"> - </w:t>
    </w:r>
    <w:r>
      <w:rPr>
        <w:rStyle w:val="Hipercze"/>
        <w:rFonts w:ascii="Arial" w:hAnsi="Arial" w:cs="Arial"/>
        <w:sz w:val="18"/>
        <w:szCs w:val="18"/>
      </w:rPr>
      <w:t>sodexomotywacja.pl</w:t>
    </w:r>
  </w:p>
  <w:p w:rsidR="00D92B19" w:rsidRDefault="009D3C40">
    <w:pPr>
      <w:pStyle w:val="Stopka"/>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19" w:rsidRDefault="009D3C40">
    <w:pPr>
      <w:pStyle w:val="Stopka"/>
    </w:pPr>
    <w:r>
      <w:rPr>
        <w:noProof/>
        <w:lang w:val="pl-PL" w:eastAsia="pl-PL"/>
      </w:rPr>
      <w:drawing>
        <wp:anchor distT="0" distB="0" distL="114300" distR="114300" simplePos="0" relativeHeight="4" behindDoc="0" locked="0" layoutInCell="1" allowOverlap="1">
          <wp:simplePos x="0" y="0"/>
          <wp:positionH relativeFrom="column">
            <wp:posOffset>4751705</wp:posOffset>
          </wp:positionH>
          <wp:positionV relativeFrom="paragraph">
            <wp:posOffset>120014</wp:posOffset>
          </wp:positionV>
          <wp:extent cx="1311909" cy="461010"/>
          <wp:effectExtent l="0" t="0" r="2540" b="0"/>
          <wp:wrapSquare wrapText="bothSides"/>
          <wp:docPr id="4101"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3"/>
                  <pic:cNvPicPr/>
                </pic:nvPicPr>
                <pic:blipFill>
                  <a:blip r:embed="rId1" cstate="print"/>
                  <a:srcRect/>
                  <a:stretch/>
                </pic:blipFill>
                <pic:spPr>
                  <a:xfrm>
                    <a:off x="0" y="0"/>
                    <a:ext cx="1311909" cy="461010"/>
                  </a:xfrm>
                  <a:prstGeom prst="rect">
                    <a:avLst/>
                  </a:prstGeom>
                  <a:ln>
                    <a:noFill/>
                  </a:ln>
                </pic:spPr>
              </pic:pic>
            </a:graphicData>
          </a:graphic>
        </wp:anchor>
      </w:drawing>
    </w:r>
    <w:r>
      <w:rPr>
        <w:b/>
        <w:sz w:val="20"/>
      </w:rPr>
      <w:fldChar w:fldCharType="begin"/>
    </w:r>
    <w:r>
      <w:rPr>
        <w:b/>
        <w:sz w:val="20"/>
      </w:rPr>
      <w:instrText xml:space="preserve"> PAGE  \* MERGEFORMAT </w:instrText>
    </w:r>
    <w:r>
      <w:rPr>
        <w:b/>
        <w:sz w:val="20"/>
      </w:rPr>
      <w:fldChar w:fldCharType="separate"/>
    </w:r>
    <w:r>
      <w:rPr>
        <w:b/>
        <w:noProof/>
        <w:sz w:val="20"/>
      </w:rPr>
      <w:t>1</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Pr>
        <w:b/>
        <w:noProof/>
        <w:sz w:val="20"/>
      </w:rPr>
      <w:t>2</w:t>
    </w:r>
    <w:r>
      <w:rPr>
        <w:b/>
        <w:noProof/>
        <w:sz w:val="20"/>
      </w:rPr>
      <w:fldChar w:fldCharType="end"/>
    </w:r>
    <w:r>
      <w:rPr>
        <w:b/>
      </w:rPr>
      <w:t xml:space="preserve"> –</w:t>
    </w:r>
    <w:r>
      <w:t xml:space="preserve"> </w:t>
    </w:r>
    <w:r>
      <w:rPr>
        <w:rStyle w:val="Hipercze"/>
        <w:rFonts w:ascii="Arial" w:hAnsi="Arial" w:cs="Arial"/>
        <w:sz w:val="18"/>
        <w:szCs w:val="18"/>
      </w:rPr>
      <w:t>sodexomotywacja.pl</w:t>
    </w:r>
    <w:r>
      <w:rPr>
        <w:color w:val="1F497D"/>
      </w:rPr>
      <w:tab/>
    </w:r>
    <w:r>
      <w:rPr>
        <w:noProof/>
        <w:color w:val="1F497D"/>
        <w:lang w:val="pl-PL" w:eastAsia="pl-PL"/>
      </w:rPr>
      <w:drawing>
        <wp:inline distT="0" distB="0" distL="0" distR="0">
          <wp:extent cx="1535744" cy="757237"/>
          <wp:effectExtent l="0" t="0" r="7620" b="5080"/>
          <wp:docPr id="4102"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az 9"/>
                  <pic:cNvPicPr/>
                </pic:nvPicPr>
                <pic:blipFill>
                  <a:blip r:embed="rId2" cstate="print"/>
                  <a:srcRect/>
                  <a:stretch/>
                </pic:blipFill>
                <pic:spPr>
                  <a:xfrm>
                    <a:off x="0" y="0"/>
                    <a:ext cx="1535744" cy="757237"/>
                  </a:xfrm>
                  <a:prstGeom prst="rect">
                    <a:avLst/>
                  </a:prstGeom>
                </pic:spPr>
              </pic:pic>
            </a:graphicData>
          </a:graphic>
        </wp:inline>
      </w:drawing>
    </w:r>
  </w:p>
  <w:p w:rsidR="00D92B19" w:rsidRDefault="009D3C40">
    <w:pPr>
      <w:pStyle w:val="Stopk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CEA" w:rsidRDefault="00995CEA">
      <w:r>
        <w:separator/>
      </w:r>
    </w:p>
  </w:footnote>
  <w:footnote w:type="continuationSeparator" w:id="0">
    <w:p w:rsidR="00995CEA" w:rsidRDefault="00995CEA">
      <w:r>
        <w:continuationSeparator/>
      </w:r>
    </w:p>
  </w:footnote>
  <w:footnote w:id="1">
    <w:p w:rsidR="00D92B19" w:rsidRDefault="009D3C40">
      <w:pPr>
        <w:pStyle w:val="Tekstprzypisudolnego"/>
        <w:rPr>
          <w:lang w:val="pl-PL"/>
        </w:rPr>
      </w:pPr>
      <w:r>
        <w:rPr>
          <w:rStyle w:val="Odwoanieprzypisudolnego"/>
        </w:rPr>
        <w:footnoteRef/>
      </w:r>
      <w:r>
        <w:t xml:space="preserve"> Raport </w:t>
      </w:r>
      <w:hyperlink r:id="rId1" w:history="1">
        <w:r>
          <w:rPr>
            <w:rStyle w:val="Hipercze"/>
          </w:rPr>
          <w:t>„Drogowskaz Motywacyjny 2018”</w:t>
        </w:r>
      </w:hyperlink>
      <w:r>
        <w:t xml:space="preserve">  </w:t>
      </w:r>
    </w:p>
  </w:footnote>
  <w:footnote w:id="2">
    <w:p w:rsidR="00D92B19" w:rsidRDefault="009D3C40">
      <w:pPr>
        <w:pStyle w:val="Tekstprzypisudolnego"/>
        <w:rPr>
          <w:lang w:val="pl-PL"/>
        </w:rPr>
      </w:pPr>
      <w:r>
        <w:rPr>
          <w:rStyle w:val="Odwoanieprzypisudolnego"/>
        </w:rPr>
        <w:footnoteRef/>
      </w:r>
      <w:r>
        <w:t xml:space="preserve"> Raport </w:t>
      </w:r>
      <w:hyperlink r:id="rId2" w:history="1">
        <w:r>
          <w:rPr>
            <w:rStyle w:val="Hipercze"/>
          </w:rPr>
          <w:t>„Drogowskaz Motywacyjny 2018”</w:t>
        </w:r>
      </w:hyperlink>
    </w:p>
  </w:footnote>
  <w:footnote w:id="3">
    <w:p w:rsidR="00D92B19" w:rsidRDefault="009D3C40">
      <w:pPr>
        <w:pStyle w:val="Tekstprzypisudolnego"/>
        <w:rPr>
          <w:lang w:val="pl-PL"/>
        </w:rPr>
      </w:pPr>
      <w:r>
        <w:rPr>
          <w:rStyle w:val="Odwoanieprzypisudolnego"/>
        </w:rPr>
        <w:footnoteRef/>
      </w:r>
      <w:r>
        <w:t xml:space="preserve"> </w:t>
      </w:r>
      <w:r>
        <w:rPr>
          <w:lang w:val="pl-PL"/>
        </w:rPr>
        <w:t>Raport „Świąteczne zakupy”, Deloitte,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19" w:rsidRDefault="009D3C40">
    <w:pPr>
      <w:pStyle w:val="Nagwek"/>
    </w:pPr>
    <w:r>
      <w:rPr>
        <w:noProof/>
        <w:lang w:val="pl-PL" w:eastAsia="pl-PL"/>
      </w:rPr>
      <w:drawing>
        <wp:anchor distT="0" distB="0" distL="0" distR="0" simplePos="0" relativeHeight="2" behindDoc="1" locked="0" layoutInCell="1" allowOverlap="1">
          <wp:simplePos x="0" y="0"/>
          <wp:positionH relativeFrom="column">
            <wp:posOffset>4624705</wp:posOffset>
          </wp:positionH>
          <wp:positionV relativeFrom="paragraph">
            <wp:posOffset>-431165</wp:posOffset>
          </wp:positionV>
          <wp:extent cx="2354580" cy="1076960"/>
          <wp:effectExtent l="0" t="0" r="0" b="8890"/>
          <wp:wrapNone/>
          <wp:docPr id="409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cstate="print"/>
                  <a:srcRect/>
                  <a:stretch/>
                </pic:blipFill>
                <pic:spPr>
                  <a:xfrm>
                    <a:off x="0" y="0"/>
                    <a:ext cx="2354580" cy="1076960"/>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19" w:rsidRDefault="009D3C40">
    <w:pPr>
      <w:pStyle w:val="Nagwek"/>
    </w:pPr>
    <w:r>
      <w:rPr>
        <w:noProof/>
        <w:lang w:val="pl-PL" w:eastAsia="pl-PL"/>
      </w:rPr>
      <w:drawing>
        <wp:anchor distT="0" distB="0" distL="0" distR="0" simplePos="0" relativeHeight="3" behindDoc="0" locked="0" layoutInCell="1" allowOverlap="1">
          <wp:simplePos x="0" y="0"/>
          <wp:positionH relativeFrom="column">
            <wp:posOffset>-575945</wp:posOffset>
          </wp:positionH>
          <wp:positionV relativeFrom="paragraph">
            <wp:posOffset>-426085</wp:posOffset>
          </wp:positionV>
          <wp:extent cx="7635875" cy="2410460"/>
          <wp:effectExtent l="0" t="0" r="3175" b="8890"/>
          <wp:wrapTopAndBottom/>
          <wp:docPr id="4100"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braz 2"/>
                  <pic:cNvPicPr/>
                </pic:nvPicPr>
                <pic:blipFill>
                  <a:blip r:embed="rId1" cstate="print"/>
                  <a:srcRect/>
                  <a:stretch/>
                </pic:blipFill>
                <pic:spPr>
                  <a:xfrm>
                    <a:off x="0" y="0"/>
                    <a:ext cx="7635875" cy="241046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F7E3D4A"/>
    <w:lvl w:ilvl="0" w:tplc="C13820E2">
      <w:start w:val="1"/>
      <w:numFmt w:val="bullet"/>
      <w:lvlText w:val=""/>
      <w:lvlJc w:val="left"/>
      <w:pPr>
        <w:tabs>
          <w:tab w:val="left" w:pos="720"/>
        </w:tabs>
        <w:ind w:left="720" w:hanging="360"/>
      </w:pPr>
      <w:rPr>
        <w:rFonts w:ascii="Wingdings" w:hAnsi="Wingdings" w:hint="default"/>
      </w:rPr>
    </w:lvl>
    <w:lvl w:ilvl="1" w:tplc="E68664A2" w:tentative="1">
      <w:start w:val="1"/>
      <w:numFmt w:val="bullet"/>
      <w:lvlText w:val=""/>
      <w:lvlJc w:val="left"/>
      <w:pPr>
        <w:tabs>
          <w:tab w:val="left" w:pos="1440"/>
        </w:tabs>
        <w:ind w:left="1440" w:hanging="360"/>
      </w:pPr>
      <w:rPr>
        <w:rFonts w:ascii="Wingdings" w:hAnsi="Wingdings" w:hint="default"/>
      </w:rPr>
    </w:lvl>
    <w:lvl w:ilvl="2" w:tplc="10B4139A" w:tentative="1">
      <w:start w:val="1"/>
      <w:numFmt w:val="bullet"/>
      <w:lvlText w:val=""/>
      <w:lvlJc w:val="left"/>
      <w:pPr>
        <w:tabs>
          <w:tab w:val="left" w:pos="2160"/>
        </w:tabs>
        <w:ind w:left="2160" w:hanging="360"/>
      </w:pPr>
      <w:rPr>
        <w:rFonts w:ascii="Wingdings" w:hAnsi="Wingdings" w:hint="default"/>
      </w:rPr>
    </w:lvl>
    <w:lvl w:ilvl="3" w:tplc="80BACDEE" w:tentative="1">
      <w:start w:val="1"/>
      <w:numFmt w:val="bullet"/>
      <w:lvlText w:val=""/>
      <w:lvlJc w:val="left"/>
      <w:pPr>
        <w:tabs>
          <w:tab w:val="left" w:pos="2880"/>
        </w:tabs>
        <w:ind w:left="2880" w:hanging="360"/>
      </w:pPr>
      <w:rPr>
        <w:rFonts w:ascii="Wingdings" w:hAnsi="Wingdings" w:hint="default"/>
      </w:rPr>
    </w:lvl>
    <w:lvl w:ilvl="4" w:tplc="D9C02DD2" w:tentative="1">
      <w:start w:val="1"/>
      <w:numFmt w:val="bullet"/>
      <w:lvlText w:val=""/>
      <w:lvlJc w:val="left"/>
      <w:pPr>
        <w:tabs>
          <w:tab w:val="left" w:pos="3600"/>
        </w:tabs>
        <w:ind w:left="3600" w:hanging="360"/>
      </w:pPr>
      <w:rPr>
        <w:rFonts w:ascii="Wingdings" w:hAnsi="Wingdings" w:hint="default"/>
      </w:rPr>
    </w:lvl>
    <w:lvl w:ilvl="5" w:tplc="4BB016D8" w:tentative="1">
      <w:start w:val="1"/>
      <w:numFmt w:val="bullet"/>
      <w:lvlText w:val=""/>
      <w:lvlJc w:val="left"/>
      <w:pPr>
        <w:tabs>
          <w:tab w:val="left" w:pos="4320"/>
        </w:tabs>
        <w:ind w:left="4320" w:hanging="360"/>
      </w:pPr>
      <w:rPr>
        <w:rFonts w:ascii="Wingdings" w:hAnsi="Wingdings" w:hint="default"/>
      </w:rPr>
    </w:lvl>
    <w:lvl w:ilvl="6" w:tplc="B780470C" w:tentative="1">
      <w:start w:val="1"/>
      <w:numFmt w:val="bullet"/>
      <w:lvlText w:val=""/>
      <w:lvlJc w:val="left"/>
      <w:pPr>
        <w:tabs>
          <w:tab w:val="left" w:pos="5040"/>
        </w:tabs>
        <w:ind w:left="5040" w:hanging="360"/>
      </w:pPr>
      <w:rPr>
        <w:rFonts w:ascii="Wingdings" w:hAnsi="Wingdings" w:hint="default"/>
      </w:rPr>
    </w:lvl>
    <w:lvl w:ilvl="7" w:tplc="2DCEB43E" w:tentative="1">
      <w:start w:val="1"/>
      <w:numFmt w:val="bullet"/>
      <w:lvlText w:val=""/>
      <w:lvlJc w:val="left"/>
      <w:pPr>
        <w:tabs>
          <w:tab w:val="left" w:pos="5760"/>
        </w:tabs>
        <w:ind w:left="5760" w:hanging="360"/>
      </w:pPr>
      <w:rPr>
        <w:rFonts w:ascii="Wingdings" w:hAnsi="Wingdings" w:hint="default"/>
      </w:rPr>
    </w:lvl>
    <w:lvl w:ilvl="8" w:tplc="5C129378"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02"/>
    <w:multiLevelType w:val="hybridMultilevel"/>
    <w:tmpl w:val="5E60E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0CFC6A3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hybridMultilevel"/>
    <w:tmpl w:val="2F3A3924"/>
    <w:lvl w:ilvl="0" w:tplc="8E9A14B4">
      <w:start w:val="1"/>
      <w:numFmt w:val="bullet"/>
      <w:lvlText w:val=""/>
      <w:lvlJc w:val="left"/>
      <w:pPr>
        <w:tabs>
          <w:tab w:val="left" w:pos="720"/>
        </w:tabs>
        <w:ind w:left="720" w:hanging="360"/>
      </w:pPr>
      <w:rPr>
        <w:rFonts w:ascii="Wingdings" w:hAnsi="Wingdings" w:hint="default"/>
      </w:rPr>
    </w:lvl>
    <w:lvl w:ilvl="1" w:tplc="8E643F48" w:tentative="1">
      <w:start w:val="1"/>
      <w:numFmt w:val="bullet"/>
      <w:lvlText w:val=""/>
      <w:lvlJc w:val="left"/>
      <w:pPr>
        <w:tabs>
          <w:tab w:val="left" w:pos="1440"/>
        </w:tabs>
        <w:ind w:left="1440" w:hanging="360"/>
      </w:pPr>
      <w:rPr>
        <w:rFonts w:ascii="Wingdings" w:hAnsi="Wingdings" w:hint="default"/>
      </w:rPr>
    </w:lvl>
    <w:lvl w:ilvl="2" w:tplc="19E827AE" w:tentative="1">
      <w:start w:val="1"/>
      <w:numFmt w:val="bullet"/>
      <w:lvlText w:val=""/>
      <w:lvlJc w:val="left"/>
      <w:pPr>
        <w:tabs>
          <w:tab w:val="left" w:pos="2160"/>
        </w:tabs>
        <w:ind w:left="2160" w:hanging="360"/>
      </w:pPr>
      <w:rPr>
        <w:rFonts w:ascii="Wingdings" w:hAnsi="Wingdings" w:hint="default"/>
      </w:rPr>
    </w:lvl>
    <w:lvl w:ilvl="3" w:tplc="B5D2E5D0" w:tentative="1">
      <w:start w:val="1"/>
      <w:numFmt w:val="bullet"/>
      <w:lvlText w:val=""/>
      <w:lvlJc w:val="left"/>
      <w:pPr>
        <w:tabs>
          <w:tab w:val="left" w:pos="2880"/>
        </w:tabs>
        <w:ind w:left="2880" w:hanging="360"/>
      </w:pPr>
      <w:rPr>
        <w:rFonts w:ascii="Wingdings" w:hAnsi="Wingdings" w:hint="default"/>
      </w:rPr>
    </w:lvl>
    <w:lvl w:ilvl="4" w:tplc="FA7634D8" w:tentative="1">
      <w:start w:val="1"/>
      <w:numFmt w:val="bullet"/>
      <w:lvlText w:val=""/>
      <w:lvlJc w:val="left"/>
      <w:pPr>
        <w:tabs>
          <w:tab w:val="left" w:pos="3600"/>
        </w:tabs>
        <w:ind w:left="3600" w:hanging="360"/>
      </w:pPr>
      <w:rPr>
        <w:rFonts w:ascii="Wingdings" w:hAnsi="Wingdings" w:hint="default"/>
      </w:rPr>
    </w:lvl>
    <w:lvl w:ilvl="5" w:tplc="B8787818" w:tentative="1">
      <w:start w:val="1"/>
      <w:numFmt w:val="bullet"/>
      <w:lvlText w:val=""/>
      <w:lvlJc w:val="left"/>
      <w:pPr>
        <w:tabs>
          <w:tab w:val="left" w:pos="4320"/>
        </w:tabs>
        <w:ind w:left="4320" w:hanging="360"/>
      </w:pPr>
      <w:rPr>
        <w:rFonts w:ascii="Wingdings" w:hAnsi="Wingdings" w:hint="default"/>
      </w:rPr>
    </w:lvl>
    <w:lvl w:ilvl="6" w:tplc="C3ECBF80" w:tentative="1">
      <w:start w:val="1"/>
      <w:numFmt w:val="bullet"/>
      <w:lvlText w:val=""/>
      <w:lvlJc w:val="left"/>
      <w:pPr>
        <w:tabs>
          <w:tab w:val="left" w:pos="5040"/>
        </w:tabs>
        <w:ind w:left="5040" w:hanging="360"/>
      </w:pPr>
      <w:rPr>
        <w:rFonts w:ascii="Wingdings" w:hAnsi="Wingdings" w:hint="default"/>
      </w:rPr>
    </w:lvl>
    <w:lvl w:ilvl="7" w:tplc="02D6053A" w:tentative="1">
      <w:start w:val="1"/>
      <w:numFmt w:val="bullet"/>
      <w:lvlText w:val=""/>
      <w:lvlJc w:val="left"/>
      <w:pPr>
        <w:tabs>
          <w:tab w:val="left" w:pos="5760"/>
        </w:tabs>
        <w:ind w:left="5760" w:hanging="360"/>
      </w:pPr>
      <w:rPr>
        <w:rFonts w:ascii="Wingdings" w:hAnsi="Wingdings" w:hint="default"/>
      </w:rPr>
    </w:lvl>
    <w:lvl w:ilvl="8" w:tplc="E19CC2FA"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multilevel"/>
    <w:tmpl w:val="84F06F4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hybridMultilevel"/>
    <w:tmpl w:val="2C9CB21E"/>
    <w:lvl w:ilvl="0" w:tplc="A25E586E">
      <w:start w:val="1"/>
      <w:numFmt w:val="bullet"/>
      <w:lvlText w:val=""/>
      <w:lvlJc w:val="left"/>
      <w:pPr>
        <w:tabs>
          <w:tab w:val="left" w:pos="720"/>
        </w:tabs>
        <w:ind w:left="720" w:hanging="360"/>
      </w:pPr>
      <w:rPr>
        <w:rFonts w:ascii="Wingdings" w:hAnsi="Wingdings" w:hint="default"/>
      </w:rPr>
    </w:lvl>
    <w:lvl w:ilvl="1" w:tplc="FE8CF51A" w:tentative="1">
      <w:start w:val="1"/>
      <w:numFmt w:val="bullet"/>
      <w:lvlText w:val=""/>
      <w:lvlJc w:val="left"/>
      <w:pPr>
        <w:tabs>
          <w:tab w:val="left" w:pos="1440"/>
        </w:tabs>
        <w:ind w:left="1440" w:hanging="360"/>
      </w:pPr>
      <w:rPr>
        <w:rFonts w:ascii="Wingdings" w:hAnsi="Wingdings" w:hint="default"/>
      </w:rPr>
    </w:lvl>
    <w:lvl w:ilvl="2" w:tplc="8E9C700A" w:tentative="1">
      <w:start w:val="1"/>
      <w:numFmt w:val="bullet"/>
      <w:lvlText w:val=""/>
      <w:lvlJc w:val="left"/>
      <w:pPr>
        <w:tabs>
          <w:tab w:val="left" w:pos="2160"/>
        </w:tabs>
        <w:ind w:left="2160" w:hanging="360"/>
      </w:pPr>
      <w:rPr>
        <w:rFonts w:ascii="Wingdings" w:hAnsi="Wingdings" w:hint="default"/>
      </w:rPr>
    </w:lvl>
    <w:lvl w:ilvl="3" w:tplc="A4829C18" w:tentative="1">
      <w:start w:val="1"/>
      <w:numFmt w:val="bullet"/>
      <w:lvlText w:val=""/>
      <w:lvlJc w:val="left"/>
      <w:pPr>
        <w:tabs>
          <w:tab w:val="left" w:pos="2880"/>
        </w:tabs>
        <w:ind w:left="2880" w:hanging="360"/>
      </w:pPr>
      <w:rPr>
        <w:rFonts w:ascii="Wingdings" w:hAnsi="Wingdings" w:hint="default"/>
      </w:rPr>
    </w:lvl>
    <w:lvl w:ilvl="4" w:tplc="ADBA4046" w:tentative="1">
      <w:start w:val="1"/>
      <w:numFmt w:val="bullet"/>
      <w:lvlText w:val=""/>
      <w:lvlJc w:val="left"/>
      <w:pPr>
        <w:tabs>
          <w:tab w:val="left" w:pos="3600"/>
        </w:tabs>
        <w:ind w:left="3600" w:hanging="360"/>
      </w:pPr>
      <w:rPr>
        <w:rFonts w:ascii="Wingdings" w:hAnsi="Wingdings" w:hint="default"/>
      </w:rPr>
    </w:lvl>
    <w:lvl w:ilvl="5" w:tplc="0BD410C4" w:tentative="1">
      <w:start w:val="1"/>
      <w:numFmt w:val="bullet"/>
      <w:lvlText w:val=""/>
      <w:lvlJc w:val="left"/>
      <w:pPr>
        <w:tabs>
          <w:tab w:val="left" w:pos="4320"/>
        </w:tabs>
        <w:ind w:left="4320" w:hanging="360"/>
      </w:pPr>
      <w:rPr>
        <w:rFonts w:ascii="Wingdings" w:hAnsi="Wingdings" w:hint="default"/>
      </w:rPr>
    </w:lvl>
    <w:lvl w:ilvl="6" w:tplc="6F80EF10" w:tentative="1">
      <w:start w:val="1"/>
      <w:numFmt w:val="bullet"/>
      <w:lvlText w:val=""/>
      <w:lvlJc w:val="left"/>
      <w:pPr>
        <w:tabs>
          <w:tab w:val="left" w:pos="5040"/>
        </w:tabs>
        <w:ind w:left="5040" w:hanging="360"/>
      </w:pPr>
      <w:rPr>
        <w:rFonts w:ascii="Wingdings" w:hAnsi="Wingdings" w:hint="default"/>
      </w:rPr>
    </w:lvl>
    <w:lvl w:ilvl="7" w:tplc="E710127A" w:tentative="1">
      <w:start w:val="1"/>
      <w:numFmt w:val="bullet"/>
      <w:lvlText w:val=""/>
      <w:lvlJc w:val="left"/>
      <w:pPr>
        <w:tabs>
          <w:tab w:val="left" w:pos="5760"/>
        </w:tabs>
        <w:ind w:left="5760" w:hanging="360"/>
      </w:pPr>
      <w:rPr>
        <w:rFonts w:ascii="Wingdings" w:hAnsi="Wingdings" w:hint="default"/>
      </w:rPr>
    </w:lvl>
    <w:lvl w:ilvl="8" w:tplc="4336D388"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multilevel"/>
    <w:tmpl w:val="24C2992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08"/>
    <w:multiLevelType w:val="hybridMultilevel"/>
    <w:tmpl w:val="3CC849A0"/>
    <w:lvl w:ilvl="0" w:tplc="CD7A3C0C">
      <w:start w:val="1"/>
      <w:numFmt w:val="bullet"/>
      <w:lvlText w:val=""/>
      <w:lvlJc w:val="left"/>
      <w:pPr>
        <w:tabs>
          <w:tab w:val="left" w:pos="720"/>
        </w:tabs>
        <w:ind w:left="720" w:hanging="360"/>
      </w:pPr>
      <w:rPr>
        <w:rFonts w:ascii="Wingdings" w:hAnsi="Wingdings" w:hint="default"/>
      </w:rPr>
    </w:lvl>
    <w:lvl w:ilvl="1" w:tplc="17B25682" w:tentative="1">
      <w:start w:val="1"/>
      <w:numFmt w:val="bullet"/>
      <w:lvlText w:val=""/>
      <w:lvlJc w:val="left"/>
      <w:pPr>
        <w:tabs>
          <w:tab w:val="left" w:pos="1440"/>
        </w:tabs>
        <w:ind w:left="1440" w:hanging="360"/>
      </w:pPr>
      <w:rPr>
        <w:rFonts w:ascii="Wingdings" w:hAnsi="Wingdings" w:hint="default"/>
      </w:rPr>
    </w:lvl>
    <w:lvl w:ilvl="2" w:tplc="251E46A6" w:tentative="1">
      <w:start w:val="1"/>
      <w:numFmt w:val="bullet"/>
      <w:lvlText w:val=""/>
      <w:lvlJc w:val="left"/>
      <w:pPr>
        <w:tabs>
          <w:tab w:val="left" w:pos="2160"/>
        </w:tabs>
        <w:ind w:left="2160" w:hanging="360"/>
      </w:pPr>
      <w:rPr>
        <w:rFonts w:ascii="Wingdings" w:hAnsi="Wingdings" w:hint="default"/>
      </w:rPr>
    </w:lvl>
    <w:lvl w:ilvl="3" w:tplc="E6421966" w:tentative="1">
      <w:start w:val="1"/>
      <w:numFmt w:val="bullet"/>
      <w:lvlText w:val=""/>
      <w:lvlJc w:val="left"/>
      <w:pPr>
        <w:tabs>
          <w:tab w:val="left" w:pos="2880"/>
        </w:tabs>
        <w:ind w:left="2880" w:hanging="360"/>
      </w:pPr>
      <w:rPr>
        <w:rFonts w:ascii="Wingdings" w:hAnsi="Wingdings" w:hint="default"/>
      </w:rPr>
    </w:lvl>
    <w:lvl w:ilvl="4" w:tplc="C1FA0504" w:tentative="1">
      <w:start w:val="1"/>
      <w:numFmt w:val="bullet"/>
      <w:lvlText w:val=""/>
      <w:lvlJc w:val="left"/>
      <w:pPr>
        <w:tabs>
          <w:tab w:val="left" w:pos="3600"/>
        </w:tabs>
        <w:ind w:left="3600" w:hanging="360"/>
      </w:pPr>
      <w:rPr>
        <w:rFonts w:ascii="Wingdings" w:hAnsi="Wingdings" w:hint="default"/>
      </w:rPr>
    </w:lvl>
    <w:lvl w:ilvl="5" w:tplc="CC5A2130" w:tentative="1">
      <w:start w:val="1"/>
      <w:numFmt w:val="bullet"/>
      <w:lvlText w:val=""/>
      <w:lvlJc w:val="left"/>
      <w:pPr>
        <w:tabs>
          <w:tab w:val="left" w:pos="4320"/>
        </w:tabs>
        <w:ind w:left="4320" w:hanging="360"/>
      </w:pPr>
      <w:rPr>
        <w:rFonts w:ascii="Wingdings" w:hAnsi="Wingdings" w:hint="default"/>
      </w:rPr>
    </w:lvl>
    <w:lvl w:ilvl="6" w:tplc="A42E25AE" w:tentative="1">
      <w:start w:val="1"/>
      <w:numFmt w:val="bullet"/>
      <w:lvlText w:val=""/>
      <w:lvlJc w:val="left"/>
      <w:pPr>
        <w:tabs>
          <w:tab w:val="left" w:pos="5040"/>
        </w:tabs>
        <w:ind w:left="5040" w:hanging="360"/>
      </w:pPr>
      <w:rPr>
        <w:rFonts w:ascii="Wingdings" w:hAnsi="Wingdings" w:hint="default"/>
      </w:rPr>
    </w:lvl>
    <w:lvl w:ilvl="7" w:tplc="D59EB606" w:tentative="1">
      <w:start w:val="1"/>
      <w:numFmt w:val="bullet"/>
      <w:lvlText w:val=""/>
      <w:lvlJc w:val="left"/>
      <w:pPr>
        <w:tabs>
          <w:tab w:val="left" w:pos="5760"/>
        </w:tabs>
        <w:ind w:left="5760" w:hanging="360"/>
      </w:pPr>
      <w:rPr>
        <w:rFonts w:ascii="Wingdings" w:hAnsi="Wingdings" w:hint="default"/>
      </w:rPr>
    </w:lvl>
    <w:lvl w:ilvl="8" w:tplc="79FC3AC2"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3B20226"/>
    <w:lvl w:ilvl="0" w:tplc="D1008E66">
      <w:start w:val="1"/>
      <w:numFmt w:val="bullet"/>
      <w:lvlText w:val="-"/>
      <w:lvlJc w:val="left"/>
      <w:pPr>
        <w:ind w:left="587" w:hanging="360"/>
      </w:pPr>
      <w:rPr>
        <w:rFonts w:ascii="Arial" w:eastAsia="Times New Roman" w:hAnsi="Arial" w:cs="Arial" w:hint="default"/>
        <w:i/>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9" w15:restartNumberingAfterBreak="0">
    <w:nsid w:val="0000000A"/>
    <w:multiLevelType w:val="hybridMultilevel"/>
    <w:tmpl w:val="D8B65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00000B"/>
    <w:multiLevelType w:val="hybridMultilevel"/>
    <w:tmpl w:val="9A2277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00000C"/>
    <w:multiLevelType w:val="multilevel"/>
    <w:tmpl w:val="40B27C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0000000D"/>
    <w:multiLevelType w:val="multilevel"/>
    <w:tmpl w:val="794A847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000000E"/>
    <w:multiLevelType w:val="multilevel"/>
    <w:tmpl w:val="04EAC14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0000000F"/>
    <w:multiLevelType w:val="hybridMultilevel"/>
    <w:tmpl w:val="7D00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0000010"/>
    <w:multiLevelType w:val="hybridMultilevel"/>
    <w:tmpl w:val="2286D9B0"/>
    <w:lvl w:ilvl="0" w:tplc="A97C6842">
      <w:start w:val="1"/>
      <w:numFmt w:val="bullet"/>
      <w:lvlText w:val=""/>
      <w:lvlJc w:val="left"/>
      <w:pPr>
        <w:ind w:left="720" w:hanging="360"/>
      </w:pPr>
      <w:rPr>
        <w:rFonts w:ascii="Symbol" w:eastAsia="MS Mincho"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73563516"/>
    <w:lvl w:ilvl="0" w:tplc="027A7700">
      <w:start w:val="1"/>
      <w:numFmt w:val="bullet"/>
      <w:lvlText w:val="•"/>
      <w:lvlJc w:val="left"/>
      <w:pPr>
        <w:tabs>
          <w:tab w:val="left" w:pos="720"/>
        </w:tabs>
        <w:ind w:left="720" w:hanging="360"/>
      </w:pPr>
      <w:rPr>
        <w:rFonts w:ascii="Arial" w:hAnsi="Arial" w:hint="default"/>
      </w:rPr>
    </w:lvl>
    <w:lvl w:ilvl="1" w:tplc="D722D0A2" w:tentative="1">
      <w:start w:val="1"/>
      <w:numFmt w:val="bullet"/>
      <w:lvlText w:val="•"/>
      <w:lvlJc w:val="left"/>
      <w:pPr>
        <w:tabs>
          <w:tab w:val="left" w:pos="1440"/>
        </w:tabs>
        <w:ind w:left="1440" w:hanging="360"/>
      </w:pPr>
      <w:rPr>
        <w:rFonts w:ascii="Arial" w:hAnsi="Arial" w:hint="default"/>
      </w:rPr>
    </w:lvl>
    <w:lvl w:ilvl="2" w:tplc="9056CE00" w:tentative="1">
      <w:start w:val="1"/>
      <w:numFmt w:val="bullet"/>
      <w:lvlText w:val="•"/>
      <w:lvlJc w:val="left"/>
      <w:pPr>
        <w:tabs>
          <w:tab w:val="left" w:pos="2160"/>
        </w:tabs>
        <w:ind w:left="2160" w:hanging="360"/>
      </w:pPr>
      <w:rPr>
        <w:rFonts w:ascii="Arial" w:hAnsi="Arial" w:hint="default"/>
      </w:rPr>
    </w:lvl>
    <w:lvl w:ilvl="3" w:tplc="6EB23C34" w:tentative="1">
      <w:start w:val="1"/>
      <w:numFmt w:val="bullet"/>
      <w:lvlText w:val="•"/>
      <w:lvlJc w:val="left"/>
      <w:pPr>
        <w:tabs>
          <w:tab w:val="left" w:pos="2880"/>
        </w:tabs>
        <w:ind w:left="2880" w:hanging="360"/>
      </w:pPr>
      <w:rPr>
        <w:rFonts w:ascii="Arial" w:hAnsi="Arial" w:hint="default"/>
      </w:rPr>
    </w:lvl>
    <w:lvl w:ilvl="4" w:tplc="1EB2FD0A" w:tentative="1">
      <w:start w:val="1"/>
      <w:numFmt w:val="bullet"/>
      <w:lvlText w:val="•"/>
      <w:lvlJc w:val="left"/>
      <w:pPr>
        <w:tabs>
          <w:tab w:val="left" w:pos="3600"/>
        </w:tabs>
        <w:ind w:left="3600" w:hanging="360"/>
      </w:pPr>
      <w:rPr>
        <w:rFonts w:ascii="Arial" w:hAnsi="Arial" w:hint="default"/>
      </w:rPr>
    </w:lvl>
    <w:lvl w:ilvl="5" w:tplc="101C62AC" w:tentative="1">
      <w:start w:val="1"/>
      <w:numFmt w:val="bullet"/>
      <w:lvlText w:val="•"/>
      <w:lvlJc w:val="left"/>
      <w:pPr>
        <w:tabs>
          <w:tab w:val="left" w:pos="4320"/>
        </w:tabs>
        <w:ind w:left="4320" w:hanging="360"/>
      </w:pPr>
      <w:rPr>
        <w:rFonts w:ascii="Arial" w:hAnsi="Arial" w:hint="default"/>
      </w:rPr>
    </w:lvl>
    <w:lvl w:ilvl="6" w:tplc="F7A62DAC" w:tentative="1">
      <w:start w:val="1"/>
      <w:numFmt w:val="bullet"/>
      <w:lvlText w:val="•"/>
      <w:lvlJc w:val="left"/>
      <w:pPr>
        <w:tabs>
          <w:tab w:val="left" w:pos="5040"/>
        </w:tabs>
        <w:ind w:left="5040" w:hanging="360"/>
      </w:pPr>
      <w:rPr>
        <w:rFonts w:ascii="Arial" w:hAnsi="Arial" w:hint="default"/>
      </w:rPr>
    </w:lvl>
    <w:lvl w:ilvl="7" w:tplc="AD88C732" w:tentative="1">
      <w:start w:val="1"/>
      <w:numFmt w:val="bullet"/>
      <w:lvlText w:val="•"/>
      <w:lvlJc w:val="left"/>
      <w:pPr>
        <w:tabs>
          <w:tab w:val="left" w:pos="5760"/>
        </w:tabs>
        <w:ind w:left="5760" w:hanging="360"/>
      </w:pPr>
      <w:rPr>
        <w:rFonts w:ascii="Arial" w:hAnsi="Arial" w:hint="default"/>
      </w:rPr>
    </w:lvl>
    <w:lvl w:ilvl="8" w:tplc="5638095E" w:tentative="1">
      <w:start w:val="1"/>
      <w:numFmt w:val="bullet"/>
      <w:lvlText w:val="•"/>
      <w:lvlJc w:val="left"/>
      <w:pPr>
        <w:tabs>
          <w:tab w:val="left" w:pos="6480"/>
        </w:tabs>
        <w:ind w:left="6480" w:hanging="360"/>
      </w:pPr>
      <w:rPr>
        <w:rFonts w:ascii="Arial" w:hAnsi="Arial" w:hint="default"/>
      </w:rPr>
    </w:lvl>
  </w:abstractNum>
  <w:abstractNum w:abstractNumId="17" w15:restartNumberingAfterBreak="0">
    <w:nsid w:val="00000012"/>
    <w:multiLevelType w:val="multilevel"/>
    <w:tmpl w:val="C80C1C3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3"/>
    <w:multiLevelType w:val="hybridMultilevel"/>
    <w:tmpl w:val="CDA83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E62E29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0000015"/>
    <w:multiLevelType w:val="hybridMultilevel"/>
    <w:tmpl w:val="39E80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0000016"/>
    <w:multiLevelType w:val="hybridMultilevel"/>
    <w:tmpl w:val="98E05056"/>
    <w:lvl w:ilvl="0" w:tplc="67B4DA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000017"/>
    <w:multiLevelType w:val="hybridMultilevel"/>
    <w:tmpl w:val="1EDE940C"/>
    <w:lvl w:ilvl="0" w:tplc="39747E66">
      <w:start w:val="1"/>
      <w:numFmt w:val="bullet"/>
      <w:lvlText w:val="•"/>
      <w:lvlJc w:val="left"/>
      <w:pPr>
        <w:tabs>
          <w:tab w:val="left" w:pos="720"/>
        </w:tabs>
        <w:ind w:left="720" w:hanging="360"/>
      </w:pPr>
      <w:rPr>
        <w:rFonts w:ascii="Arial" w:hAnsi="Arial" w:hint="default"/>
      </w:rPr>
    </w:lvl>
    <w:lvl w:ilvl="1" w:tplc="7B64159E" w:tentative="1">
      <w:start w:val="1"/>
      <w:numFmt w:val="bullet"/>
      <w:lvlText w:val="•"/>
      <w:lvlJc w:val="left"/>
      <w:pPr>
        <w:tabs>
          <w:tab w:val="left" w:pos="1440"/>
        </w:tabs>
        <w:ind w:left="1440" w:hanging="360"/>
      </w:pPr>
      <w:rPr>
        <w:rFonts w:ascii="Arial" w:hAnsi="Arial" w:hint="default"/>
      </w:rPr>
    </w:lvl>
    <w:lvl w:ilvl="2" w:tplc="A75AB852" w:tentative="1">
      <w:start w:val="1"/>
      <w:numFmt w:val="bullet"/>
      <w:lvlText w:val="•"/>
      <w:lvlJc w:val="left"/>
      <w:pPr>
        <w:tabs>
          <w:tab w:val="left" w:pos="2160"/>
        </w:tabs>
        <w:ind w:left="2160" w:hanging="360"/>
      </w:pPr>
      <w:rPr>
        <w:rFonts w:ascii="Arial" w:hAnsi="Arial" w:hint="default"/>
      </w:rPr>
    </w:lvl>
    <w:lvl w:ilvl="3" w:tplc="CDBEA32A" w:tentative="1">
      <w:start w:val="1"/>
      <w:numFmt w:val="bullet"/>
      <w:lvlText w:val="•"/>
      <w:lvlJc w:val="left"/>
      <w:pPr>
        <w:tabs>
          <w:tab w:val="left" w:pos="2880"/>
        </w:tabs>
        <w:ind w:left="2880" w:hanging="360"/>
      </w:pPr>
      <w:rPr>
        <w:rFonts w:ascii="Arial" w:hAnsi="Arial" w:hint="default"/>
      </w:rPr>
    </w:lvl>
    <w:lvl w:ilvl="4" w:tplc="319EE508" w:tentative="1">
      <w:start w:val="1"/>
      <w:numFmt w:val="bullet"/>
      <w:lvlText w:val="•"/>
      <w:lvlJc w:val="left"/>
      <w:pPr>
        <w:tabs>
          <w:tab w:val="left" w:pos="3600"/>
        </w:tabs>
        <w:ind w:left="3600" w:hanging="360"/>
      </w:pPr>
      <w:rPr>
        <w:rFonts w:ascii="Arial" w:hAnsi="Arial" w:hint="default"/>
      </w:rPr>
    </w:lvl>
    <w:lvl w:ilvl="5" w:tplc="041639EA" w:tentative="1">
      <w:start w:val="1"/>
      <w:numFmt w:val="bullet"/>
      <w:lvlText w:val="•"/>
      <w:lvlJc w:val="left"/>
      <w:pPr>
        <w:tabs>
          <w:tab w:val="left" w:pos="4320"/>
        </w:tabs>
        <w:ind w:left="4320" w:hanging="360"/>
      </w:pPr>
      <w:rPr>
        <w:rFonts w:ascii="Arial" w:hAnsi="Arial" w:hint="default"/>
      </w:rPr>
    </w:lvl>
    <w:lvl w:ilvl="6" w:tplc="1AA0CD42" w:tentative="1">
      <w:start w:val="1"/>
      <w:numFmt w:val="bullet"/>
      <w:lvlText w:val="•"/>
      <w:lvlJc w:val="left"/>
      <w:pPr>
        <w:tabs>
          <w:tab w:val="left" w:pos="5040"/>
        </w:tabs>
        <w:ind w:left="5040" w:hanging="360"/>
      </w:pPr>
      <w:rPr>
        <w:rFonts w:ascii="Arial" w:hAnsi="Arial" w:hint="default"/>
      </w:rPr>
    </w:lvl>
    <w:lvl w:ilvl="7" w:tplc="0F824384" w:tentative="1">
      <w:start w:val="1"/>
      <w:numFmt w:val="bullet"/>
      <w:lvlText w:val="•"/>
      <w:lvlJc w:val="left"/>
      <w:pPr>
        <w:tabs>
          <w:tab w:val="left" w:pos="5760"/>
        </w:tabs>
        <w:ind w:left="5760" w:hanging="360"/>
      </w:pPr>
      <w:rPr>
        <w:rFonts w:ascii="Arial" w:hAnsi="Arial" w:hint="default"/>
      </w:rPr>
    </w:lvl>
    <w:lvl w:ilvl="8" w:tplc="7A2C580E" w:tentative="1">
      <w:start w:val="1"/>
      <w:numFmt w:val="bullet"/>
      <w:lvlText w:val="•"/>
      <w:lvlJc w:val="left"/>
      <w:pPr>
        <w:tabs>
          <w:tab w:val="left" w:pos="6480"/>
        </w:tabs>
        <w:ind w:left="6480" w:hanging="360"/>
      </w:pPr>
      <w:rPr>
        <w:rFonts w:ascii="Arial" w:hAnsi="Arial" w:hint="default"/>
      </w:rPr>
    </w:lvl>
  </w:abstractNum>
  <w:abstractNum w:abstractNumId="23" w15:restartNumberingAfterBreak="0">
    <w:nsid w:val="00000018"/>
    <w:multiLevelType w:val="hybridMultilevel"/>
    <w:tmpl w:val="27FEAA6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0000019"/>
    <w:multiLevelType w:val="hybridMultilevel"/>
    <w:tmpl w:val="2F7A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3CD65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5C7AA3"/>
    <w:multiLevelType w:val="multilevel"/>
    <w:tmpl w:val="B0E26234"/>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num w:numId="1">
    <w:abstractNumId w:val="1"/>
  </w:num>
  <w:num w:numId="2">
    <w:abstractNumId w:val="15"/>
  </w:num>
  <w:num w:numId="3">
    <w:abstractNumId w:val="18"/>
  </w:num>
  <w:num w:numId="4">
    <w:abstractNumId w:val="19"/>
  </w:num>
  <w:num w:numId="5">
    <w:abstractNumId w:val="26"/>
  </w:num>
  <w:num w:numId="6">
    <w:abstractNumId w:val="9"/>
  </w:num>
  <w:num w:numId="7">
    <w:abstractNumId w:val="21"/>
  </w:num>
  <w:num w:numId="8">
    <w:abstractNumId w:val="13"/>
  </w:num>
  <w:num w:numId="9">
    <w:abstractNumId w:val="6"/>
  </w:num>
  <w:num w:numId="10">
    <w:abstractNumId w:val="24"/>
  </w:num>
  <w:num w:numId="11">
    <w:abstractNumId w:val="0"/>
  </w:num>
  <w:num w:numId="12">
    <w:abstractNumId w:val="23"/>
  </w:num>
  <w:num w:numId="13">
    <w:abstractNumId w:val="8"/>
  </w:num>
  <w:num w:numId="14">
    <w:abstractNumId w:val="14"/>
  </w:num>
  <w:num w:numId="15">
    <w:abstractNumId w:val="2"/>
  </w:num>
  <w:num w:numId="16">
    <w:abstractNumId w:val="12"/>
  </w:num>
  <w:num w:numId="17">
    <w:abstractNumId w:val="17"/>
  </w:num>
  <w:num w:numId="18">
    <w:abstractNumId w:val="16"/>
  </w:num>
  <w:num w:numId="19">
    <w:abstractNumId w:val="10"/>
  </w:num>
  <w:num w:numId="20">
    <w:abstractNumId w:val="22"/>
  </w:num>
  <w:num w:numId="21">
    <w:abstractNumId w:val="25"/>
  </w:num>
  <w:num w:numId="22">
    <w:abstractNumId w:val="4"/>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19"/>
    <w:rsid w:val="00395264"/>
    <w:rsid w:val="008625C4"/>
    <w:rsid w:val="00995CEA"/>
    <w:rsid w:val="009D3C40"/>
    <w:rsid w:val="00A062C2"/>
    <w:rsid w:val="00A35F21"/>
    <w:rsid w:val="00D92B19"/>
    <w:rsid w:val="00F86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B4826"/>
  <w15:docId w15:val="{64E7D698-6681-44A7-BFB9-C8571A9B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val="fr-FR" w:eastAsia="fr-FR"/>
    </w:rPr>
  </w:style>
  <w:style w:type="paragraph" w:styleId="Nagwek1">
    <w:name w:val="heading 1"/>
    <w:basedOn w:val="Normalny"/>
    <w:link w:val="Nagwek1Znak"/>
    <w:uiPriority w:val="9"/>
    <w:qFormat/>
    <w:pPr>
      <w:spacing w:before="100" w:beforeAutospacing="1" w:after="100" w:afterAutospacing="1"/>
      <w:outlineLvl w:val="0"/>
    </w:pPr>
    <w:rPr>
      <w:rFonts w:ascii="Times New Roman" w:eastAsia="Times New Roman" w:hAnsi="Times New Roman"/>
      <w:b/>
      <w:bCs/>
      <w:kern w:val="36"/>
      <w:sz w:val="48"/>
      <w:szCs w:val="48"/>
    </w:rPr>
  </w:style>
  <w:style w:type="paragraph" w:styleId="Nagwek2">
    <w:name w:val="heading 2"/>
    <w:basedOn w:val="Normalny"/>
    <w:next w:val="Normalny"/>
    <w:link w:val="Nagwek2Znak"/>
    <w:uiPriority w:val="9"/>
    <w:semiHidden/>
    <w:unhideWhenUsed/>
    <w:qFormat/>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semiHidden/>
    <w:unhideWhenUsed/>
    <w:qFormat/>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semiHidden/>
    <w:unhideWhenUsed/>
    <w:qFormat/>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left" w:pos="832"/>
        <w:tab w:val="center" w:pos="4536"/>
        <w:tab w:val="right" w:pos="9072"/>
      </w:tabs>
      <w:ind w:firstLine="360"/>
    </w:pPr>
  </w:style>
  <w:style w:type="character" w:customStyle="1" w:styleId="StopkaZnak">
    <w:name w:val="Stopka Znak"/>
    <w:link w:val="Stopka"/>
    <w:uiPriority w:val="99"/>
    <w:rPr>
      <w:sz w:val="24"/>
      <w:szCs w:val="24"/>
      <w:lang w:val="fr-FR" w:eastAsia="fr-FR"/>
    </w:rPr>
  </w:style>
  <w:style w:type="paragraph" w:styleId="Tekstdymka">
    <w:name w:val="Balloon Text"/>
    <w:basedOn w:val="Normalny"/>
    <w:link w:val="TekstdymkaZnak"/>
    <w:uiPriority w:val="99"/>
    <w:rPr>
      <w:rFonts w:ascii="Lucida Grande" w:hAnsi="Lucida Grande"/>
      <w:sz w:val="18"/>
      <w:szCs w:val="18"/>
    </w:rPr>
  </w:style>
  <w:style w:type="character" w:customStyle="1" w:styleId="TekstdymkaZnak">
    <w:name w:val="Tekst dymka Znak"/>
    <w:link w:val="Tekstdymka"/>
    <w:uiPriority w:val="99"/>
    <w:rPr>
      <w:rFonts w:ascii="Lucida Grande" w:hAnsi="Lucida Grande" w:cs="Lucida Grande"/>
      <w:sz w:val="18"/>
      <w:szCs w:val="18"/>
    </w:rPr>
  </w:style>
  <w:style w:type="character" w:styleId="Numerstrony">
    <w:name w:val="page number"/>
    <w:basedOn w:val="Domylnaczcionkaakapitu"/>
    <w:uiPriority w:val="99"/>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durebleuetexte">
    <w:name w:val="Bordure bleue texte"/>
    <w:basedOn w:val="Normalny"/>
    <w:pPr>
      <w:spacing w:before="20" w:after="40" w:line="260" w:lineRule="atLeast"/>
      <w:ind w:left="224"/>
      <w:jc w:val="both"/>
    </w:pPr>
    <w:rPr>
      <w:rFonts w:ascii="Arial" w:eastAsia="Calibri" w:hAnsi="Arial" w:cs="Arial"/>
      <w:sz w:val="18"/>
      <w:szCs w:val="18"/>
      <w:lang w:val="en-US" w:eastAsia="en-US"/>
    </w:rPr>
  </w:style>
  <w:style w:type="character" w:styleId="Hipercze">
    <w:name w:val="Hyperlink"/>
    <w:uiPriority w:val="99"/>
    <w:rPr>
      <w:color w:val="0000FF"/>
      <w:u w:val="single"/>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rPr>
      <w:lang w:val="fr-FR" w:eastAsia="fr-FR"/>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b/>
      <w:bCs/>
      <w:lang w:val="fr-FR" w:eastAsia="fr-FR"/>
    </w:rPr>
  </w:style>
  <w:style w:type="paragraph" w:styleId="NormalnyWeb">
    <w:name w:val="Normal (Web)"/>
    <w:basedOn w:val="Normalny"/>
    <w:uiPriority w:val="99"/>
    <w:pPr>
      <w:spacing w:before="100" w:beforeAutospacing="1" w:after="100" w:afterAutospacing="1"/>
    </w:pPr>
    <w:rPr>
      <w:rFonts w:ascii="Times New Roman" w:eastAsia="Times New Roman" w:hAnsi="Times New Roman"/>
      <w:lang w:val="pl-PL" w:eastAsia="pl-PL"/>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rPr>
      <w:lang w:val="fr-FR" w:eastAsia="fr-FR"/>
    </w:rPr>
  </w:style>
  <w:style w:type="character" w:styleId="Odwoanieprzypisukocowego">
    <w:name w:val="endnote reference"/>
    <w:uiPriority w:val="99"/>
    <w:rPr>
      <w:vertAlign w:val="superscript"/>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link w:val="Tekstprzypisudolnego"/>
    <w:uiPriority w:val="99"/>
    <w:rPr>
      <w:lang w:val="fr-FR" w:eastAsia="fr-FR"/>
    </w:rPr>
  </w:style>
  <w:style w:type="character" w:styleId="Odwoanieprzypisudolnego">
    <w:name w:val="footnote reference"/>
    <w:uiPriority w:val="99"/>
    <w:rPr>
      <w:vertAlign w:val="superscript"/>
    </w:rPr>
  </w:style>
  <w:style w:type="character" w:styleId="Pogrubienie">
    <w:name w:val="Strong"/>
    <w:uiPriority w:val="22"/>
    <w:qFormat/>
    <w:rPr>
      <w:b/>
      <w:bCs/>
    </w:rPr>
  </w:style>
  <w:style w:type="paragraph" w:customStyle="1" w:styleId="CzgwnaA">
    <w:name w:val="Część główna A"/>
    <w:rPr>
      <w:rFonts w:ascii="Helvetica" w:eastAsia="ヒラギノ角ゴ Pro W3" w:hAnsi="Helvetica"/>
      <w:color w:val="000000"/>
      <w:sz w:val="24"/>
    </w:rPr>
  </w:style>
  <w:style w:type="character" w:customStyle="1" w:styleId="Nagwek1Znak">
    <w:name w:val="Nagłówek 1 Znak"/>
    <w:link w:val="Nagwek1"/>
    <w:uiPriority w:val="9"/>
    <w:rPr>
      <w:rFonts w:ascii="Times New Roman" w:eastAsia="Times New Roman" w:hAnsi="Times New Roman"/>
      <w:b/>
      <w:bCs/>
      <w:kern w:val="36"/>
      <w:sz w:val="48"/>
      <w:szCs w:val="48"/>
    </w:rPr>
  </w:style>
  <w:style w:type="character" w:customStyle="1" w:styleId="st">
    <w:name w:val="st"/>
    <w:basedOn w:val="Domylnaczcionkaakapitu"/>
  </w:style>
  <w:style w:type="character" w:styleId="Uwydatnienie">
    <w:name w:val="Emphasis"/>
    <w:uiPriority w:val="20"/>
    <w:qFormat/>
    <w:rPr>
      <w:i/>
      <w:iCs/>
    </w:rPr>
  </w:style>
  <w:style w:type="paragraph" w:styleId="Tekstpodstawowy">
    <w:name w:val="Body Text"/>
    <w:basedOn w:val="Normalny"/>
    <w:link w:val="TekstpodstawowyZnak"/>
    <w:pPr>
      <w:jc w:val="both"/>
    </w:pPr>
    <w:rPr>
      <w:rFonts w:ascii="Times New Roman" w:eastAsia="Times New Roman" w:hAnsi="Times New Roman"/>
      <w:sz w:val="22"/>
      <w:szCs w:val="20"/>
    </w:rPr>
  </w:style>
  <w:style w:type="character" w:customStyle="1" w:styleId="TekstpodstawowyZnak">
    <w:name w:val="Tekst podstawowy Znak"/>
    <w:link w:val="Tekstpodstawowy"/>
    <w:rPr>
      <w:rFonts w:ascii="Times New Roman" w:eastAsia="Times New Roman" w:hAnsi="Times New Roman"/>
      <w:sz w:val="22"/>
    </w:rPr>
  </w:style>
  <w:style w:type="paragraph" w:customStyle="1" w:styleId="Zwykatabela21">
    <w:name w:val="Zwykła tabela 21"/>
    <w:uiPriority w:val="71"/>
    <w:rPr>
      <w:sz w:val="24"/>
      <w:szCs w:val="24"/>
      <w:lang w:val="fr-FR" w:eastAsia="fr-FR"/>
    </w:rPr>
  </w:style>
  <w:style w:type="character" w:customStyle="1" w:styleId="Nagwek2Znak">
    <w:name w:val="Nagłówek 2 Znak"/>
    <w:link w:val="Nagwek2"/>
    <w:uiPriority w:val="9"/>
    <w:rPr>
      <w:rFonts w:ascii="Calibri Light" w:eastAsia="Times New Roman" w:hAnsi="Calibri Light" w:cs="Times New Roman"/>
      <w:b/>
      <w:bCs/>
      <w:i/>
      <w:iCs/>
      <w:sz w:val="28"/>
      <w:szCs w:val="28"/>
      <w:lang w:val="fr-FR" w:eastAsia="fr-FR"/>
    </w:rPr>
  </w:style>
  <w:style w:type="character" w:customStyle="1" w:styleId="apple-converted-space">
    <w:name w:val="apple-converted-space"/>
    <w:basedOn w:val="Domylnaczcionkaakapitu"/>
  </w:style>
  <w:style w:type="paragraph" w:customStyle="1" w:styleId="Zwykatabela31">
    <w:name w:val="Zwykła tabela 31"/>
    <w:basedOn w:val="Normalny"/>
    <w:uiPriority w:val="34"/>
    <w:qFormat/>
    <w:pPr>
      <w:ind w:left="708"/>
    </w:pPr>
    <w:rPr>
      <w:rFonts w:ascii="Times New Roman" w:eastAsia="Times New Roman" w:hAnsi="Times New Roman"/>
      <w:szCs w:val="20"/>
      <w:lang w:val="pl-PL" w:eastAsia="pl-PL"/>
    </w:rPr>
  </w:style>
  <w:style w:type="paragraph" w:styleId="Tytu">
    <w:name w:val="Title"/>
    <w:basedOn w:val="Normalny"/>
    <w:next w:val="Normalny"/>
    <w:link w:val="TytuZnak"/>
    <w:uiPriority w:val="10"/>
    <w:qFormat/>
    <w:pPr>
      <w:spacing w:line="264" w:lineRule="auto"/>
    </w:pPr>
    <w:rPr>
      <w:rFonts w:ascii="Corbel" w:eastAsia="SimSun" w:hAnsi="Corbel"/>
      <w:caps/>
      <w:color w:val="099BDD"/>
      <w:spacing w:val="10"/>
      <w:sz w:val="52"/>
      <w:szCs w:val="52"/>
      <w:lang w:val="en-US" w:eastAsia="ja-JP"/>
    </w:rPr>
  </w:style>
  <w:style w:type="character" w:customStyle="1" w:styleId="TytuZnak">
    <w:name w:val="Tytuł Znak"/>
    <w:link w:val="Tytu"/>
    <w:uiPriority w:val="10"/>
    <w:rPr>
      <w:rFonts w:ascii="Corbel" w:eastAsia="SimSun" w:hAnsi="Corbel" w:cs="Tahoma"/>
      <w:caps/>
      <w:color w:val="099BDD"/>
      <w:spacing w:val="10"/>
      <w:sz w:val="52"/>
      <w:szCs w:val="52"/>
      <w:lang w:val="en-US" w:eastAsia="ja-JP"/>
    </w:rPr>
  </w:style>
  <w:style w:type="paragraph" w:customStyle="1" w:styleId="Zwykatabela51">
    <w:name w:val="Zwykła tabela 51"/>
    <w:basedOn w:val="Normalny"/>
    <w:next w:val="Normalny"/>
    <w:link w:val="Zwykatabela5Znak"/>
    <w:uiPriority w:val="30"/>
    <w:qFormat/>
    <w:pPr>
      <w:spacing w:before="240" w:after="240"/>
      <w:ind w:left="1080" w:right="1080"/>
      <w:jc w:val="center"/>
    </w:pPr>
    <w:rPr>
      <w:rFonts w:ascii="Corbel" w:eastAsia="SimSun" w:hAnsi="Corbel"/>
      <w:color w:val="099BDD"/>
      <w:lang w:val="en-US" w:eastAsia="ja-JP"/>
    </w:rPr>
  </w:style>
  <w:style w:type="character" w:customStyle="1" w:styleId="Zwykatabela5Znak">
    <w:name w:val="Zwykła tabela 5 Znak"/>
    <w:link w:val="Zwykatabela51"/>
    <w:uiPriority w:val="30"/>
    <w:rPr>
      <w:rFonts w:ascii="Corbel" w:eastAsia="SimSun" w:hAnsi="Corbel" w:cs="Tahoma"/>
      <w:color w:val="099BDD"/>
      <w:sz w:val="24"/>
      <w:szCs w:val="24"/>
      <w:lang w:val="en-US" w:eastAsia="ja-JP"/>
    </w:rPr>
  </w:style>
  <w:style w:type="character" w:customStyle="1" w:styleId="wstep">
    <w:name w:val="wstep"/>
  </w:style>
  <w:style w:type="character" w:styleId="UyteHipercze">
    <w:name w:val="FollowedHyperlink"/>
    <w:uiPriority w:val="99"/>
    <w:rPr>
      <w:color w:val="954F72"/>
      <w:u w:val="single"/>
    </w:rPr>
  </w:style>
  <w:style w:type="paragraph" w:customStyle="1" w:styleId="Zwykatabela32">
    <w:name w:val="Zwykła tabela 32"/>
    <w:basedOn w:val="Normalny"/>
    <w:uiPriority w:val="34"/>
    <w:qFormat/>
    <w:pPr>
      <w:spacing w:after="160" w:line="259" w:lineRule="auto"/>
      <w:ind w:left="720"/>
      <w:contextualSpacing/>
    </w:pPr>
    <w:rPr>
      <w:rFonts w:ascii="Calibri" w:eastAsia="Calibri" w:hAnsi="Calibri"/>
      <w:sz w:val="22"/>
      <w:szCs w:val="22"/>
      <w:lang w:val="pl-PL" w:eastAsia="en-US"/>
    </w:rPr>
  </w:style>
  <w:style w:type="paragraph" w:customStyle="1" w:styleId="Wyrnieniedelikatne1">
    <w:name w:val="Wyróżnienie delikatne1"/>
    <w:basedOn w:val="Normalny"/>
    <w:uiPriority w:val="34"/>
    <w:qFormat/>
    <w:pPr>
      <w:ind w:left="720"/>
    </w:pPr>
    <w:rPr>
      <w:rFonts w:ascii="Calibri" w:eastAsia="Calibri" w:hAnsi="Calibri"/>
      <w:sz w:val="22"/>
      <w:szCs w:val="22"/>
      <w:lang w:val="pl-PL" w:eastAsia="en-US"/>
    </w:rPr>
  </w:style>
  <w:style w:type="character" w:customStyle="1" w:styleId="Nagwek3Znak">
    <w:name w:val="Nagłówek 3 Znak"/>
    <w:link w:val="Nagwek3"/>
    <w:uiPriority w:val="9"/>
    <w:rPr>
      <w:rFonts w:ascii="Calibri Light" w:eastAsia="Times New Roman" w:hAnsi="Calibri Light" w:cs="Times New Roman"/>
      <w:b/>
      <w:bCs/>
      <w:sz w:val="26"/>
      <w:szCs w:val="26"/>
      <w:lang w:val="fr-FR" w:eastAsia="fr-FR"/>
    </w:rPr>
  </w:style>
  <w:style w:type="paragraph" w:customStyle="1" w:styleId="lead">
    <w:name w:val="lead"/>
    <w:basedOn w:val="Normalny"/>
    <w:pPr>
      <w:spacing w:before="100" w:beforeAutospacing="1" w:after="100" w:afterAutospacing="1"/>
    </w:pPr>
    <w:rPr>
      <w:rFonts w:ascii="Times New Roman" w:eastAsia="Times New Roman" w:hAnsi="Times New Roman"/>
      <w:lang w:val="pl-PL" w:eastAsia="pl-PL"/>
    </w:rPr>
  </w:style>
  <w:style w:type="character" w:customStyle="1" w:styleId="Nagwek4Znak">
    <w:name w:val="Nagłówek 4 Znak"/>
    <w:link w:val="Nagwek4"/>
    <w:uiPriority w:val="9"/>
    <w:rPr>
      <w:rFonts w:ascii="Calibri" w:eastAsia="Times New Roman" w:hAnsi="Calibri" w:cs="Times New Roman"/>
      <w:b/>
      <w:bCs/>
      <w:sz w:val="28"/>
      <w:szCs w:val="28"/>
      <w:lang w:val="fr-FR" w:eastAsia="fr-FR"/>
    </w:rPr>
  </w:style>
  <w:style w:type="character" w:customStyle="1" w:styleId="bold">
    <w:name w:val="bold"/>
  </w:style>
  <w:style w:type="paragraph" w:customStyle="1" w:styleId="linkowanie">
    <w:name w:val="linkowanie"/>
    <w:basedOn w:val="Normalny"/>
    <w:pPr>
      <w:spacing w:before="100" w:beforeAutospacing="1" w:after="100" w:afterAutospacing="1"/>
    </w:pPr>
    <w:rPr>
      <w:rFonts w:ascii="Times New Roman" w:eastAsia="Times New Roman" w:hAnsi="Times New Roman"/>
      <w:lang w:val="pl-PL" w:eastAsia="pl-PL"/>
    </w:rPr>
  </w:style>
  <w:style w:type="paragraph" w:customStyle="1" w:styleId="wazne">
    <w:name w:val="wazne"/>
    <w:basedOn w:val="Normalny"/>
    <w:pPr>
      <w:spacing w:before="100" w:beforeAutospacing="1" w:after="100" w:afterAutospacing="1"/>
    </w:pPr>
    <w:rPr>
      <w:rFonts w:ascii="Times New Roman" w:eastAsia="Times New Roman" w:hAnsi="Times New Roman"/>
      <w:lang w:val="pl-PL" w:eastAsia="pl-PL"/>
    </w:rPr>
  </w:style>
  <w:style w:type="paragraph" w:customStyle="1" w:styleId="przyklad">
    <w:name w:val="przyklad"/>
    <w:basedOn w:val="Normalny"/>
    <w:pPr>
      <w:spacing w:before="100" w:beforeAutospacing="1" w:after="100" w:afterAutospacing="1"/>
    </w:pPr>
    <w:rPr>
      <w:rFonts w:ascii="Times New Roman" w:eastAsia="Times New Roman" w:hAnsi="Times New Roman"/>
      <w:lang w:val="pl-PL" w:eastAsia="pl-PL"/>
    </w:rPr>
  </w:style>
  <w:style w:type="paragraph" w:customStyle="1" w:styleId="Jasnalistaakcent51">
    <w:name w:val="Jasna lista — akcent 51"/>
    <w:basedOn w:val="Normalny"/>
    <w:uiPriority w:val="34"/>
    <w:qFormat/>
    <w:pPr>
      <w:spacing w:after="160" w:line="259" w:lineRule="auto"/>
      <w:ind w:left="720"/>
      <w:contextualSpacing/>
    </w:pPr>
    <w:rPr>
      <w:rFonts w:ascii="Calibri" w:eastAsia="Calibri" w:hAnsi="Calibri"/>
      <w:sz w:val="22"/>
      <w:szCs w:val="22"/>
      <w:lang w:val="pl-PL" w:eastAsia="en-US"/>
    </w:rPr>
  </w:style>
  <w:style w:type="paragraph" w:customStyle="1" w:styleId="redniasiatka1akcent31">
    <w:name w:val="Średnia siatka 1 — akcent 31"/>
    <w:uiPriority w:val="1"/>
    <w:qFormat/>
    <w:pPr>
      <w:suppressAutoHyphens/>
      <w:autoSpaceDN w:val="0"/>
      <w:textAlignment w:val="baseline"/>
    </w:pPr>
    <w:rPr>
      <w:rFonts w:ascii="Calibri" w:eastAsia="Calibri" w:hAnsi="Calibri"/>
      <w:sz w:val="22"/>
      <w:szCs w:val="22"/>
      <w:lang w:eastAsia="en-US"/>
    </w:rPr>
  </w:style>
  <w:style w:type="paragraph" w:customStyle="1" w:styleId="Jasnecieniowanieakcent51">
    <w:name w:val="Jasne cieniowanie — akcent 51"/>
    <w:uiPriority w:val="62"/>
    <w:rPr>
      <w:sz w:val="24"/>
      <w:szCs w:val="24"/>
      <w:lang w:val="fr-FR" w:eastAsia="fr-FR"/>
    </w:rPr>
  </w:style>
  <w:style w:type="paragraph" w:customStyle="1" w:styleId="npb-a-l">
    <w:name w:val="npb-a-l"/>
    <w:basedOn w:val="Normalny"/>
    <w:pPr>
      <w:spacing w:before="100" w:beforeAutospacing="1" w:after="100" w:afterAutospacing="1"/>
    </w:pPr>
    <w:rPr>
      <w:rFonts w:ascii="Times New Roman" w:eastAsia="Times New Roman" w:hAnsi="Times New Roman"/>
      <w:lang w:val="pl-PL" w:eastAsia="pl-PL"/>
    </w:rPr>
  </w:style>
  <w:style w:type="character" w:customStyle="1" w:styleId="Tabelasiatki1jasnaakcent11">
    <w:name w:val="Tabela siatki 1 — jasna — akcent 11"/>
    <w:uiPriority w:val="31"/>
    <w:qFormat/>
    <w:rPr>
      <w:b w:val="0"/>
      <w:bCs w:val="0"/>
      <w:color w:val="099BDD"/>
    </w:rPr>
  </w:style>
  <w:style w:type="character" w:customStyle="1" w:styleId="Nagwek5Znak">
    <w:name w:val="Nagłówek 5 Znak"/>
    <w:link w:val="Nagwek5"/>
    <w:uiPriority w:val="9"/>
    <w:rPr>
      <w:rFonts w:ascii="Calibri" w:eastAsia="Times New Roman" w:hAnsi="Calibri" w:cs="Times New Roman"/>
      <w:b/>
      <w:bCs/>
      <w:i/>
      <w:iCs/>
      <w:sz w:val="26"/>
      <w:szCs w:val="26"/>
      <w:lang w:val="fr-FR" w:eastAsia="fr-FR"/>
    </w:rPr>
  </w:style>
  <w:style w:type="paragraph" w:customStyle="1" w:styleId="hyphenate">
    <w:name w:val="hyphenate"/>
    <w:basedOn w:val="Normalny"/>
    <w:pPr>
      <w:spacing w:before="100" w:beforeAutospacing="1" w:after="100" w:afterAutospacing="1"/>
    </w:pPr>
    <w:rPr>
      <w:rFonts w:ascii="Times New Roman" w:eastAsia="Times New Roman" w:hAnsi="Times New Roman"/>
      <w:lang w:val="pl-PL" w:eastAsia="pl-PL"/>
    </w:rPr>
  </w:style>
  <w:style w:type="paragraph" w:styleId="Zwykytekst">
    <w:name w:val="Plain Text"/>
    <w:basedOn w:val="Normalny"/>
    <w:link w:val="ZwykytekstZnak"/>
    <w:uiPriority w:val="99"/>
    <w:rPr>
      <w:rFonts w:ascii="Calibri" w:eastAsia="Calibri" w:hAnsi="Calibri"/>
      <w:szCs w:val="21"/>
      <w:lang w:val="pl-PL" w:eastAsia="en-US"/>
    </w:rPr>
  </w:style>
  <w:style w:type="character" w:customStyle="1" w:styleId="ZwykytekstZnak">
    <w:name w:val="Zwykły tekst Znak"/>
    <w:link w:val="Zwykytekst"/>
    <w:uiPriority w:val="99"/>
    <w:rPr>
      <w:rFonts w:ascii="Calibri" w:eastAsia="Calibri" w:hAnsi="Calibri"/>
      <w:sz w:val="24"/>
      <w:szCs w:val="21"/>
      <w:lang w:eastAsia="en-US"/>
    </w:rPr>
  </w:style>
  <w:style w:type="character" w:customStyle="1" w:styleId="npb-tooltip">
    <w:name w:val="npb-tooltip"/>
  </w:style>
  <w:style w:type="character" w:customStyle="1" w:styleId="npb-t-c-r">
    <w:name w:val="npb-t-c-r"/>
  </w:style>
  <w:style w:type="paragraph" w:customStyle="1" w:styleId="Default">
    <w:name w:val="Default"/>
    <w:pPr>
      <w:autoSpaceDE w:val="0"/>
      <w:autoSpaceDN w:val="0"/>
      <w:adjustRightInd w:val="0"/>
    </w:pPr>
    <w:rPr>
      <w:rFonts w:ascii="Segoe UI" w:hAnsi="Segoe UI" w:cs="Segoe UI"/>
      <w:color w:val="000000"/>
      <w:sz w:val="24"/>
      <w:szCs w:val="24"/>
    </w:rPr>
  </w:style>
  <w:style w:type="paragraph" w:styleId="Akapitzlist">
    <w:name w:val="List Paragraph"/>
    <w:basedOn w:val="Normalny"/>
    <w:uiPriority w:val="34"/>
    <w:qFormat/>
    <w:pPr>
      <w:ind w:left="720"/>
    </w:pPr>
    <w:rPr>
      <w:rFonts w:ascii="Calibri" w:eastAsia="Calibri" w:hAnsi="Calibri" w:cs="Calibri"/>
      <w:sz w:val="22"/>
      <w:szCs w:val="22"/>
      <w:lang w:val="pl-PL"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rPr>
      <w:rFonts w:ascii="Courier New" w:eastAsia="Times New Roman" w:hAnsi="Courier New" w:cs="Courier New"/>
    </w:rPr>
  </w:style>
  <w:style w:type="paragraph" w:styleId="Poprawka">
    <w:name w:val="Revision"/>
    <w:uiPriority w:val="99"/>
    <w:rPr>
      <w:sz w:val="24"/>
      <w:szCs w:val="24"/>
      <w:lang w:val="fr-FR" w:eastAsia="fr-FR"/>
    </w:rPr>
  </w:style>
  <w:style w:type="character" w:customStyle="1" w:styleId="Nierozpoznanawzmianka1">
    <w:name w:val="Nierozpoznana wzmianka1"/>
    <w:basedOn w:val="Domylnaczcionkaakapitu"/>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deloitte.com/pl/pl/pages/consumer-business/articles/raport-zakupy-swiateczne-2017.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media.contrust.pl/33640-zlote-czasy-motywacji-juz-jest-raport-rynku-swiadczen-pozaplacowych-drogowskaz-motywacyjny-2018" TargetMode="External"/><Relationship Id="rId1" Type="http://schemas.openxmlformats.org/officeDocument/2006/relationships/hyperlink" Target="http://media.contrust.pl/33640-zlote-czasy-motywacji-juz-jest-raport-rynku-swiadczen-pozaplacowych-drogowskaz-motywacyjny-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03FE88-EEDB-4F77-9924-1FA67210A9DB}">
  <ds:schemaRefs>
    <ds:schemaRef ds:uri="http://www.wps.cn/android/officeDocument/2013/mofficeCustomData"/>
  </ds:schemaRefs>
</ds:datastoreItem>
</file>

<file path=customXml/itemProps2.xml><?xml version="1.0" encoding="utf-8"?>
<ds:datastoreItem xmlns:ds="http://schemas.openxmlformats.org/officeDocument/2006/customXml" ds:itemID="{D978A611-274F-496B-8E7A-6591214BA490}">
  <ds:schemaRefs>
    <ds:schemaRef ds:uri="http://www.wps.cn/android/officeDocument/2013/mofficeCustomData"/>
  </ds:schemaRefs>
</ds:datastoreItem>
</file>

<file path=customXml/itemProps3.xml><?xml version="1.0" encoding="utf-8"?>
<ds:datastoreItem xmlns:ds="http://schemas.openxmlformats.org/officeDocument/2006/customXml" ds:itemID="{3C33271F-52DF-4855-99AA-DCF4B50D88A5}">
  <ds:schemaRefs>
    <ds:schemaRef ds:uri="http://www.wps.cn/android/officeDocument/2013/mofficeCustomData"/>
  </ds:schemaRefs>
</ds:datastoreItem>
</file>

<file path=customXml/itemProps4.xml><?xml version="1.0" encoding="utf-8"?>
<ds:datastoreItem xmlns:ds="http://schemas.openxmlformats.org/officeDocument/2006/customXml" ds:itemID="{AF704237-49B4-4785-9991-411CE87A406C}">
  <ds:schemaRefs>
    <ds:schemaRef ds:uri="http://www.wps.cn/android/officeDocument/2013/mofficeCustomData"/>
  </ds:schemaRefs>
</ds:datastoreItem>
</file>

<file path=customXml/itemProps5.xml><?xml version="1.0" encoding="utf-8"?>
<ds:datastoreItem xmlns:ds="http://schemas.openxmlformats.org/officeDocument/2006/customXml" ds:itemID="{F10D50B3-3A61-42DB-88E0-89D0D0AA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5187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Zapowiedz_kampania_WN_2018</vt:lpstr>
    </vt:vector>
  </TitlesOfParts>
  <Company>Sodexo BRS Polska Sp. z o.o.</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Zapowiedz_kampania_WN_2018</dc:title>
  <dc:creator>Marta Zagożdżon</dc:creator>
  <cp:keywords>Sodexo Benefits and Rewards Services</cp:keywords>
  <cp:lastModifiedBy>Dominika Mrowińska</cp:lastModifiedBy>
  <cp:revision>3</cp:revision>
  <cp:lastPrinted>2018-10-22T20:55:00Z</cp:lastPrinted>
  <dcterms:created xsi:type="dcterms:W3CDTF">2018-10-23T10:50:00Z</dcterms:created>
  <dcterms:modified xsi:type="dcterms:W3CDTF">2018-11-14T11:45:00Z</dcterms:modified>
</cp:coreProperties>
</file>