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0BDE" w14:textId="77777777" w:rsidR="00243E4F" w:rsidRDefault="00243E4F" w:rsidP="008C753D">
      <w:pPr>
        <w:pStyle w:val="ListParagraph"/>
        <w:ind w:left="-567" w:right="-618"/>
        <w:rPr>
          <w:rFonts w:ascii="Arial" w:hAnsi="Arial" w:cs="Arial"/>
          <w:sz w:val="22"/>
          <w:szCs w:val="22"/>
          <w:lang w:val="pl-PL"/>
        </w:rPr>
      </w:pPr>
    </w:p>
    <w:p w14:paraId="758B873F" w14:textId="447ECB35" w:rsidR="007D0107" w:rsidRDefault="006800FD" w:rsidP="005A0029">
      <w:pPr>
        <w:spacing w:after="160"/>
        <w:rPr>
          <w:rFonts w:ascii="Arial" w:eastAsia="Calibri" w:hAnsi="Arial" w:cs="Arial"/>
          <w:b/>
          <w:sz w:val="28"/>
          <w:szCs w:val="28"/>
          <w:lang w:val="pl-PL" w:eastAsia="en-US"/>
        </w:rPr>
      </w:pPr>
      <w:r>
        <w:rPr>
          <w:rFonts w:ascii="Arial" w:eastAsia="Calibri" w:hAnsi="Arial" w:cs="Arial"/>
          <w:b/>
          <w:sz w:val="28"/>
          <w:szCs w:val="28"/>
          <w:lang w:val="pl-PL" w:eastAsia="en-US"/>
        </w:rPr>
        <w:t>Wrocław – miasto, w którym trzeba być</w:t>
      </w:r>
    </w:p>
    <w:p w14:paraId="04D0623E" w14:textId="5BA03DEB" w:rsidR="007D0107" w:rsidRDefault="006800FD" w:rsidP="005A0029">
      <w:pPr>
        <w:spacing w:after="160"/>
        <w:rPr>
          <w:rFonts w:ascii="Arial" w:eastAsia="Calibri" w:hAnsi="Arial" w:cs="Arial"/>
          <w:i/>
          <w:lang w:val="pl-PL" w:eastAsia="en-US"/>
        </w:rPr>
      </w:pPr>
      <w:r>
        <w:rPr>
          <w:rFonts w:ascii="Arial" w:eastAsia="Calibri" w:hAnsi="Arial" w:cs="Arial"/>
          <w:i/>
          <w:lang w:val="pl-PL" w:eastAsia="en-US"/>
        </w:rPr>
        <w:t xml:space="preserve">Silna i oryginalna marka biznesowa </w:t>
      </w:r>
      <w:r w:rsidR="00DB5F9D">
        <w:rPr>
          <w:rFonts w:ascii="Arial" w:eastAsia="Calibri" w:hAnsi="Arial" w:cs="Arial"/>
          <w:i/>
          <w:lang w:val="pl-PL" w:eastAsia="en-US"/>
        </w:rPr>
        <w:t>Wrocławia</w:t>
      </w:r>
      <w:r w:rsidR="003915E6" w:rsidRPr="00DB5F9D">
        <w:rPr>
          <w:rFonts w:ascii="Arial" w:eastAsia="Calibri" w:hAnsi="Arial" w:cs="Arial"/>
          <w:i/>
          <w:lang w:val="pl-PL" w:eastAsia="en-US"/>
        </w:rPr>
        <w:t xml:space="preserve"> przekłada się</w:t>
      </w:r>
      <w:r w:rsidR="003915E6">
        <w:rPr>
          <w:rFonts w:ascii="Arial" w:eastAsia="Calibri" w:hAnsi="Arial" w:cs="Arial"/>
          <w:i/>
          <w:lang w:val="pl-PL" w:eastAsia="en-US"/>
        </w:rPr>
        <w:t xml:space="preserve"> na </w:t>
      </w:r>
      <w:r>
        <w:rPr>
          <w:rFonts w:ascii="Arial" w:eastAsia="Calibri" w:hAnsi="Arial" w:cs="Arial"/>
          <w:i/>
          <w:lang w:val="pl-PL" w:eastAsia="en-US"/>
        </w:rPr>
        <w:t xml:space="preserve">wyniki miasta w obszarze nowych inwestycji i rynku biurowego </w:t>
      </w:r>
    </w:p>
    <w:p w14:paraId="4C19738F" w14:textId="77777777" w:rsidR="00E76A69" w:rsidRPr="00E76A69" w:rsidRDefault="00E76A69" w:rsidP="005A0029">
      <w:pPr>
        <w:spacing w:after="160"/>
        <w:rPr>
          <w:rFonts w:ascii="Arial" w:eastAsia="Calibri" w:hAnsi="Arial" w:cs="Arial"/>
          <w:i/>
          <w:lang w:val="pl-PL" w:eastAsia="en-US"/>
        </w:rPr>
      </w:pPr>
    </w:p>
    <w:p w14:paraId="64D6FEF0" w14:textId="6C196FC5" w:rsidR="00EF19D3" w:rsidRDefault="006800FD" w:rsidP="005A0029">
      <w:pPr>
        <w:spacing w:after="160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sz w:val="22"/>
          <w:szCs w:val="22"/>
          <w:lang w:val="pl-PL" w:eastAsia="en-US"/>
        </w:rPr>
        <w:t>WROCŁAW</w:t>
      </w:r>
      <w:r w:rsidR="008B60C0" w:rsidRPr="008C753D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, </w:t>
      </w:r>
      <w:r w:rsidR="0090150E">
        <w:rPr>
          <w:rFonts w:ascii="Arial" w:eastAsia="Calibri" w:hAnsi="Arial" w:cs="Arial"/>
          <w:b/>
          <w:sz w:val="22"/>
          <w:szCs w:val="22"/>
          <w:lang w:val="pl-PL" w:eastAsia="en-US"/>
        </w:rPr>
        <w:t>17</w:t>
      </w:r>
      <w:r w:rsidR="00E57624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grudnia</w:t>
      </w:r>
      <w:r w:rsidR="008B60C0" w:rsidRPr="008C753D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2018 r.</w:t>
      </w:r>
      <w:r w:rsidR="008B60C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–</w:t>
      </w:r>
      <w:r w:rsidR="008B60C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A56B7C">
        <w:rPr>
          <w:rFonts w:ascii="Arial" w:eastAsia="Calibri" w:hAnsi="Arial" w:cs="Arial"/>
          <w:sz w:val="22"/>
          <w:szCs w:val="22"/>
          <w:lang w:val="pl-PL" w:eastAsia="en-US"/>
        </w:rPr>
        <w:t>Według European Best Destination</w:t>
      </w:r>
      <w:r w:rsidR="00A56B7C">
        <w:rPr>
          <w:rStyle w:val="FootnoteReference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A56B7C">
        <w:rPr>
          <w:rFonts w:ascii="Arial" w:eastAsia="Calibri" w:hAnsi="Arial" w:cs="Arial"/>
          <w:sz w:val="22"/>
          <w:szCs w:val="22"/>
          <w:lang w:val="pl-PL" w:eastAsia="en-US"/>
        </w:rPr>
        <w:t xml:space="preserve"> to najlepsza lokalizacja turystyczna w Europie w 2018 roku. Według Mercer</w:t>
      </w:r>
      <w:r w:rsidR="00A56B7C">
        <w:rPr>
          <w:rStyle w:val="FootnoteReference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A56B7C">
        <w:rPr>
          <w:rFonts w:ascii="Arial" w:eastAsia="Calibri" w:hAnsi="Arial" w:cs="Arial"/>
          <w:sz w:val="22"/>
          <w:szCs w:val="22"/>
          <w:lang w:val="pl-PL" w:eastAsia="en-US"/>
        </w:rPr>
        <w:t xml:space="preserve"> – jedno ze stu najlepszych miejsc do życia na świecie. </w:t>
      </w:r>
      <w:r w:rsidRP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Według inwestorów – </w:t>
      </w:r>
      <w:r w:rsidR="00A0366A" w:rsidRPr="00A0366A">
        <w:rPr>
          <w:rFonts w:ascii="Arial" w:eastAsia="Calibri" w:hAnsi="Arial" w:cs="Arial"/>
          <w:sz w:val="22"/>
          <w:szCs w:val="22"/>
          <w:lang w:val="pl-PL" w:eastAsia="en-US"/>
        </w:rPr>
        <w:t>wi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>odące</w:t>
      </w:r>
      <w:r w:rsidRP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 polskie miasto dla inwestycji technologicznych i start-up’owych. </w:t>
      </w:r>
      <w:r w:rsidR="00A56B7C" w:rsidRPr="00A56B7C">
        <w:rPr>
          <w:rFonts w:ascii="Arial" w:eastAsia="Calibri" w:hAnsi="Arial" w:cs="Arial"/>
          <w:sz w:val="22"/>
          <w:szCs w:val="22"/>
          <w:lang w:val="pl-PL" w:eastAsia="en-US"/>
        </w:rPr>
        <w:t xml:space="preserve">Wrocław bez wątpienia znalazł na siebie pomysł, który </w:t>
      </w:r>
      <w:r w:rsidR="00A56B7C">
        <w:rPr>
          <w:rFonts w:ascii="Arial" w:eastAsia="Calibri" w:hAnsi="Arial" w:cs="Arial"/>
          <w:sz w:val="22"/>
          <w:szCs w:val="22"/>
          <w:lang w:val="pl-PL" w:eastAsia="en-US"/>
        </w:rPr>
        <w:t xml:space="preserve">procentuje i z sukcesem ściąga tutaj 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>kolejne firmy</w:t>
      </w:r>
      <w:r w:rsidR="00A56B7C">
        <w:rPr>
          <w:rFonts w:ascii="Arial" w:eastAsia="Calibri" w:hAnsi="Arial" w:cs="Arial"/>
          <w:sz w:val="22"/>
          <w:szCs w:val="22"/>
          <w:lang w:val="pl-PL" w:eastAsia="en-US"/>
        </w:rPr>
        <w:t xml:space="preserve">, deweloperów i mieszkańców z innych części 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Polski i </w:t>
      </w:r>
      <w:r w:rsidR="00A56B7C">
        <w:rPr>
          <w:rFonts w:ascii="Arial" w:eastAsia="Calibri" w:hAnsi="Arial" w:cs="Arial"/>
          <w:sz w:val="22"/>
          <w:szCs w:val="22"/>
          <w:lang w:val="pl-PL" w:eastAsia="en-US"/>
        </w:rPr>
        <w:t>Europy.</w:t>
      </w:r>
    </w:p>
    <w:p w14:paraId="715804CB" w14:textId="600C4C34" w:rsidR="00A04A8E" w:rsidRDefault="00A04A8E" w:rsidP="005A0029">
      <w:pPr>
        <w:spacing w:after="160"/>
        <w:rPr>
          <w:rFonts w:ascii="Arial" w:eastAsia="Calibri" w:hAnsi="Arial" w:cs="Arial"/>
          <w:sz w:val="22"/>
          <w:szCs w:val="22"/>
          <w:lang w:val="pl-PL" w:eastAsia="en-US"/>
        </w:rPr>
      </w:pPr>
      <w:r w:rsidRPr="00EF19D3">
        <w:rPr>
          <w:rFonts w:ascii="Arial" w:eastAsia="Calibri" w:hAnsi="Arial" w:cs="Arial"/>
          <w:sz w:val="22"/>
          <w:szCs w:val="22"/>
          <w:lang w:val="pl-PL" w:eastAsia="en-US"/>
        </w:rPr>
        <w:t xml:space="preserve">Wrocław </w:t>
      </w:r>
      <w:r w:rsidR="00EF19D3" w:rsidRPr="00EF19D3">
        <w:rPr>
          <w:rFonts w:ascii="Arial" w:eastAsia="Calibri" w:hAnsi="Arial" w:cs="Arial"/>
          <w:sz w:val="22"/>
          <w:szCs w:val="22"/>
          <w:lang w:val="pl-PL" w:eastAsia="en-US"/>
        </w:rPr>
        <w:t>jest napędzany innowacjami, o czym świadczy największa liczba centrów IT oraz R&amp;D w Polsce (według ABSL)</w:t>
      </w:r>
      <w:r w:rsidR="00EF19D3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</w:p>
    <w:p w14:paraId="0366AB25" w14:textId="21A954DA" w:rsidR="00DD53EF" w:rsidRPr="00DD53EF" w:rsidRDefault="00EF19D3" w:rsidP="00DD53EF">
      <w:pPr>
        <w:spacing w:after="160"/>
        <w:rPr>
          <w:rFonts w:ascii="Arial" w:eastAsia="Calibri" w:hAnsi="Arial" w:cs="Arial"/>
          <w:sz w:val="22"/>
          <w:szCs w:val="22"/>
          <w:lang w:val="pl-PL" w:eastAsia="en-US"/>
        </w:rPr>
      </w:pPr>
      <w:r w:rsidRPr="00EF19D3">
        <w:rPr>
          <w:rFonts w:ascii="Arial" w:eastAsia="Calibri" w:hAnsi="Arial" w:cs="Arial"/>
          <w:sz w:val="22"/>
          <w:szCs w:val="22"/>
          <w:lang w:val="pl-PL" w:eastAsia="en-US"/>
        </w:rPr>
        <w:t>„Doskonały wizerunek Wrocławia sprawia, ż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e jesteśmy jednym 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z miast pierwszego wyboru dla osób, poszukujących ambitnych wyzwań zawodowych i które chcą się relokować. To z kolei przekłada się na bardzo zasobny rynek pracy, będący podstawowym czynnikiem dla budowania atrakcyjności inwestycyjnej. </w:t>
      </w:r>
      <w:r w:rsidR="00A0366A" w:rsidRPr="00A0366A">
        <w:rPr>
          <w:rFonts w:ascii="Arial" w:eastAsia="Calibri" w:hAnsi="Arial" w:cs="Arial"/>
          <w:sz w:val="22"/>
          <w:szCs w:val="22"/>
          <w:lang w:val="pl-PL" w:eastAsia="en-US"/>
        </w:rPr>
        <w:t>Wszystkie te elementy znajdują odzwierciedlenie w liczbach. W ciągu ostatnich 12 lat Wrocław stał si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>ę</w:t>
      </w:r>
      <w:r w:rsidR="00A0366A" w:rsidRP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 miejscem dla 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>ponad 200 zagranicznych projektów inwestycyjnych, które stworzyły ponad 95 000 miejsc pracy. W mie</w:t>
      </w:r>
      <w:r w:rsidR="00DE264A">
        <w:rPr>
          <w:rFonts w:ascii="Arial" w:eastAsia="Calibri" w:hAnsi="Arial" w:cs="Arial"/>
          <w:sz w:val="22"/>
          <w:szCs w:val="22"/>
          <w:lang w:val="pl-PL" w:eastAsia="en-US"/>
        </w:rPr>
        <w:t>ście działa też ponad 200 start-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>up’ów, kreują</w:t>
      </w:r>
      <w:r w:rsidR="00DD53EF">
        <w:rPr>
          <w:rFonts w:ascii="Arial" w:eastAsia="Calibri" w:hAnsi="Arial" w:cs="Arial"/>
          <w:sz w:val="22"/>
          <w:szCs w:val="22"/>
          <w:lang w:val="pl-PL" w:eastAsia="en-US"/>
        </w:rPr>
        <w:t>cych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 kulturę innowacyjności i przyczyniają</w:t>
      </w:r>
      <w:r w:rsidR="00DD53EF">
        <w:rPr>
          <w:rFonts w:ascii="Arial" w:eastAsia="Calibri" w:hAnsi="Arial" w:cs="Arial"/>
          <w:sz w:val="22"/>
          <w:szCs w:val="22"/>
          <w:lang w:val="pl-PL" w:eastAsia="en-US"/>
        </w:rPr>
        <w:t>cych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 się do wzmacniania marki Wrocławia, jako</w:t>
      </w:r>
      <w:r w:rsidR="0096289C">
        <w:rPr>
          <w:rFonts w:ascii="Arial" w:eastAsia="Calibri" w:hAnsi="Arial" w:cs="Arial"/>
          <w:sz w:val="22"/>
          <w:szCs w:val="22"/>
          <w:lang w:val="pl-PL" w:eastAsia="en-US"/>
        </w:rPr>
        <w:t xml:space="preserve"> polskiego zagłębia innowacji</w:t>
      </w:r>
      <w:r w:rsidR="00A0366A">
        <w:rPr>
          <w:rFonts w:ascii="Arial" w:eastAsia="Calibri" w:hAnsi="Arial" w:cs="Arial"/>
          <w:sz w:val="22"/>
          <w:szCs w:val="22"/>
          <w:lang w:val="pl-PL" w:eastAsia="en-US"/>
        </w:rPr>
        <w:t xml:space="preserve">”, podkreśla </w:t>
      </w:r>
      <w:r w:rsidR="00DE264A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Karolina Grzyb, </w:t>
      </w:r>
      <w:r w:rsidR="0096289C">
        <w:rPr>
          <w:rFonts w:ascii="Arial" w:eastAsia="Calibri" w:hAnsi="Arial" w:cs="Arial"/>
          <w:b/>
          <w:sz w:val="22"/>
          <w:szCs w:val="22"/>
          <w:lang w:val="pl-PL" w:eastAsia="en-US"/>
        </w:rPr>
        <w:t>D</w:t>
      </w:r>
      <w:r w:rsidR="0096289C" w:rsidRPr="0096289C">
        <w:rPr>
          <w:rFonts w:ascii="Arial" w:eastAsia="Calibri" w:hAnsi="Arial" w:cs="Arial"/>
          <w:b/>
          <w:sz w:val="22"/>
          <w:szCs w:val="22"/>
          <w:lang w:val="pl-PL" w:eastAsia="en-US"/>
        </w:rPr>
        <w:t>yre</w:t>
      </w:r>
      <w:r w:rsidR="00C303E0">
        <w:rPr>
          <w:rFonts w:ascii="Arial" w:eastAsia="Calibri" w:hAnsi="Arial" w:cs="Arial"/>
          <w:b/>
          <w:sz w:val="22"/>
          <w:szCs w:val="22"/>
          <w:lang w:val="pl-PL" w:eastAsia="en-US"/>
        </w:rPr>
        <w:t>ktor Centrum Wspierania Biznesu</w:t>
      </w:r>
      <w:r w:rsidR="00DD53EF" w:rsidRPr="00DD53EF">
        <w:rPr>
          <w:rFonts w:ascii="Arial" w:eastAsia="Calibri" w:hAnsi="Arial" w:cs="Arial"/>
          <w:b/>
          <w:sz w:val="22"/>
          <w:szCs w:val="22"/>
          <w:lang w:val="pl-PL" w:eastAsia="en-US"/>
        </w:rPr>
        <w:t>, Agencja Rozwoju Aglomeracji Wrocławskiej.</w:t>
      </w:r>
      <w:r w:rsidR="00DD53EF" w:rsidRPr="00DD53EF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14:paraId="358353A7" w14:textId="76ED2655" w:rsidR="00DD53EF" w:rsidRPr="003915E6" w:rsidRDefault="00DD53EF" w:rsidP="00A04A8E">
      <w:pPr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3915E6">
        <w:rPr>
          <w:rFonts w:ascii="Arial" w:eastAsia="Calibri" w:hAnsi="Arial" w:cs="Arial"/>
          <w:b/>
          <w:sz w:val="22"/>
          <w:szCs w:val="22"/>
          <w:lang w:val="pl-PL" w:eastAsia="en-US"/>
        </w:rPr>
        <w:t>Rynek biurowy we Wrocławiu kwitnie</w:t>
      </w:r>
    </w:p>
    <w:p w14:paraId="4F8DB360" w14:textId="77777777" w:rsidR="005131DF" w:rsidRDefault="00A04A8E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  <w:r w:rsidRPr="005131DF">
        <w:rPr>
          <w:rFonts w:ascii="Arial" w:eastAsia="Calibri" w:hAnsi="Arial" w:cs="Arial"/>
          <w:sz w:val="22"/>
          <w:szCs w:val="22"/>
          <w:lang w:val="pl-PL" w:eastAsia="en-US"/>
        </w:rPr>
        <w:t xml:space="preserve">Wrocław </w:t>
      </w:r>
      <w:r w:rsidR="005131DF" w:rsidRPr="005131DF">
        <w:rPr>
          <w:rFonts w:ascii="Arial" w:eastAsia="Calibri" w:hAnsi="Arial" w:cs="Arial"/>
          <w:sz w:val="22"/>
          <w:szCs w:val="22"/>
          <w:lang w:val="pl-PL" w:eastAsia="en-US"/>
        </w:rPr>
        <w:t>jest trze</w:t>
      </w:r>
      <w:r w:rsidR="005131DF">
        <w:rPr>
          <w:rFonts w:ascii="Arial" w:eastAsia="Calibri" w:hAnsi="Arial" w:cs="Arial"/>
          <w:sz w:val="22"/>
          <w:szCs w:val="22"/>
          <w:lang w:val="pl-PL" w:eastAsia="en-US"/>
        </w:rPr>
        <w:t>c</w:t>
      </w:r>
      <w:r w:rsidR="005131DF" w:rsidRPr="005131DF">
        <w:rPr>
          <w:rFonts w:ascii="Arial" w:eastAsia="Calibri" w:hAnsi="Arial" w:cs="Arial"/>
          <w:sz w:val="22"/>
          <w:szCs w:val="22"/>
          <w:lang w:val="pl-PL" w:eastAsia="en-US"/>
        </w:rPr>
        <w:t xml:space="preserve">im największym (po Warszawie </w:t>
      </w:r>
      <w:r w:rsidR="005131DF">
        <w:rPr>
          <w:rFonts w:ascii="Arial" w:eastAsia="Calibri" w:hAnsi="Arial" w:cs="Arial"/>
          <w:sz w:val="22"/>
          <w:szCs w:val="22"/>
          <w:lang w:val="pl-PL" w:eastAsia="en-US"/>
        </w:rPr>
        <w:t>i K</w:t>
      </w:r>
      <w:r w:rsidR="005131DF" w:rsidRPr="005131DF">
        <w:rPr>
          <w:rFonts w:ascii="Arial" w:eastAsia="Calibri" w:hAnsi="Arial" w:cs="Arial"/>
          <w:sz w:val="22"/>
          <w:szCs w:val="22"/>
          <w:lang w:val="pl-PL" w:eastAsia="en-US"/>
        </w:rPr>
        <w:t xml:space="preserve">rakowie) rynkiem </w:t>
      </w:r>
      <w:r w:rsidR="005131DF">
        <w:rPr>
          <w:rFonts w:ascii="Arial" w:eastAsia="Calibri" w:hAnsi="Arial" w:cs="Arial"/>
          <w:sz w:val="22"/>
          <w:szCs w:val="22"/>
          <w:lang w:val="pl-PL" w:eastAsia="en-US"/>
        </w:rPr>
        <w:t>nowoczesnych biur</w:t>
      </w:r>
      <w:r w:rsidR="005131DF" w:rsidRPr="005131DF">
        <w:rPr>
          <w:rFonts w:ascii="Arial" w:eastAsia="Calibri" w:hAnsi="Arial" w:cs="Arial"/>
          <w:sz w:val="22"/>
          <w:szCs w:val="22"/>
          <w:lang w:val="pl-PL" w:eastAsia="en-US"/>
        </w:rPr>
        <w:t xml:space="preserve"> w Polsce i jedną z najs</w:t>
      </w:r>
      <w:r w:rsidR="005131DF">
        <w:rPr>
          <w:rFonts w:ascii="Arial" w:eastAsia="Calibri" w:hAnsi="Arial" w:cs="Arial"/>
          <w:sz w:val="22"/>
          <w:szCs w:val="22"/>
          <w:lang w:val="pl-PL" w:eastAsia="en-US"/>
        </w:rPr>
        <w:t>zybciej rozwijających się lokalizacji biurowych w naszym kraju.</w:t>
      </w:r>
    </w:p>
    <w:p w14:paraId="2231F490" w14:textId="71800F00" w:rsidR="005131DF" w:rsidRDefault="005131DF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5EF171BC" w14:textId="7326B2BA" w:rsidR="00EE161D" w:rsidRPr="00EE161D" w:rsidRDefault="005131DF" w:rsidP="00A04A8E">
      <w:pPr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5131DF">
        <w:rPr>
          <w:rFonts w:ascii="Arial" w:eastAsia="Calibri" w:hAnsi="Arial" w:cs="Arial"/>
          <w:sz w:val="22"/>
          <w:szCs w:val="22"/>
          <w:lang w:val="pl-PL" w:eastAsia="en-US"/>
        </w:rPr>
        <w:t>„Wyjątkowo wysoka aktywność deweloperska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, którą obserwujemy we Wrocławiu otworzyła w </w:t>
      </w:r>
      <w:r w:rsidR="00EE161D">
        <w:rPr>
          <w:rFonts w:ascii="Arial" w:eastAsia="Calibri" w:hAnsi="Arial" w:cs="Arial"/>
          <w:sz w:val="22"/>
          <w:szCs w:val="22"/>
          <w:lang w:val="pl-PL" w:eastAsia="en-US"/>
        </w:rPr>
        <w:t xml:space="preserve">drugim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kwartale tego roku nowy rozdział w historii tutejszego rynku biurowego. </w:t>
      </w:r>
      <w:r w:rsidRPr="005131DF">
        <w:rPr>
          <w:rFonts w:ascii="Arial" w:eastAsia="Calibri" w:hAnsi="Arial" w:cs="Arial"/>
          <w:sz w:val="22"/>
          <w:szCs w:val="22"/>
          <w:lang w:val="pl-PL" w:eastAsia="en-US"/>
        </w:rPr>
        <w:t>Podaż powierzchni biurowej przekroczyła próg 1 mln mkw.,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co 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>przekłada się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na rosnące zainteresowanie inwestorów szukających nowych opcji dla rozwoju swojego portfela nieruchomościowego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>. Dowodem na to są transakcje dokonywane przez wiodących graczy na rynku</w:t>
      </w:r>
      <w:r w:rsidR="00DB5F9D">
        <w:rPr>
          <w:rFonts w:ascii="Arial" w:eastAsia="Calibri" w:hAnsi="Arial" w:cs="Arial"/>
          <w:sz w:val="22"/>
          <w:szCs w:val="22"/>
          <w:lang w:val="pl-PL" w:eastAsia="en-US"/>
        </w:rPr>
        <w:t xml:space="preserve"> inwestycyjnym</w:t>
      </w:r>
      <w:r w:rsidR="00967077">
        <w:rPr>
          <w:rFonts w:ascii="Arial" w:eastAsia="Calibri" w:hAnsi="Arial" w:cs="Arial"/>
          <w:sz w:val="22"/>
          <w:szCs w:val="22"/>
          <w:lang w:val="pl-PL" w:eastAsia="en-US"/>
        </w:rPr>
        <w:t xml:space="preserve"> - 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Globalworth Poland, </w:t>
      </w:r>
      <w:r w:rsidR="003047DE" w:rsidRPr="003047DE">
        <w:rPr>
          <w:rFonts w:ascii="Arial" w:eastAsia="Calibri" w:hAnsi="Arial" w:cs="Arial"/>
          <w:sz w:val="22"/>
          <w:szCs w:val="22"/>
          <w:lang w:val="pl-PL" w:eastAsia="en-US"/>
        </w:rPr>
        <w:t>Warburg-HIH Real Estate</w:t>
      </w:r>
      <w:r w:rsidR="00967077">
        <w:rPr>
          <w:rFonts w:ascii="Arial" w:eastAsia="Calibri" w:hAnsi="Arial" w:cs="Arial"/>
          <w:sz w:val="22"/>
          <w:szCs w:val="22"/>
          <w:lang w:val="pl-PL" w:eastAsia="en-US"/>
        </w:rPr>
        <w:t>, Niam</w:t>
      </w:r>
      <w:bookmarkStart w:id="0" w:name="_GoBack"/>
      <w:bookmarkEnd w:id="0"/>
      <w:r w:rsidR="003047DE" w:rsidRP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 i wiel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="003047DE" w:rsidRP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 innych</w:t>
      </w:r>
      <w:r w:rsidR="00EE161D">
        <w:rPr>
          <w:rFonts w:ascii="Arial" w:eastAsia="Calibri" w:hAnsi="Arial" w:cs="Arial"/>
          <w:sz w:val="22"/>
          <w:szCs w:val="22"/>
          <w:lang w:val="pl-PL" w:eastAsia="en-US"/>
        </w:rPr>
        <w:t xml:space="preserve">”, komentuje </w:t>
      </w:r>
      <w:r w:rsidR="00EE161D" w:rsidRPr="00EE161D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Katarzyna Krokosińska, dyrektor biura JLL we Wrocławiu. </w:t>
      </w:r>
    </w:p>
    <w:p w14:paraId="799FEC47" w14:textId="77777777" w:rsidR="00EE161D" w:rsidRPr="00EE161D" w:rsidRDefault="00EE161D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58CC7945" w14:textId="30483AB9" w:rsidR="005131DF" w:rsidRDefault="00EE161D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>Ciekawym zjawiskiem na wrocławskim r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ynku biurowym jest także formowanie się klastrów biurowych, 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>co dobrze widać na przykładzie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>o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kolic Dworca Głównego. </w:t>
      </w:r>
    </w:p>
    <w:p w14:paraId="13BDD521" w14:textId="74A609AF" w:rsidR="00EE161D" w:rsidRDefault="00EE161D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20CE6F58" w14:textId="23E4AC8C" w:rsidR="00EE161D" w:rsidRDefault="00EE161D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„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 xml:space="preserve">Nowe inwestycje komercyjne, takie jak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Wroclavia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 xml:space="preserve">, Sagittarius Business House, Komandorska 12 i Retro Office House, wraz z istniejącymi zasobami biurowymi i ulepszeniami infrastrukturalnymi, stworzyły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lokalizacj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>ę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odpowiadającą Centralnemu Obszarowi Biznesowemu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>. Now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hub biurow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to 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 xml:space="preserve">także plac Jana Pawła II, który jest 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>atrakcyjnym punktem na mapie miasta ze względu na</w:t>
      </w:r>
      <w:r w:rsidR="00546A02">
        <w:rPr>
          <w:rFonts w:ascii="Arial" w:eastAsia="Calibri" w:hAnsi="Arial" w:cs="Arial"/>
          <w:sz w:val="22"/>
          <w:szCs w:val="22"/>
          <w:lang w:val="pl-PL" w:eastAsia="en-US"/>
        </w:rPr>
        <w:t xml:space="preserve"> doskonałą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>dostępnoś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>ć t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>ransportu publicznego i bliskoś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ć </w:t>
      </w:r>
      <w:r w:rsidRPr="00EE161D">
        <w:rPr>
          <w:rFonts w:ascii="Arial" w:eastAsia="Calibri" w:hAnsi="Arial" w:cs="Arial"/>
          <w:sz w:val="22"/>
          <w:szCs w:val="22"/>
          <w:lang w:val="pl-PL" w:eastAsia="en-US"/>
        </w:rPr>
        <w:t>centrum</w:t>
      </w:r>
      <w:r w:rsidR="00994FDA">
        <w:rPr>
          <w:rFonts w:ascii="Arial" w:eastAsia="Calibri" w:hAnsi="Arial" w:cs="Arial"/>
          <w:sz w:val="22"/>
          <w:szCs w:val="22"/>
          <w:lang w:val="pl-PL" w:eastAsia="en-US"/>
        </w:rPr>
        <w:t>. Aktualnie w budowie pozostaje 210 000 mkw. powierzchni, która z pewnością wzmocni wiodące lokalizacje biurowe we Wrocławiu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”, dodaje </w:t>
      </w:r>
      <w:r w:rsidR="003047DE" w:rsidRPr="003047DE">
        <w:rPr>
          <w:rFonts w:ascii="Arial" w:eastAsia="Calibri" w:hAnsi="Arial" w:cs="Arial"/>
          <w:b/>
          <w:sz w:val="22"/>
          <w:szCs w:val="22"/>
          <w:lang w:val="pl-PL" w:eastAsia="en-US"/>
        </w:rPr>
        <w:t>Katarzyna Krokosińska.</w:t>
      </w:r>
      <w:r w:rsidR="003047DE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</w:p>
    <w:p w14:paraId="548810AF" w14:textId="1181EDC6" w:rsidR="00994FDA" w:rsidRDefault="00994FDA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432F2D17" w14:textId="77777777" w:rsidR="00DF68D2" w:rsidRPr="004D2DD8" w:rsidRDefault="00DF68D2" w:rsidP="00DF68D2">
      <w:pPr>
        <w:spacing w:after="140" w:line="320" w:lineRule="exact"/>
        <w:rPr>
          <w:rFonts w:ascii="Arial" w:eastAsia="Calibri" w:hAnsi="Arial" w:cs="Arial"/>
          <w:b/>
          <w:sz w:val="18"/>
          <w:szCs w:val="18"/>
          <w:lang w:val="pl-PL"/>
        </w:rPr>
      </w:pPr>
      <w:r w:rsidRPr="004D2DD8">
        <w:rPr>
          <w:rFonts w:ascii="Arial" w:eastAsia="Calibri" w:hAnsi="Arial" w:cs="Arial"/>
          <w:b/>
          <w:sz w:val="18"/>
          <w:szCs w:val="18"/>
          <w:lang w:val="pl-PL"/>
        </w:rPr>
        <w:lastRenderedPageBreak/>
        <w:t xml:space="preserve">Największe </w:t>
      </w:r>
      <w:r>
        <w:rPr>
          <w:rFonts w:ascii="Arial" w:eastAsia="Calibri" w:hAnsi="Arial" w:cs="Arial"/>
          <w:b/>
          <w:sz w:val="18"/>
          <w:szCs w:val="18"/>
          <w:lang w:val="pl-PL"/>
        </w:rPr>
        <w:t xml:space="preserve">obiekty biurowe w budowie </w:t>
      </w:r>
    </w:p>
    <w:tbl>
      <w:tblPr>
        <w:tblW w:w="4145" w:type="pct"/>
        <w:tblLook w:val="04A0" w:firstRow="1" w:lastRow="0" w:firstColumn="1" w:lastColumn="0" w:noHBand="0" w:noVBand="1"/>
      </w:tblPr>
      <w:tblGrid>
        <w:gridCol w:w="3450"/>
        <w:gridCol w:w="2079"/>
        <w:gridCol w:w="2696"/>
      </w:tblGrid>
      <w:tr w:rsidR="00DF68D2" w:rsidRPr="00A42327" w14:paraId="724FEA00" w14:textId="77777777" w:rsidTr="00DE264A">
        <w:trPr>
          <w:trHeight w:val="288"/>
        </w:trPr>
        <w:tc>
          <w:tcPr>
            <w:tcW w:w="2097" w:type="pct"/>
            <w:shd w:val="clear" w:color="000000" w:fill="BC141A"/>
            <w:noWrap/>
            <w:hideMark/>
          </w:tcPr>
          <w:p w14:paraId="03E19B02" w14:textId="77777777" w:rsidR="00DF68D2" w:rsidRPr="004D2DD8" w:rsidRDefault="00DF68D2" w:rsidP="00DF68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Budynek</w:t>
            </w:r>
          </w:p>
        </w:tc>
        <w:tc>
          <w:tcPr>
            <w:tcW w:w="1264" w:type="pct"/>
            <w:shd w:val="clear" w:color="000000" w:fill="BC141A"/>
          </w:tcPr>
          <w:p w14:paraId="0104526E" w14:textId="77777777" w:rsidR="00DF68D2" w:rsidRPr="004D2DD8" w:rsidRDefault="00DF68D2" w:rsidP="00DF68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Powierzchnia (mkw.)</w:t>
            </w:r>
          </w:p>
        </w:tc>
        <w:tc>
          <w:tcPr>
            <w:tcW w:w="1639" w:type="pct"/>
            <w:shd w:val="clear" w:color="000000" w:fill="BC141A"/>
            <w:noWrap/>
            <w:hideMark/>
          </w:tcPr>
          <w:p w14:paraId="1DDAEA01" w14:textId="77777777" w:rsidR="00DF68D2" w:rsidRPr="004D2DD8" w:rsidRDefault="00DF68D2" w:rsidP="00DF68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Deweloper</w:t>
            </w:r>
          </w:p>
        </w:tc>
      </w:tr>
      <w:tr w:rsidR="00DF68D2" w:rsidRPr="004D2DD8" w14:paraId="67C7E0CB" w14:textId="77777777" w:rsidTr="00DE264A">
        <w:trPr>
          <w:trHeight w:val="288"/>
        </w:trPr>
        <w:tc>
          <w:tcPr>
            <w:tcW w:w="2097" w:type="pct"/>
            <w:shd w:val="clear" w:color="auto" w:fill="auto"/>
            <w:noWrap/>
          </w:tcPr>
          <w:p w14:paraId="7ED0EBD5" w14:textId="77777777" w:rsidR="00DF68D2" w:rsidRPr="00AF15E5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C80">
              <w:rPr>
                <w:rFonts w:ascii="Arial" w:hAnsi="Arial" w:cs="Arial"/>
                <w:sz w:val="18"/>
                <w:szCs w:val="18"/>
                <w:lang w:val="en-GB"/>
              </w:rPr>
              <w:t xml:space="preserve">Business Garden </w:t>
            </w:r>
            <w:proofErr w:type="spellStart"/>
            <w:r w:rsidRPr="002F6C80">
              <w:rPr>
                <w:rFonts w:ascii="Arial" w:hAnsi="Arial" w:cs="Arial"/>
                <w:sz w:val="18"/>
                <w:szCs w:val="18"/>
                <w:lang w:val="en-GB"/>
              </w:rPr>
              <w:t>Wrocław</w:t>
            </w:r>
            <w:proofErr w:type="spellEnd"/>
            <w:r w:rsidRPr="002F6C80">
              <w:rPr>
                <w:rFonts w:ascii="Arial" w:hAnsi="Arial" w:cs="Arial"/>
                <w:sz w:val="18"/>
                <w:szCs w:val="18"/>
                <w:lang w:val="en-GB"/>
              </w:rPr>
              <w:t xml:space="preserve"> – II </w:t>
            </w:r>
            <w:proofErr w:type="spellStart"/>
            <w:r w:rsidRPr="002F6C80">
              <w:rPr>
                <w:rFonts w:ascii="Arial" w:hAnsi="Arial" w:cs="Arial"/>
                <w:sz w:val="18"/>
                <w:szCs w:val="18"/>
                <w:lang w:val="en-GB"/>
              </w:rPr>
              <w:t>faza</w:t>
            </w:r>
            <w:proofErr w:type="spellEnd"/>
          </w:p>
        </w:tc>
        <w:tc>
          <w:tcPr>
            <w:tcW w:w="1264" w:type="pct"/>
          </w:tcPr>
          <w:p w14:paraId="2FF44D48" w14:textId="77777777" w:rsidR="00DF68D2" w:rsidRPr="004A6F13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70 000</w:t>
            </w:r>
          </w:p>
        </w:tc>
        <w:tc>
          <w:tcPr>
            <w:tcW w:w="1639" w:type="pct"/>
            <w:shd w:val="clear" w:color="auto" w:fill="auto"/>
            <w:noWrap/>
          </w:tcPr>
          <w:p w14:paraId="4A458338" w14:textId="77777777" w:rsidR="00DF68D2" w:rsidRPr="004D2DD8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Vastint Poland</w:t>
            </w:r>
          </w:p>
        </w:tc>
      </w:tr>
      <w:tr w:rsidR="00DF68D2" w:rsidRPr="004D2DD8" w14:paraId="6A01A943" w14:textId="77777777" w:rsidTr="00DE264A">
        <w:trPr>
          <w:trHeight w:val="288"/>
        </w:trPr>
        <w:tc>
          <w:tcPr>
            <w:tcW w:w="2097" w:type="pct"/>
            <w:shd w:val="clear" w:color="auto" w:fill="BFBFBF"/>
            <w:noWrap/>
          </w:tcPr>
          <w:p w14:paraId="7A07C9B3" w14:textId="77777777" w:rsidR="00DF68D2" w:rsidRPr="004D2DD8" w:rsidRDefault="00DF68D2" w:rsidP="00DF68D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Cu Office</w:t>
            </w:r>
          </w:p>
        </w:tc>
        <w:tc>
          <w:tcPr>
            <w:tcW w:w="1264" w:type="pct"/>
            <w:shd w:val="clear" w:color="auto" w:fill="BFBFBF"/>
          </w:tcPr>
          <w:p w14:paraId="17D1BED5" w14:textId="77777777" w:rsidR="00DF68D2" w:rsidRPr="004A6F13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23 500</w:t>
            </w:r>
          </w:p>
        </w:tc>
        <w:tc>
          <w:tcPr>
            <w:tcW w:w="1639" w:type="pct"/>
            <w:shd w:val="clear" w:color="auto" w:fill="BFBFBF"/>
            <w:noWrap/>
          </w:tcPr>
          <w:p w14:paraId="6492ACF2" w14:textId="77777777" w:rsidR="00DF68D2" w:rsidRPr="004D2DD8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AF15E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Buma / Reino Partners</w:t>
            </w:r>
          </w:p>
        </w:tc>
      </w:tr>
      <w:tr w:rsidR="00DF68D2" w:rsidRPr="004D2DD8" w14:paraId="5D2DA1A5" w14:textId="77777777" w:rsidTr="00DE264A">
        <w:trPr>
          <w:trHeight w:val="288"/>
        </w:trPr>
        <w:tc>
          <w:tcPr>
            <w:tcW w:w="2097" w:type="pct"/>
            <w:shd w:val="clear" w:color="auto" w:fill="auto"/>
            <w:noWrap/>
          </w:tcPr>
          <w:p w14:paraId="5CC75803" w14:textId="77777777" w:rsidR="00DF68D2" w:rsidRPr="004D2DD8" w:rsidRDefault="00DF68D2" w:rsidP="00DF68D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Centrum Południe</w:t>
            </w:r>
          </w:p>
        </w:tc>
        <w:tc>
          <w:tcPr>
            <w:tcW w:w="1264" w:type="pct"/>
          </w:tcPr>
          <w:p w14:paraId="668861C6" w14:textId="77777777" w:rsidR="00DF68D2" w:rsidRPr="00EF2FFB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23 300</w:t>
            </w:r>
          </w:p>
        </w:tc>
        <w:tc>
          <w:tcPr>
            <w:tcW w:w="1639" w:type="pct"/>
            <w:shd w:val="clear" w:color="auto" w:fill="auto"/>
            <w:noWrap/>
          </w:tcPr>
          <w:p w14:paraId="191BDE58" w14:textId="77777777" w:rsidR="00DF68D2" w:rsidRPr="004D2DD8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Skanska Property Poland</w:t>
            </w:r>
          </w:p>
        </w:tc>
      </w:tr>
      <w:tr w:rsidR="00DF68D2" w:rsidRPr="004D2DD8" w14:paraId="78FE1EF3" w14:textId="77777777" w:rsidTr="00DE264A">
        <w:trPr>
          <w:trHeight w:val="288"/>
        </w:trPr>
        <w:tc>
          <w:tcPr>
            <w:tcW w:w="2097" w:type="pct"/>
            <w:shd w:val="clear" w:color="auto" w:fill="BFBFBF"/>
            <w:noWrap/>
          </w:tcPr>
          <w:p w14:paraId="3A9F2250" w14:textId="77777777" w:rsidR="00DF68D2" w:rsidRPr="004D2DD8" w:rsidRDefault="00DF68D2" w:rsidP="00DF68D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City Forum</w:t>
            </w:r>
          </w:p>
        </w:tc>
        <w:tc>
          <w:tcPr>
            <w:tcW w:w="1264" w:type="pct"/>
            <w:shd w:val="clear" w:color="auto" w:fill="BFBFBF"/>
          </w:tcPr>
          <w:p w14:paraId="05F43C12" w14:textId="77777777" w:rsidR="00DF68D2" w:rsidRPr="00EF2FFB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22 600</w:t>
            </w:r>
          </w:p>
        </w:tc>
        <w:tc>
          <w:tcPr>
            <w:tcW w:w="1639" w:type="pct"/>
            <w:shd w:val="clear" w:color="auto" w:fill="BFBFBF"/>
            <w:noWrap/>
          </w:tcPr>
          <w:p w14:paraId="05B12C53" w14:textId="77777777" w:rsidR="00DF68D2" w:rsidRPr="004D2DD8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Archicom</w:t>
            </w:r>
          </w:p>
        </w:tc>
      </w:tr>
      <w:tr w:rsidR="00DF68D2" w:rsidRPr="004D2DD8" w14:paraId="35C4BFB6" w14:textId="77777777" w:rsidTr="00DE264A">
        <w:trPr>
          <w:trHeight w:val="288"/>
        </w:trPr>
        <w:tc>
          <w:tcPr>
            <w:tcW w:w="2097" w:type="pct"/>
            <w:shd w:val="clear" w:color="auto" w:fill="FFFFFF" w:themeFill="background1"/>
            <w:noWrap/>
          </w:tcPr>
          <w:p w14:paraId="47F65653" w14:textId="77777777" w:rsidR="00DF68D2" w:rsidRDefault="00DF68D2" w:rsidP="00DF68D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Nowy Targ</w:t>
            </w:r>
          </w:p>
        </w:tc>
        <w:tc>
          <w:tcPr>
            <w:tcW w:w="1264" w:type="pct"/>
            <w:shd w:val="clear" w:color="auto" w:fill="FFFFFF" w:themeFill="background1"/>
          </w:tcPr>
          <w:p w14:paraId="505A8658" w14:textId="77777777" w:rsidR="00DF68D2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19 400</w:t>
            </w:r>
          </w:p>
        </w:tc>
        <w:tc>
          <w:tcPr>
            <w:tcW w:w="1639" w:type="pct"/>
            <w:shd w:val="clear" w:color="auto" w:fill="FFFFFF" w:themeFill="background1"/>
            <w:noWrap/>
          </w:tcPr>
          <w:p w14:paraId="3BE0AFCB" w14:textId="77777777" w:rsidR="00DF68D2" w:rsidRPr="00EF2FFB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Skanska Property Poland</w:t>
            </w:r>
          </w:p>
        </w:tc>
      </w:tr>
      <w:tr w:rsidR="00DF68D2" w:rsidRPr="004D2DD8" w14:paraId="0E562CA8" w14:textId="77777777" w:rsidTr="00DE264A">
        <w:trPr>
          <w:trHeight w:val="288"/>
        </w:trPr>
        <w:tc>
          <w:tcPr>
            <w:tcW w:w="2097" w:type="pct"/>
            <w:shd w:val="clear" w:color="auto" w:fill="BFBFBF" w:themeFill="background1" w:themeFillShade="BF"/>
            <w:noWrap/>
          </w:tcPr>
          <w:p w14:paraId="57FB6F19" w14:textId="77777777" w:rsidR="00DF68D2" w:rsidRDefault="00DF68D2" w:rsidP="00DF68D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Infinity</w:t>
            </w:r>
          </w:p>
        </w:tc>
        <w:tc>
          <w:tcPr>
            <w:tcW w:w="1264" w:type="pct"/>
            <w:shd w:val="clear" w:color="auto" w:fill="BFBFBF" w:themeFill="background1" w:themeFillShade="BF"/>
          </w:tcPr>
          <w:p w14:paraId="63E204F2" w14:textId="77777777" w:rsidR="00DF68D2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18 700</w:t>
            </w:r>
          </w:p>
        </w:tc>
        <w:tc>
          <w:tcPr>
            <w:tcW w:w="1639" w:type="pct"/>
            <w:shd w:val="clear" w:color="auto" w:fill="BFBFBF" w:themeFill="background1" w:themeFillShade="BF"/>
            <w:noWrap/>
          </w:tcPr>
          <w:p w14:paraId="70E4A335" w14:textId="77777777" w:rsidR="00DF68D2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5E5">
              <w:rPr>
                <w:rFonts w:ascii="Arial" w:hAnsi="Arial" w:cs="Arial"/>
                <w:color w:val="000000"/>
                <w:sz w:val="18"/>
                <w:szCs w:val="18"/>
              </w:rPr>
              <w:t>Avestus</w:t>
            </w:r>
            <w:proofErr w:type="spellEnd"/>
            <w:r w:rsidRPr="00AF15E5">
              <w:rPr>
                <w:rFonts w:ascii="Arial" w:hAnsi="Arial" w:cs="Arial"/>
                <w:color w:val="000000"/>
                <w:sz w:val="18"/>
                <w:szCs w:val="18"/>
              </w:rPr>
              <w:t xml:space="preserve"> Real Estate Poland</w:t>
            </w:r>
          </w:p>
        </w:tc>
      </w:tr>
      <w:tr w:rsidR="00DF68D2" w:rsidRPr="004D2DD8" w14:paraId="368DD616" w14:textId="77777777" w:rsidTr="00DE264A">
        <w:trPr>
          <w:trHeight w:val="288"/>
        </w:trPr>
        <w:tc>
          <w:tcPr>
            <w:tcW w:w="2097" w:type="pct"/>
            <w:shd w:val="clear" w:color="auto" w:fill="auto"/>
            <w:noWrap/>
          </w:tcPr>
          <w:p w14:paraId="1AFBDB03" w14:textId="77777777" w:rsidR="00DF68D2" w:rsidRDefault="00DF68D2" w:rsidP="00DF68D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Carbon Tower</w:t>
            </w:r>
          </w:p>
        </w:tc>
        <w:tc>
          <w:tcPr>
            <w:tcW w:w="1264" w:type="pct"/>
            <w:shd w:val="clear" w:color="auto" w:fill="auto"/>
          </w:tcPr>
          <w:p w14:paraId="4B0DBB7C" w14:textId="77777777" w:rsidR="00DF68D2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17 600</w:t>
            </w:r>
          </w:p>
        </w:tc>
        <w:tc>
          <w:tcPr>
            <w:tcW w:w="1639" w:type="pct"/>
            <w:shd w:val="clear" w:color="auto" w:fill="auto"/>
            <w:noWrap/>
          </w:tcPr>
          <w:p w14:paraId="68DE6321" w14:textId="77777777" w:rsidR="00DF68D2" w:rsidRPr="00AF15E5" w:rsidRDefault="00DF68D2" w:rsidP="00DF6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Cavatina</w:t>
            </w:r>
          </w:p>
        </w:tc>
      </w:tr>
    </w:tbl>
    <w:p w14:paraId="7A5ACF73" w14:textId="77777777" w:rsidR="00DF68D2" w:rsidRPr="00D90377" w:rsidRDefault="00DF68D2" w:rsidP="00DF68D2">
      <w:pPr>
        <w:spacing w:after="140" w:line="320" w:lineRule="exact"/>
        <w:rPr>
          <w:rFonts w:ascii="Arial" w:eastAsia="Calibri" w:hAnsi="Arial" w:cs="Arial"/>
          <w:b/>
          <w:color w:val="808080"/>
          <w:sz w:val="18"/>
          <w:szCs w:val="18"/>
          <w:lang w:val="pl-PL"/>
        </w:rPr>
      </w:pPr>
      <w:r>
        <w:rPr>
          <w:rFonts w:ascii="Arial" w:eastAsia="Calibri" w:hAnsi="Arial" w:cs="Arial"/>
          <w:b/>
          <w:color w:val="808080"/>
          <w:sz w:val="18"/>
          <w:szCs w:val="18"/>
          <w:lang w:val="pl-PL"/>
        </w:rPr>
        <w:t>Źródło: JLL, 2018</w:t>
      </w:r>
    </w:p>
    <w:p w14:paraId="408B830C" w14:textId="77777777" w:rsidR="00DF68D2" w:rsidRDefault="00DF68D2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4E3F659B" w14:textId="0B2FF157" w:rsidR="00DF68D2" w:rsidRPr="00DF68D2" w:rsidRDefault="00994FDA" w:rsidP="00DF68D2">
      <w:pPr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Aktywność deweloperska jest napędzana przez wysoki poziom popytu. W 2015 r. firmy podpisały we Wrocławiu umowy najmu na 127 000 mkw. Pozytywne tendencje utrzymały się również w 2016 r., aby już w 2017 pobić kolejny rekord – tym razem 169 500 mkw. Z kolei na koniec 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III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kwartału 2018 r. popyt osiągnął bardzo dobry wynik 96 500 mkw. 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Ze względu na dużą chłonność wrocławskiego rynku </w:t>
      </w:r>
      <w:r w:rsidR="00DF68D2" w:rsidRP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wskaźnik powierzchni niewynajętej 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>kształtuje</w:t>
      </w:r>
      <w:r w:rsidR="00DF68D2" w:rsidRP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 się na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 optymalnym</w:t>
      </w:r>
      <w:r w:rsidR="00DF68D2" w:rsidRP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 poziomie 9,7%. Najwyższe czynsze transakcyjne za metr kwadratowy miesięcznie </w:t>
      </w:r>
      <w:r w:rsid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wynoszą z kolei </w:t>
      </w:r>
      <w:r w:rsidR="00DF68D2" w:rsidRPr="00DF68D2">
        <w:rPr>
          <w:rFonts w:ascii="Arial" w:eastAsia="Calibri" w:hAnsi="Arial" w:cs="Arial"/>
          <w:sz w:val="22"/>
          <w:szCs w:val="22"/>
          <w:lang w:val="pl-PL" w:eastAsia="en-US"/>
        </w:rPr>
        <w:t>13,7 - 14,5 euro.</w:t>
      </w:r>
    </w:p>
    <w:p w14:paraId="27B9A433" w14:textId="77777777" w:rsidR="00DF68D2" w:rsidRPr="00DF68D2" w:rsidRDefault="00DF68D2" w:rsidP="00A04A8E">
      <w:pPr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14:paraId="5C10F558" w14:textId="0B99BC97" w:rsidR="006800FD" w:rsidRPr="00DF68D2" w:rsidRDefault="00DF68D2" w:rsidP="00A04A8E">
      <w:pPr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DF68D2">
        <w:rPr>
          <w:rFonts w:ascii="Arial" w:eastAsia="Calibri" w:hAnsi="Arial" w:cs="Arial"/>
          <w:b/>
          <w:sz w:val="22"/>
          <w:szCs w:val="22"/>
          <w:lang w:val="pl-PL" w:eastAsia="en-US"/>
        </w:rPr>
        <w:t>Rynek pracy – usług</w:t>
      </w:r>
      <w:r w:rsidR="00546A02">
        <w:rPr>
          <w:rFonts w:ascii="Arial" w:eastAsia="Calibri" w:hAnsi="Arial" w:cs="Arial"/>
          <w:b/>
          <w:sz w:val="22"/>
          <w:szCs w:val="22"/>
          <w:lang w:val="pl-PL" w:eastAsia="en-US"/>
        </w:rPr>
        <w:t>i</w:t>
      </w:r>
      <w:r w:rsidRPr="00DF68D2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rządzą</w:t>
      </w:r>
    </w:p>
    <w:p w14:paraId="67F11C03" w14:textId="6552ED62" w:rsidR="00DF68D2" w:rsidRDefault="00DF68D2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  <w:r w:rsidRPr="00DF68D2">
        <w:rPr>
          <w:rFonts w:ascii="Arial" w:eastAsia="Calibri" w:hAnsi="Arial" w:cs="Arial"/>
          <w:sz w:val="22"/>
          <w:szCs w:val="22"/>
          <w:lang w:val="pl-PL" w:eastAsia="en-US"/>
        </w:rPr>
        <w:t>Aglomeracja wrocławska jest jedną z głównych lokalizacji centrów usług biznesowych w Polsce</w:t>
      </w:r>
      <w:r>
        <w:rPr>
          <w:rFonts w:ascii="Arial" w:eastAsia="Calibri" w:hAnsi="Arial" w:cs="Arial"/>
          <w:sz w:val="22"/>
          <w:szCs w:val="22"/>
          <w:lang w:val="pl-PL" w:eastAsia="en-US"/>
        </w:rPr>
        <w:t>, które zatrudniają już ponad 45 000 osób</w:t>
      </w:r>
      <w:r>
        <w:rPr>
          <w:rStyle w:val="FootnoteReference"/>
          <w:rFonts w:ascii="Arial" w:eastAsia="Calibri" w:hAnsi="Arial" w:cs="Arial"/>
          <w:sz w:val="22"/>
          <w:szCs w:val="22"/>
          <w:lang w:val="pl-PL" w:eastAsia="en-US"/>
        </w:rPr>
        <w:footnoteReference w:id="3"/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.  </w:t>
      </w:r>
    </w:p>
    <w:p w14:paraId="3969BAA5" w14:textId="282A10F4" w:rsidR="00DF68D2" w:rsidRDefault="00DF68D2" w:rsidP="00A04A8E">
      <w:pPr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008E7E2F" w14:textId="52F6FA50" w:rsidR="007D0107" w:rsidRDefault="00DF68D2" w:rsidP="00DF68D2">
      <w:pPr>
        <w:rPr>
          <w:rFonts w:ascii="Arial" w:eastAsia="Calibri" w:hAnsi="Arial" w:cs="Arial"/>
          <w:b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„</w:t>
      </w:r>
      <w:r w:rsidRP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Większość nowych inwestycji, a także najbardziej dynamiczne plany wzrostu zatrudnienia,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obserwujemy w obszarze IT</w:t>
      </w:r>
      <w:r w:rsidRPr="00DF68D2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Nowoczesne technologie są znakiem rozpoznawczym Wrocławia, a ten wizerunek jest wspierany przez wiele opcji rozwoju, które oferują lokalne firmy. Wrocław to dobry wybór zarówno na start kariery, jak i świetna lokalizacja dla uznanych specjalistów szukających ambitnych wyzwań i atrakcyjnego miejsca do życia”, podsumowuje </w:t>
      </w:r>
      <w:r w:rsidRPr="00DF68D2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Tomasz Kowalski, Branch Manager, HAYS Poland. </w:t>
      </w:r>
    </w:p>
    <w:p w14:paraId="2C592157" w14:textId="77777777" w:rsidR="000F36BA" w:rsidRPr="00DF68D2" w:rsidRDefault="000F36BA" w:rsidP="00DF68D2">
      <w:pPr>
        <w:rPr>
          <w:rFonts w:ascii="Arial" w:hAnsi="Arial" w:cs="Arial"/>
          <w:b/>
          <w:sz w:val="22"/>
          <w:szCs w:val="22"/>
          <w:lang w:val="pl-PL"/>
        </w:rPr>
      </w:pPr>
    </w:p>
    <w:p w14:paraId="4E74D053" w14:textId="2DAB1B7D" w:rsidR="00E70B51" w:rsidRPr="0077531D" w:rsidRDefault="00E70B51" w:rsidP="005A0029">
      <w:pPr>
        <w:ind w:right="-618"/>
        <w:jc w:val="center"/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</w:pPr>
      <w:r w:rsidRPr="00E70B51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- koniec -</w:t>
      </w:r>
    </w:p>
    <w:p w14:paraId="51A32841" w14:textId="18121710" w:rsidR="004E5818" w:rsidRDefault="00DE264A" w:rsidP="00DE264A">
      <w:pPr>
        <w:spacing w:after="140"/>
        <w:ind w:left="-567"/>
        <w:jc w:val="both"/>
        <w:rPr>
          <w:rFonts w:ascii="Arial" w:hAnsi="Arial" w:cs="Arial"/>
          <w:color w:val="0D0D0D" w:themeColor="text1" w:themeTint="F2"/>
          <w:sz w:val="22"/>
          <w:szCs w:val="22"/>
          <w:lang w:val="pl-PL"/>
        </w:rPr>
      </w:pPr>
      <w:r>
        <w:rPr>
          <w:rFonts w:ascii="Arial" w:hAnsi="Arial" w:cs="Arial"/>
          <w:b/>
          <w:color w:val="0D0D0D" w:themeColor="text1" w:themeTint="F2"/>
          <w:sz w:val="22"/>
          <w:szCs w:val="22"/>
          <w:lang w:val="pl-PL"/>
        </w:rPr>
        <w:t xml:space="preserve">   </w:t>
      </w:r>
    </w:p>
    <w:p w14:paraId="192B7EFF" w14:textId="5837A546" w:rsidR="004E5818" w:rsidRPr="004E5818" w:rsidRDefault="004E5818" w:rsidP="004E5818">
      <w:pPr>
        <w:ind w:right="-1"/>
        <w:jc w:val="both"/>
        <w:rPr>
          <w:rFonts w:ascii="Arial" w:hAnsi="Arial" w:cs="Arial"/>
          <w:b/>
          <w:color w:val="0D0D0D" w:themeColor="text1" w:themeTint="F2"/>
          <w:sz w:val="22"/>
          <w:szCs w:val="22"/>
          <w:lang w:val="pl-PL"/>
        </w:rPr>
      </w:pPr>
      <w:r w:rsidRPr="004E5818">
        <w:rPr>
          <w:rFonts w:ascii="Arial" w:hAnsi="Arial" w:cs="Arial"/>
          <w:b/>
          <w:color w:val="0D0D0D" w:themeColor="text1" w:themeTint="F2"/>
          <w:sz w:val="22"/>
          <w:szCs w:val="22"/>
          <w:lang w:val="pl-PL"/>
        </w:rPr>
        <w:t>JLL</w:t>
      </w:r>
    </w:p>
    <w:p w14:paraId="44C58B27" w14:textId="1607E89C" w:rsidR="004E5818" w:rsidRPr="00E57624" w:rsidRDefault="00E57624" w:rsidP="00E57624">
      <w:pPr>
        <w:spacing w:after="160"/>
        <w:rPr>
          <w:rFonts w:ascii="Arial" w:eastAsia="Calibri" w:hAnsi="Arial" w:cs="Arial"/>
          <w:sz w:val="22"/>
          <w:szCs w:val="22"/>
          <w:lang w:val="pl-PL" w:eastAsia="en-US"/>
        </w:rPr>
      </w:pPr>
      <w:r w:rsidRPr="00E57624">
        <w:rPr>
          <w:rFonts w:ascii="Arial" w:eastAsia="Calibri" w:hAnsi="Arial" w:cs="Arial"/>
          <w:sz w:val="22"/>
          <w:szCs w:val="22"/>
          <w:lang w:val="pl-PL" w:eastAsia="en-US"/>
        </w:rPr>
        <w:t>JLL (NYSE: JLL) to wiodąca firma doradcza świadcząca kompleksowe usługi na rynku nieruchomości. Misją JLL jest zredefiniowanie sektora nieruchomości komercyjnych, stwarzanie najlepszych możliwości biznesowych i atrakcyjnych, komfortowych przestrzeni sprzyjających realizowaniu celów. W ten sposób firma przyczynia się do budowania lepszej przyszłości dla swoich klientów, pracowników oraz społeczności, w których działa. JLL jest spółką z listy Fortune 500 zatrudniającą ok. 88 000 osób w 80 krajach w ramach 300 oddziałów na całym świecie. JLL jest marką i zastrzeżonym znakiem towarowym firmy Jones Lang LaSalle Incorporated. Więcej informacji zn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ajduje się na stronie jll.com</w:t>
      </w:r>
      <w:r w:rsidRPr="00E57624">
        <w:rPr>
          <w:rFonts w:ascii="Arial" w:eastAsia="Calibri" w:hAnsi="Arial" w:cs="Arial"/>
          <w:sz w:val="22"/>
          <w:szCs w:val="22"/>
          <w:lang w:val="pl-PL" w:eastAsia="en-US"/>
        </w:rPr>
        <w:t xml:space="preserve">  </w:t>
      </w:r>
    </w:p>
    <w:p w14:paraId="70DDAADE" w14:textId="7D9DE6C5" w:rsidR="00DC1372" w:rsidRPr="0077531D" w:rsidRDefault="00DC1372" w:rsidP="00672A69">
      <w:pPr>
        <w:ind w:right="-618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</w:pPr>
    </w:p>
    <w:sectPr w:rsidR="00DC1372" w:rsidRPr="0077531D" w:rsidSect="00A86161">
      <w:headerReference w:type="default" r:id="rId8"/>
      <w:headerReference w:type="first" r:id="rId9"/>
      <w:pgSz w:w="11900" w:h="16840"/>
      <w:pgMar w:top="1440" w:right="985" w:bottom="1440" w:left="993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6FD49" w14:textId="77777777" w:rsidR="00A023BD" w:rsidRDefault="00A023BD" w:rsidP="0045426F">
      <w:r>
        <w:separator/>
      </w:r>
    </w:p>
  </w:endnote>
  <w:endnote w:type="continuationSeparator" w:id="0">
    <w:p w14:paraId="6E10FD70" w14:textId="77777777" w:rsidR="00A023BD" w:rsidRDefault="00A023BD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F6744" w14:textId="77777777" w:rsidR="00A023BD" w:rsidRDefault="00A023BD" w:rsidP="0045426F">
      <w:r>
        <w:separator/>
      </w:r>
    </w:p>
  </w:footnote>
  <w:footnote w:type="continuationSeparator" w:id="0">
    <w:p w14:paraId="45F26876" w14:textId="77777777" w:rsidR="00A023BD" w:rsidRDefault="00A023BD" w:rsidP="0045426F">
      <w:r>
        <w:continuationSeparator/>
      </w:r>
    </w:p>
  </w:footnote>
  <w:footnote w:id="1">
    <w:p w14:paraId="78771B03" w14:textId="151D6F18" w:rsidR="00A56B7C" w:rsidRPr="00E57624" w:rsidRDefault="00A56B7C">
      <w:pPr>
        <w:pStyle w:val="FootnoteText"/>
        <w:rPr>
          <w:rFonts w:ascii="Arial" w:hAnsi="Arial" w:cs="Arial"/>
        </w:rPr>
      </w:pPr>
      <w:r w:rsidRPr="00A56B7C">
        <w:rPr>
          <w:rStyle w:val="FootnoteReference"/>
          <w:rFonts w:ascii="Arial" w:hAnsi="Arial" w:cs="Arial"/>
        </w:rPr>
        <w:footnoteRef/>
      </w:r>
      <w:r w:rsidRPr="00A56B7C">
        <w:rPr>
          <w:rFonts w:ascii="Arial" w:hAnsi="Arial" w:cs="Arial"/>
        </w:rPr>
        <w:t xml:space="preserve"> </w:t>
      </w:r>
      <w:hyperlink r:id="rId1" w:history="1">
        <w:r w:rsidRPr="00A56B7C">
          <w:rPr>
            <w:rStyle w:val="Hyperlink"/>
            <w:rFonts w:ascii="Arial" w:hAnsi="Arial" w:cs="Arial"/>
          </w:rPr>
          <w:t>https://www.europeanbestdestinations.com/european-best-destinations-2018/</w:t>
        </w:r>
      </w:hyperlink>
    </w:p>
  </w:footnote>
  <w:footnote w:id="2">
    <w:p w14:paraId="43E4A8B5" w14:textId="439AFEA0" w:rsidR="00A56B7C" w:rsidRPr="00A56B7C" w:rsidRDefault="00A56B7C">
      <w:pPr>
        <w:pStyle w:val="FootnoteText"/>
        <w:rPr>
          <w:rFonts w:ascii="Arial" w:hAnsi="Arial" w:cs="Arial"/>
        </w:rPr>
      </w:pPr>
      <w:r w:rsidRPr="00A56B7C">
        <w:rPr>
          <w:rStyle w:val="FootnoteReference"/>
          <w:rFonts w:ascii="Arial" w:hAnsi="Arial" w:cs="Arial"/>
        </w:rPr>
        <w:footnoteRef/>
      </w:r>
      <w:r w:rsidRPr="00A56B7C">
        <w:rPr>
          <w:rFonts w:ascii="Arial" w:hAnsi="Arial" w:cs="Arial"/>
        </w:rPr>
        <w:t xml:space="preserve"> </w:t>
      </w:r>
      <w:proofErr w:type="spellStart"/>
      <w:r w:rsidRPr="00DF68D2">
        <w:rPr>
          <w:rFonts w:ascii="Arial" w:hAnsi="Arial" w:cs="Arial"/>
        </w:rPr>
        <w:t>Raport</w:t>
      </w:r>
      <w:proofErr w:type="spellEnd"/>
      <w:r w:rsidRPr="00DF68D2">
        <w:rPr>
          <w:rFonts w:ascii="Arial" w:hAnsi="Arial" w:cs="Arial"/>
        </w:rPr>
        <w:t xml:space="preserve"> Mercer </w:t>
      </w:r>
      <w:r w:rsidRPr="00DF68D2">
        <w:rPr>
          <w:rFonts w:ascii="Arial" w:eastAsia="Calibri" w:hAnsi="Arial" w:cs="Arial"/>
        </w:rPr>
        <w:t>„Quality of living 2018”</w:t>
      </w:r>
    </w:p>
  </w:footnote>
  <w:footnote w:id="3">
    <w:p w14:paraId="7CD5D802" w14:textId="03470A9A" w:rsidR="00DF68D2" w:rsidRPr="00DF68D2" w:rsidRDefault="00DF68D2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Pr="00DF68D2">
        <w:rPr>
          <w:rFonts w:ascii="Arial" w:hAnsi="Arial" w:cs="Arial"/>
        </w:rPr>
        <w:t>Dane ABSL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C259" w14:textId="77777777" w:rsidR="00A00286" w:rsidRDefault="00A00286" w:rsidP="00F12B14">
    <w:pPr>
      <w:pStyle w:val="Header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24912BE6" wp14:editId="704DD917">
          <wp:extent cx="7200900" cy="914400"/>
          <wp:effectExtent l="0" t="0" r="0" b="0"/>
          <wp:docPr id="9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015" w14:textId="77777777" w:rsidR="00A00286" w:rsidRDefault="00A00286" w:rsidP="00F30A2E">
    <w:pPr>
      <w:pStyle w:val="Header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E2C95" wp14:editId="6A513940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0B20B4" w14:textId="2167AB0A" w:rsidR="00A00286" w:rsidRPr="006D1E3C" w:rsidRDefault="00A00286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E2C9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BsXrzn4wAAAA8BAAAPAAAA&#10;ZHJzL2Rvd25yZXYueG1sTI9BT8MwDIXvSPyHyEjctoRBu65rOiEmriAGm8Qta7y2onGqJlvLv8ec&#10;4GLJ8vee3ys2k+vEBYfQetJwN1cgkCpvW6o1fLw/zzIQIRqypvOEGr4xwKa8vipMbv1Ib3jZxVqw&#10;CYXcaGhi7HMpQ9WgM2HueyS+nfzgTOR1qKUdzMjmrpMLpVLpTEv8oTE9PjVYfe3OTsP+5fR5eFCv&#10;9dYl/egnJcmtpNa3N9N2zeNxDSLiFP8U8NuB80PJwY7+TDaITsMsXaWMasiSJQgGksWSGx6ZzJJ7&#10;kGUh//cofwAAAP//AwBQSwECLQAUAAYACAAAACEAtoM4kv4AAADhAQAAEwAAAAAAAAAAAAAAAAAA&#10;AAAAW0NvbnRlbnRfVHlwZXNdLnhtbFBLAQItABQABgAIAAAAIQA4/SH/1gAAAJQBAAALAAAAAAAA&#10;AAAAAAAAAC8BAABfcmVscy8ucmVsc1BLAQItABQABgAIAAAAIQD1kZBSNQIAAHEEAAAOAAAAAAAA&#10;AAAAAAAAAC4CAABkcnMvZTJvRG9jLnhtbFBLAQItABQABgAIAAAAIQBsXrzn4wAAAA8BAAAPAAAA&#10;AAAAAAAAAAAAAI8EAABkcnMvZG93bnJldi54bWxQSwUGAAAAAAQABADzAAAAnwUAAAAA&#10;" filled="f" stroked="f">
              <v:textbox>
                <w:txbxContent>
                  <w:p w14:paraId="190B20B4" w14:textId="2167AB0A" w:rsidR="00A00286" w:rsidRPr="006D1E3C" w:rsidRDefault="00A00286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490E4675" wp14:editId="43B1DA29">
          <wp:extent cx="6832600" cy="1143000"/>
          <wp:effectExtent l="0" t="0" r="0" b="0"/>
          <wp:docPr id="10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972"/>
    <w:multiLevelType w:val="hybridMultilevel"/>
    <w:tmpl w:val="F558EA2C"/>
    <w:lvl w:ilvl="0" w:tplc="0415000D">
      <w:start w:val="1"/>
      <w:numFmt w:val="bullet"/>
      <w:lvlText w:val="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szCs w:val="16"/>
        <w:u w:val="none" w:color="808080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66"/>
        </w:tabs>
        <w:ind w:left="7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86"/>
        </w:tabs>
        <w:ind w:left="8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06"/>
        </w:tabs>
        <w:ind w:left="8806" w:hanging="360"/>
      </w:pPr>
      <w:rPr>
        <w:rFonts w:ascii="Wingdings" w:hAnsi="Wingdings" w:hint="default"/>
      </w:rPr>
    </w:lvl>
  </w:abstractNum>
  <w:abstractNum w:abstractNumId="1" w15:restartNumberingAfterBreak="0">
    <w:nsid w:val="0988658B"/>
    <w:multiLevelType w:val="hybridMultilevel"/>
    <w:tmpl w:val="986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341249A"/>
    <w:multiLevelType w:val="multilevel"/>
    <w:tmpl w:val="D448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7"/>
    <w:rsid w:val="000161D3"/>
    <w:rsid w:val="00022C9D"/>
    <w:rsid w:val="00024838"/>
    <w:rsid w:val="00024E6C"/>
    <w:rsid w:val="00025CC2"/>
    <w:rsid w:val="00034E31"/>
    <w:rsid w:val="000404F7"/>
    <w:rsid w:val="00050C2C"/>
    <w:rsid w:val="00061346"/>
    <w:rsid w:val="000632E1"/>
    <w:rsid w:val="000636D0"/>
    <w:rsid w:val="0007272C"/>
    <w:rsid w:val="00091829"/>
    <w:rsid w:val="000A5200"/>
    <w:rsid w:val="000A6230"/>
    <w:rsid w:val="000D06EC"/>
    <w:rsid w:val="000D142B"/>
    <w:rsid w:val="000F36BA"/>
    <w:rsid w:val="001010CD"/>
    <w:rsid w:val="00112F33"/>
    <w:rsid w:val="001158E5"/>
    <w:rsid w:val="001219C6"/>
    <w:rsid w:val="0014144F"/>
    <w:rsid w:val="0014777A"/>
    <w:rsid w:val="001500B1"/>
    <w:rsid w:val="00154B82"/>
    <w:rsid w:val="001613B2"/>
    <w:rsid w:val="001726E6"/>
    <w:rsid w:val="00181607"/>
    <w:rsid w:val="00182A70"/>
    <w:rsid w:val="001855DC"/>
    <w:rsid w:val="00192D29"/>
    <w:rsid w:val="001A1FEC"/>
    <w:rsid w:val="001A244F"/>
    <w:rsid w:val="001C1C17"/>
    <w:rsid w:val="001C5EF5"/>
    <w:rsid w:val="001D50B3"/>
    <w:rsid w:val="001E01DE"/>
    <w:rsid w:val="001E71A2"/>
    <w:rsid w:val="001F1EB1"/>
    <w:rsid w:val="001F602E"/>
    <w:rsid w:val="002057B6"/>
    <w:rsid w:val="00217D3C"/>
    <w:rsid w:val="00224D86"/>
    <w:rsid w:val="00225245"/>
    <w:rsid w:val="00243E4F"/>
    <w:rsid w:val="0024580D"/>
    <w:rsid w:val="00250F92"/>
    <w:rsid w:val="002542A7"/>
    <w:rsid w:val="00257A15"/>
    <w:rsid w:val="00260D09"/>
    <w:rsid w:val="00262153"/>
    <w:rsid w:val="00265147"/>
    <w:rsid w:val="00267BF8"/>
    <w:rsid w:val="0028735F"/>
    <w:rsid w:val="00297FB5"/>
    <w:rsid w:val="002B1C77"/>
    <w:rsid w:val="002C1FC7"/>
    <w:rsid w:val="002C262B"/>
    <w:rsid w:val="002E6737"/>
    <w:rsid w:val="0030434B"/>
    <w:rsid w:val="003047DE"/>
    <w:rsid w:val="003105C2"/>
    <w:rsid w:val="0031270B"/>
    <w:rsid w:val="00313AFC"/>
    <w:rsid w:val="00317134"/>
    <w:rsid w:val="00323088"/>
    <w:rsid w:val="003335D2"/>
    <w:rsid w:val="00347C47"/>
    <w:rsid w:val="00350234"/>
    <w:rsid w:val="003513B4"/>
    <w:rsid w:val="00353E53"/>
    <w:rsid w:val="00360B89"/>
    <w:rsid w:val="00363B03"/>
    <w:rsid w:val="00384305"/>
    <w:rsid w:val="003915E6"/>
    <w:rsid w:val="003924D8"/>
    <w:rsid w:val="00396906"/>
    <w:rsid w:val="003A77CF"/>
    <w:rsid w:val="003B21EE"/>
    <w:rsid w:val="003B3F75"/>
    <w:rsid w:val="003C3A8E"/>
    <w:rsid w:val="003C76A0"/>
    <w:rsid w:val="003D0A08"/>
    <w:rsid w:val="003D0AD8"/>
    <w:rsid w:val="003E1151"/>
    <w:rsid w:val="003E6C07"/>
    <w:rsid w:val="003F30FB"/>
    <w:rsid w:val="00407627"/>
    <w:rsid w:val="0041431A"/>
    <w:rsid w:val="00444F24"/>
    <w:rsid w:val="00446229"/>
    <w:rsid w:val="0045426F"/>
    <w:rsid w:val="00473826"/>
    <w:rsid w:val="00474AA1"/>
    <w:rsid w:val="00475D33"/>
    <w:rsid w:val="00480448"/>
    <w:rsid w:val="004822A5"/>
    <w:rsid w:val="004836EA"/>
    <w:rsid w:val="00486D0E"/>
    <w:rsid w:val="00490F32"/>
    <w:rsid w:val="004921CA"/>
    <w:rsid w:val="004A09D1"/>
    <w:rsid w:val="004A1C1B"/>
    <w:rsid w:val="004B2A32"/>
    <w:rsid w:val="004B544E"/>
    <w:rsid w:val="004C50FA"/>
    <w:rsid w:val="004C62B7"/>
    <w:rsid w:val="004D675C"/>
    <w:rsid w:val="004E5818"/>
    <w:rsid w:val="004E6E80"/>
    <w:rsid w:val="004F0AEB"/>
    <w:rsid w:val="004F2FB3"/>
    <w:rsid w:val="004F64EF"/>
    <w:rsid w:val="00510AF6"/>
    <w:rsid w:val="005131DF"/>
    <w:rsid w:val="005140B2"/>
    <w:rsid w:val="00521287"/>
    <w:rsid w:val="005220D7"/>
    <w:rsid w:val="00527539"/>
    <w:rsid w:val="0053633B"/>
    <w:rsid w:val="00541604"/>
    <w:rsid w:val="00546A02"/>
    <w:rsid w:val="005674C6"/>
    <w:rsid w:val="0057062C"/>
    <w:rsid w:val="00574672"/>
    <w:rsid w:val="00576FAA"/>
    <w:rsid w:val="00595D31"/>
    <w:rsid w:val="005A0029"/>
    <w:rsid w:val="005A76DC"/>
    <w:rsid w:val="005B5677"/>
    <w:rsid w:val="005B6E25"/>
    <w:rsid w:val="005C6240"/>
    <w:rsid w:val="005F4943"/>
    <w:rsid w:val="005F6EC6"/>
    <w:rsid w:val="006025A5"/>
    <w:rsid w:val="00615505"/>
    <w:rsid w:val="00620851"/>
    <w:rsid w:val="00632101"/>
    <w:rsid w:val="00633352"/>
    <w:rsid w:val="0063438F"/>
    <w:rsid w:val="0063738A"/>
    <w:rsid w:val="00650950"/>
    <w:rsid w:val="00661108"/>
    <w:rsid w:val="00667C27"/>
    <w:rsid w:val="00672A69"/>
    <w:rsid w:val="0067327A"/>
    <w:rsid w:val="00674564"/>
    <w:rsid w:val="006800FD"/>
    <w:rsid w:val="006938FE"/>
    <w:rsid w:val="006A15B4"/>
    <w:rsid w:val="006D1E3C"/>
    <w:rsid w:val="006D534D"/>
    <w:rsid w:val="006E5D14"/>
    <w:rsid w:val="00707946"/>
    <w:rsid w:val="00713420"/>
    <w:rsid w:val="0072519C"/>
    <w:rsid w:val="007333F6"/>
    <w:rsid w:val="00734525"/>
    <w:rsid w:val="00737B98"/>
    <w:rsid w:val="007434CD"/>
    <w:rsid w:val="0075221C"/>
    <w:rsid w:val="00754B6A"/>
    <w:rsid w:val="00754D31"/>
    <w:rsid w:val="00761B6B"/>
    <w:rsid w:val="007706EA"/>
    <w:rsid w:val="00770C78"/>
    <w:rsid w:val="0077252E"/>
    <w:rsid w:val="007740A7"/>
    <w:rsid w:val="0077531D"/>
    <w:rsid w:val="00787A54"/>
    <w:rsid w:val="00791A34"/>
    <w:rsid w:val="007957BA"/>
    <w:rsid w:val="007A2CD1"/>
    <w:rsid w:val="007A44A5"/>
    <w:rsid w:val="007A7A81"/>
    <w:rsid w:val="007B3D08"/>
    <w:rsid w:val="007B6E60"/>
    <w:rsid w:val="007C508E"/>
    <w:rsid w:val="007D0107"/>
    <w:rsid w:val="007D3740"/>
    <w:rsid w:val="007D6835"/>
    <w:rsid w:val="007D7E67"/>
    <w:rsid w:val="007E52A7"/>
    <w:rsid w:val="007F43C6"/>
    <w:rsid w:val="00802E6C"/>
    <w:rsid w:val="00805B11"/>
    <w:rsid w:val="00805D33"/>
    <w:rsid w:val="00825531"/>
    <w:rsid w:val="00832E5C"/>
    <w:rsid w:val="00852CFA"/>
    <w:rsid w:val="00854933"/>
    <w:rsid w:val="00855B52"/>
    <w:rsid w:val="00870285"/>
    <w:rsid w:val="00876235"/>
    <w:rsid w:val="008826D7"/>
    <w:rsid w:val="0089119F"/>
    <w:rsid w:val="008937A2"/>
    <w:rsid w:val="0089498D"/>
    <w:rsid w:val="008A6AE4"/>
    <w:rsid w:val="008B60C0"/>
    <w:rsid w:val="008C753D"/>
    <w:rsid w:val="008D1A07"/>
    <w:rsid w:val="008E2EB2"/>
    <w:rsid w:val="008E41ED"/>
    <w:rsid w:val="008F3797"/>
    <w:rsid w:val="008F51F6"/>
    <w:rsid w:val="008F586D"/>
    <w:rsid w:val="009011CD"/>
    <w:rsid w:val="0090150E"/>
    <w:rsid w:val="00903EF7"/>
    <w:rsid w:val="00904A67"/>
    <w:rsid w:val="00906CE2"/>
    <w:rsid w:val="0091630B"/>
    <w:rsid w:val="00917BA0"/>
    <w:rsid w:val="00921218"/>
    <w:rsid w:val="00950955"/>
    <w:rsid w:val="00955C8E"/>
    <w:rsid w:val="009561BF"/>
    <w:rsid w:val="00957869"/>
    <w:rsid w:val="0096238D"/>
    <w:rsid w:val="0096289C"/>
    <w:rsid w:val="00967077"/>
    <w:rsid w:val="00973FC8"/>
    <w:rsid w:val="00977264"/>
    <w:rsid w:val="00994FDA"/>
    <w:rsid w:val="009A1507"/>
    <w:rsid w:val="009A2A5E"/>
    <w:rsid w:val="009A3C16"/>
    <w:rsid w:val="009B306D"/>
    <w:rsid w:val="009C55B2"/>
    <w:rsid w:val="009D7B13"/>
    <w:rsid w:val="009E41BA"/>
    <w:rsid w:val="00A00286"/>
    <w:rsid w:val="00A023BD"/>
    <w:rsid w:val="00A0366A"/>
    <w:rsid w:val="00A04A8E"/>
    <w:rsid w:val="00A1167D"/>
    <w:rsid w:val="00A1678F"/>
    <w:rsid w:val="00A30A5D"/>
    <w:rsid w:val="00A30C25"/>
    <w:rsid w:val="00A555CA"/>
    <w:rsid w:val="00A56B7C"/>
    <w:rsid w:val="00A603D1"/>
    <w:rsid w:val="00A7280E"/>
    <w:rsid w:val="00A763D7"/>
    <w:rsid w:val="00A8105B"/>
    <w:rsid w:val="00A86161"/>
    <w:rsid w:val="00A9047D"/>
    <w:rsid w:val="00AA641C"/>
    <w:rsid w:val="00AB2AE6"/>
    <w:rsid w:val="00AB37E9"/>
    <w:rsid w:val="00AD5FE3"/>
    <w:rsid w:val="00AE31B7"/>
    <w:rsid w:val="00AE7B53"/>
    <w:rsid w:val="00B03101"/>
    <w:rsid w:val="00B14367"/>
    <w:rsid w:val="00B16931"/>
    <w:rsid w:val="00B17E67"/>
    <w:rsid w:val="00B22DB2"/>
    <w:rsid w:val="00B535FF"/>
    <w:rsid w:val="00B54490"/>
    <w:rsid w:val="00B612EF"/>
    <w:rsid w:val="00B744AA"/>
    <w:rsid w:val="00B74868"/>
    <w:rsid w:val="00B86DAB"/>
    <w:rsid w:val="00B910C1"/>
    <w:rsid w:val="00B91773"/>
    <w:rsid w:val="00B9321B"/>
    <w:rsid w:val="00B936F3"/>
    <w:rsid w:val="00B94638"/>
    <w:rsid w:val="00BA0AD6"/>
    <w:rsid w:val="00BA3877"/>
    <w:rsid w:val="00BA5C3B"/>
    <w:rsid w:val="00BB6BD6"/>
    <w:rsid w:val="00BB72EE"/>
    <w:rsid w:val="00BC1DFF"/>
    <w:rsid w:val="00BC47DF"/>
    <w:rsid w:val="00BD1A2C"/>
    <w:rsid w:val="00BD251A"/>
    <w:rsid w:val="00BF4F81"/>
    <w:rsid w:val="00C0375E"/>
    <w:rsid w:val="00C0535F"/>
    <w:rsid w:val="00C100A8"/>
    <w:rsid w:val="00C101A2"/>
    <w:rsid w:val="00C15E98"/>
    <w:rsid w:val="00C16919"/>
    <w:rsid w:val="00C21EC1"/>
    <w:rsid w:val="00C303E0"/>
    <w:rsid w:val="00C37FB2"/>
    <w:rsid w:val="00C44742"/>
    <w:rsid w:val="00C94AFA"/>
    <w:rsid w:val="00CA02F2"/>
    <w:rsid w:val="00CA7995"/>
    <w:rsid w:val="00CB4B12"/>
    <w:rsid w:val="00CC477C"/>
    <w:rsid w:val="00CC6360"/>
    <w:rsid w:val="00CC74DE"/>
    <w:rsid w:val="00CE0141"/>
    <w:rsid w:val="00CE2D12"/>
    <w:rsid w:val="00CE670A"/>
    <w:rsid w:val="00CF2BA0"/>
    <w:rsid w:val="00CF2DBC"/>
    <w:rsid w:val="00CF2F79"/>
    <w:rsid w:val="00CF5070"/>
    <w:rsid w:val="00D0110D"/>
    <w:rsid w:val="00D223D2"/>
    <w:rsid w:val="00D4026B"/>
    <w:rsid w:val="00D4323F"/>
    <w:rsid w:val="00D66151"/>
    <w:rsid w:val="00D77B37"/>
    <w:rsid w:val="00DA5CFB"/>
    <w:rsid w:val="00DB5F9D"/>
    <w:rsid w:val="00DC1372"/>
    <w:rsid w:val="00DC3002"/>
    <w:rsid w:val="00DD53EF"/>
    <w:rsid w:val="00DE10CD"/>
    <w:rsid w:val="00DE264A"/>
    <w:rsid w:val="00DE2E0A"/>
    <w:rsid w:val="00DF0D0D"/>
    <w:rsid w:val="00DF3204"/>
    <w:rsid w:val="00DF3822"/>
    <w:rsid w:val="00DF44A7"/>
    <w:rsid w:val="00DF68D2"/>
    <w:rsid w:val="00E05CC5"/>
    <w:rsid w:val="00E12CBC"/>
    <w:rsid w:val="00E35E75"/>
    <w:rsid w:val="00E3687D"/>
    <w:rsid w:val="00E36A12"/>
    <w:rsid w:val="00E41A49"/>
    <w:rsid w:val="00E51679"/>
    <w:rsid w:val="00E57624"/>
    <w:rsid w:val="00E6699C"/>
    <w:rsid w:val="00E67405"/>
    <w:rsid w:val="00E70B51"/>
    <w:rsid w:val="00E71E56"/>
    <w:rsid w:val="00E7224F"/>
    <w:rsid w:val="00E73CCD"/>
    <w:rsid w:val="00E76A69"/>
    <w:rsid w:val="00E81B7C"/>
    <w:rsid w:val="00E847A1"/>
    <w:rsid w:val="00E93F6C"/>
    <w:rsid w:val="00E9434E"/>
    <w:rsid w:val="00EA4E40"/>
    <w:rsid w:val="00EA5DF9"/>
    <w:rsid w:val="00EB06EE"/>
    <w:rsid w:val="00EB15B3"/>
    <w:rsid w:val="00EC1BC9"/>
    <w:rsid w:val="00EC5684"/>
    <w:rsid w:val="00EE161D"/>
    <w:rsid w:val="00EE2241"/>
    <w:rsid w:val="00EE50AD"/>
    <w:rsid w:val="00EF19D3"/>
    <w:rsid w:val="00F07069"/>
    <w:rsid w:val="00F10693"/>
    <w:rsid w:val="00F12B14"/>
    <w:rsid w:val="00F30A2E"/>
    <w:rsid w:val="00F455BA"/>
    <w:rsid w:val="00F52521"/>
    <w:rsid w:val="00F60CAD"/>
    <w:rsid w:val="00F653BE"/>
    <w:rsid w:val="00F743D6"/>
    <w:rsid w:val="00F74EFA"/>
    <w:rsid w:val="00F95C70"/>
    <w:rsid w:val="00F97B9C"/>
    <w:rsid w:val="00FB0BFA"/>
    <w:rsid w:val="00FB42F9"/>
    <w:rsid w:val="00FF1A0D"/>
    <w:rsid w:val="00FF4C4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B338"/>
  <w14:defaultImageDpi w14:val="32767"/>
  <w15:chartTrackingRefBased/>
  <w15:docId w15:val="{D5D84341-3E3A-4980-9561-6AECFA2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6F"/>
  </w:style>
  <w:style w:type="paragraph" w:styleId="Footer">
    <w:name w:val="footer"/>
    <w:basedOn w:val="Normal"/>
    <w:link w:val="FooterChar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6F"/>
  </w:style>
  <w:style w:type="paragraph" w:customStyle="1" w:styleId="PressRelease-Heading">
    <w:name w:val="Press Release-Heading"/>
    <w:basedOn w:val="Normal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yperlink">
    <w:name w:val="Hyperlink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7E9"/>
    <w:pPr>
      <w:ind w:left="720"/>
      <w:contextualSpacing/>
    </w:pPr>
  </w:style>
  <w:style w:type="table" w:styleId="TableGrid">
    <w:name w:val="Table Grid"/>
    <w:basedOn w:val="TableNormal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31"/>
    <w:rPr>
      <w:b/>
      <w:bCs/>
    </w:rPr>
  </w:style>
  <w:style w:type="character" w:styleId="Strong">
    <w:name w:val="Strong"/>
    <w:basedOn w:val="DefaultParagraphFont"/>
    <w:uiPriority w:val="22"/>
    <w:qFormat/>
    <w:rsid w:val="00225245"/>
    <w:rPr>
      <w:b/>
      <w:bCs/>
    </w:rPr>
  </w:style>
  <w:style w:type="paragraph" w:customStyle="1" w:styleId="REPORTTEXT">
    <w:name w:val="REPORT TEXT"/>
    <w:basedOn w:val="Normal"/>
    <w:link w:val="REPORTTEXTChar"/>
    <w:uiPriority w:val="1"/>
    <w:qFormat/>
    <w:rsid w:val="00650950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efaultParagraphFont"/>
    <w:link w:val="REPORTTEXT"/>
    <w:uiPriority w:val="1"/>
    <w:rsid w:val="00650950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241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241"/>
    <w:rPr>
      <w:rFonts w:ascii="Source Sans Pro Light" w:eastAsia="Source Sans Pro Light" w:hAnsi="Source Sans Pro Light" w:cs="Source Sans Pro Light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2241"/>
    <w:rPr>
      <w:vertAlign w:val="superscript"/>
    </w:rPr>
  </w:style>
  <w:style w:type="paragraph" w:customStyle="1" w:styleId="JLLBodyTextNoIndent">
    <w:name w:val="JLL_Body Text No Indent"/>
    <w:basedOn w:val="Normal"/>
    <w:qFormat/>
    <w:rsid w:val="00024E6C"/>
    <w:pPr>
      <w:spacing w:before="220" w:line="288" w:lineRule="auto"/>
    </w:pPr>
    <w:rPr>
      <w:rFonts w:ascii="Arial Narrow" w:eastAsia="Times New Roman" w:hAnsi="Arial Narrow"/>
      <w:sz w:val="22"/>
      <w:lang w:val="en-GB" w:eastAsia="en-GB"/>
    </w:rPr>
  </w:style>
  <w:style w:type="character" w:customStyle="1" w:styleId="st1">
    <w:name w:val="st1"/>
    <w:basedOn w:val="DefaultParagraphFont"/>
    <w:rsid w:val="001613B2"/>
  </w:style>
  <w:style w:type="paragraph" w:styleId="EndnoteText">
    <w:name w:val="endnote text"/>
    <w:basedOn w:val="Normal"/>
    <w:link w:val="EndnoteTextChar"/>
    <w:uiPriority w:val="99"/>
    <w:semiHidden/>
    <w:unhideWhenUsed/>
    <w:rsid w:val="00192D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D29"/>
  </w:style>
  <w:style w:type="character" w:styleId="EndnoteReference">
    <w:name w:val="endnote reference"/>
    <w:basedOn w:val="DefaultParagraphFont"/>
    <w:uiPriority w:val="99"/>
    <w:semiHidden/>
    <w:unhideWhenUsed/>
    <w:rsid w:val="00192D2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eanbestdestinations.com/european-best-destinations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D9D1-4172-408C-9EBA-58DC843B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</Template>
  <TotalTime>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5314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Bustos</dc:creator>
  <cp:keywords/>
  <dc:description/>
  <cp:lastModifiedBy>Podolak, Anna</cp:lastModifiedBy>
  <cp:revision>6</cp:revision>
  <cp:lastPrinted>2018-12-17T10:43:00Z</cp:lastPrinted>
  <dcterms:created xsi:type="dcterms:W3CDTF">2018-12-12T16:03:00Z</dcterms:created>
  <dcterms:modified xsi:type="dcterms:W3CDTF">2018-12-17T10:50:00Z</dcterms:modified>
</cp:coreProperties>
</file>