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D101B" w14:textId="77777777" w:rsidR="00161CA4" w:rsidRDefault="00161CA4" w:rsidP="00782B25">
      <w:pPr>
        <w:spacing w:after="160" w:line="259" w:lineRule="auto"/>
        <w:jc w:val="both"/>
        <w:rPr>
          <w:rFonts w:cs="Arial"/>
          <w:b/>
          <w:color w:val="auto"/>
          <w:sz w:val="24"/>
          <w:szCs w:val="24"/>
        </w:rPr>
      </w:pPr>
    </w:p>
    <w:p w14:paraId="6BCFBB91" w14:textId="77777777" w:rsidR="005327DA" w:rsidRDefault="005327DA" w:rsidP="00CF0F03">
      <w:pPr>
        <w:spacing w:line="276" w:lineRule="auto"/>
        <w:jc w:val="both"/>
        <w:rPr>
          <w:rFonts w:cs="Arial"/>
          <w:color w:val="auto"/>
        </w:rPr>
      </w:pPr>
    </w:p>
    <w:p w14:paraId="1B5B88C3" w14:textId="6DF62080" w:rsidR="005327DA" w:rsidRDefault="002D0950" w:rsidP="003363E6">
      <w:pPr>
        <w:spacing w:line="276" w:lineRule="auto"/>
        <w:jc w:val="center"/>
        <w:rPr>
          <w:rFonts w:cs="Arial"/>
          <w:b/>
          <w:sz w:val="24"/>
          <w:szCs w:val="24"/>
          <w:lang w:val="en-GB"/>
        </w:rPr>
      </w:pPr>
      <w:r w:rsidRPr="002D0950">
        <w:rPr>
          <w:rFonts w:cs="Arial"/>
          <w:b/>
          <w:sz w:val="24"/>
          <w:szCs w:val="24"/>
          <w:lang w:val="en-GB"/>
        </w:rPr>
        <w:t>Construction markets look broadly overheated across the CEE-6 countries presently</w:t>
      </w:r>
    </w:p>
    <w:p w14:paraId="219A67A6" w14:textId="77777777" w:rsidR="00A229D4" w:rsidRPr="009807EF" w:rsidRDefault="00A229D4" w:rsidP="005327DA">
      <w:pPr>
        <w:jc w:val="center"/>
        <w:rPr>
          <w:rFonts w:cs="Arial"/>
          <w:b/>
          <w:sz w:val="24"/>
          <w:szCs w:val="24"/>
          <w:lang w:val="en-GB"/>
        </w:rPr>
      </w:pPr>
    </w:p>
    <w:p w14:paraId="3B8717BB" w14:textId="77777777" w:rsidR="005327DA" w:rsidRPr="009807EF" w:rsidRDefault="005327DA" w:rsidP="005327DA">
      <w:pPr>
        <w:jc w:val="both"/>
        <w:rPr>
          <w:rFonts w:cs="Arial"/>
          <w:b/>
          <w:szCs w:val="22"/>
          <w:lang w:val="en-GB"/>
        </w:rPr>
      </w:pPr>
    </w:p>
    <w:p w14:paraId="360CDC27" w14:textId="56E75953" w:rsidR="002D0950" w:rsidRDefault="005327DA" w:rsidP="003363E6">
      <w:pPr>
        <w:spacing w:line="276" w:lineRule="auto"/>
        <w:jc w:val="both"/>
      </w:pPr>
      <w:r w:rsidRPr="00D97DAD">
        <w:rPr>
          <w:b/>
          <w:szCs w:val="24"/>
          <w:lang w:val="en-GB"/>
        </w:rPr>
        <w:t>Warsaw</w:t>
      </w:r>
      <w:r>
        <w:rPr>
          <w:b/>
          <w:szCs w:val="24"/>
          <w:lang w:val="en-GB"/>
        </w:rPr>
        <w:t>,</w:t>
      </w:r>
      <w:r w:rsidRPr="00D97DAD">
        <w:rPr>
          <w:b/>
          <w:szCs w:val="24"/>
          <w:lang w:val="en-GB"/>
        </w:rPr>
        <w:t xml:space="preserve"> </w:t>
      </w:r>
      <w:r w:rsidR="003363E6">
        <w:rPr>
          <w:b/>
          <w:szCs w:val="24"/>
          <w:lang w:val="en-GB"/>
        </w:rPr>
        <w:t xml:space="preserve">January </w:t>
      </w:r>
      <w:r w:rsidR="00723620">
        <w:rPr>
          <w:b/>
          <w:szCs w:val="24"/>
          <w:lang w:val="en-GB"/>
        </w:rPr>
        <w:t>28</w:t>
      </w:r>
      <w:r>
        <w:rPr>
          <w:b/>
          <w:szCs w:val="24"/>
          <w:lang w:val="en-GB"/>
        </w:rPr>
        <w:t>,</w:t>
      </w:r>
      <w:r w:rsidRPr="00D97DAD">
        <w:rPr>
          <w:b/>
          <w:szCs w:val="24"/>
          <w:lang w:val="en-GB"/>
        </w:rPr>
        <w:t xml:space="preserve"> 2018 </w:t>
      </w:r>
      <w:r w:rsidRPr="00D97DAD">
        <w:rPr>
          <w:lang w:val="en-GB"/>
        </w:rPr>
        <w:t xml:space="preserve">– </w:t>
      </w:r>
      <w:r w:rsidR="002D0950" w:rsidRPr="00895E39">
        <w:t xml:space="preserve">Office development as a proportion of total stock is at cycle highs, in the 10%-21% range in the CEE-6 capital cities. It is 10%-28% in the Polish regional cities and at a peak in the industrial sector </w:t>
      </w:r>
      <w:r w:rsidR="002D0950">
        <w:t>a</w:t>
      </w:r>
      <w:r w:rsidR="002D0950" w:rsidRPr="00895E39">
        <w:t>s well</w:t>
      </w:r>
      <w:r w:rsidR="002D0950">
        <w:t xml:space="preserve">, reveals </w:t>
      </w:r>
      <w:r w:rsidR="002D0950" w:rsidRPr="003438B3">
        <w:t>Colliers International, global industry-leading real estate services company, in its latest research report</w:t>
      </w:r>
      <w:r w:rsidR="002D0950">
        <w:t xml:space="preserve"> </w:t>
      </w:r>
      <w:r w:rsidR="002D0950" w:rsidRPr="002D0950">
        <w:rPr>
          <w:szCs w:val="22"/>
        </w:rPr>
        <w:t>“</w:t>
      </w:r>
      <w:hyperlink r:id="rId8" w:tgtFrame="_blank" w:history="1">
        <w:r w:rsidR="002D0950" w:rsidRPr="002D0950">
          <w:rPr>
            <w:rStyle w:val="Hyperlink"/>
            <w:rFonts w:cs="Arial"/>
            <w:color w:val="0093D0"/>
            <w:szCs w:val="22"/>
          </w:rPr>
          <w:t>CEE construction markets: The Icarus effect</w:t>
        </w:r>
      </w:hyperlink>
      <w:r w:rsidR="002D0950" w:rsidRPr="002D0950">
        <w:rPr>
          <w:szCs w:val="22"/>
        </w:rPr>
        <w:t>”.</w:t>
      </w:r>
      <w:r w:rsidR="002D0950">
        <w:t xml:space="preserve"> </w:t>
      </w:r>
    </w:p>
    <w:p w14:paraId="2DBBFD7F" w14:textId="77777777" w:rsidR="00CF0F03" w:rsidRDefault="00CF0F03" w:rsidP="00CF0F03">
      <w:pPr>
        <w:spacing w:line="276" w:lineRule="auto"/>
        <w:jc w:val="both"/>
      </w:pPr>
    </w:p>
    <w:p w14:paraId="1FF8C908" w14:textId="2A5BDE7B" w:rsidR="00F759EB" w:rsidRDefault="002D0950" w:rsidP="003363E6">
      <w:pPr>
        <w:autoSpaceDE w:val="0"/>
        <w:autoSpaceDN w:val="0"/>
        <w:adjustRightInd w:val="0"/>
        <w:spacing w:line="276" w:lineRule="auto"/>
        <w:jc w:val="both"/>
        <w:rPr>
          <w:rFonts w:eastAsia="SkanskaSansPro-Regular" w:cs="Arial"/>
          <w:color w:val="auto"/>
          <w:szCs w:val="22"/>
        </w:rPr>
      </w:pPr>
      <w:r w:rsidRPr="002D0950">
        <w:rPr>
          <w:rFonts w:eastAsia="SkanskaSansPro-Regular" w:cs="Arial"/>
          <w:b/>
          <w:color w:val="auto"/>
          <w:szCs w:val="22"/>
        </w:rPr>
        <w:t>Mark Robinson</w:t>
      </w:r>
      <w:r w:rsidRPr="002D0950">
        <w:rPr>
          <w:rFonts w:eastAsia="SkanskaSansPro-Regular" w:cs="Arial"/>
          <w:color w:val="auto"/>
          <w:szCs w:val="22"/>
        </w:rPr>
        <w:t>, CEE Research Specialist</w:t>
      </w:r>
      <w:r w:rsidR="00A83BA8">
        <w:rPr>
          <w:rFonts w:eastAsia="SkanskaSansPro-Regular" w:cs="Arial"/>
          <w:color w:val="auto"/>
          <w:szCs w:val="22"/>
        </w:rPr>
        <w:t xml:space="preserve"> at Colliers International</w:t>
      </w:r>
      <w:r w:rsidRPr="002D0950">
        <w:rPr>
          <w:rFonts w:eastAsia="SkanskaSansPro-Regular" w:cs="Arial"/>
          <w:color w:val="auto"/>
          <w:szCs w:val="22"/>
        </w:rPr>
        <w:t xml:space="preserve"> explains: “In Greek mythology, Icarus flew too near to sun, melting the wax on his wings and he plunged into the sea. We believe this is the correct analogy for construction markets in CEE, currently. Economic sentiment indicator appears to have passed its recent peak in most of the CEE countries. And examining the top of the last cycle in 2007-08, we found that it was spikes in construction costs and prices that helped define the turn at the peak even before the 2008-09 Global Financial Crisis struck”.</w:t>
      </w:r>
    </w:p>
    <w:p w14:paraId="2644EDDB" w14:textId="77777777" w:rsidR="00F759EB" w:rsidRDefault="00F759EB" w:rsidP="003363E6">
      <w:pPr>
        <w:autoSpaceDE w:val="0"/>
        <w:autoSpaceDN w:val="0"/>
        <w:adjustRightInd w:val="0"/>
        <w:spacing w:line="276" w:lineRule="auto"/>
        <w:jc w:val="both"/>
        <w:rPr>
          <w:rFonts w:eastAsia="SkanskaSansPro-Regular" w:cs="Arial"/>
          <w:color w:val="auto"/>
          <w:szCs w:val="22"/>
        </w:rPr>
      </w:pPr>
    </w:p>
    <w:p w14:paraId="3D65BC02" w14:textId="5A3B8938" w:rsidR="00F97209" w:rsidRDefault="002D0950" w:rsidP="003363E6">
      <w:pPr>
        <w:spacing w:line="276" w:lineRule="auto"/>
        <w:jc w:val="both"/>
        <w:rPr>
          <w:rFonts w:cs="Arial"/>
          <w:color w:val="auto"/>
          <w:szCs w:val="22"/>
        </w:rPr>
      </w:pPr>
      <w:r w:rsidRPr="00EF6B9A">
        <w:t xml:space="preserve">We found that it is </w:t>
      </w:r>
      <w:bookmarkStart w:id="0" w:name="_Hlk534986658"/>
      <w:r w:rsidRPr="00EF6B9A">
        <w:t xml:space="preserve">labour shortages </w:t>
      </w:r>
      <w:bookmarkEnd w:id="0"/>
      <w:r w:rsidRPr="00EF6B9A">
        <w:t xml:space="preserve">in particular that appears to be </w:t>
      </w:r>
      <w:bookmarkStart w:id="1" w:name="_Hlk534986684"/>
      <w:r w:rsidRPr="00EF6B9A">
        <w:t xml:space="preserve">driving up construction costs </w:t>
      </w:r>
      <w:bookmarkEnd w:id="1"/>
      <w:r w:rsidRPr="00EF6B9A">
        <w:t>and with minimum and average wages looking likely to rise at similar rates to last year in the CEE-6 in 2019, the heat is not abating</w:t>
      </w:r>
      <w:r w:rsidRPr="00043B16">
        <w:t xml:space="preserve">. Romania and Hungary look to us to have the most profound labour supply and pricing issues, whilst </w:t>
      </w:r>
      <w:bookmarkStart w:id="2" w:name="_Hlk534986754"/>
      <w:r w:rsidRPr="00043B16">
        <w:t>demand growth momentum looks softer in Slovakia and might unfold in the Czech Republic</w:t>
      </w:r>
      <w:bookmarkEnd w:id="2"/>
      <w:r w:rsidRPr="00043B16">
        <w:t xml:space="preserve">. </w:t>
      </w:r>
      <w:bookmarkStart w:id="3" w:name="_Hlk534986781"/>
      <w:r w:rsidRPr="00043B16">
        <w:t>Bulgaria appears to have the least supply-side worries presently</w:t>
      </w:r>
      <w:bookmarkEnd w:id="3"/>
      <w:r w:rsidRPr="00043B16">
        <w:t>, whilst Poland’s larger and more liquid construction market may help it weather any incipient downturn</w:t>
      </w:r>
      <w:r w:rsidR="00F97209" w:rsidRPr="002F19FF">
        <w:rPr>
          <w:rFonts w:cs="Arial"/>
          <w:color w:val="auto"/>
          <w:szCs w:val="22"/>
        </w:rPr>
        <w:t>.</w:t>
      </w:r>
    </w:p>
    <w:p w14:paraId="390C0847" w14:textId="1DA66AF4" w:rsidR="00551E1F" w:rsidRDefault="00551E1F" w:rsidP="003363E6">
      <w:pPr>
        <w:spacing w:line="276" w:lineRule="auto"/>
        <w:jc w:val="both"/>
      </w:pPr>
    </w:p>
    <w:p w14:paraId="1021DA89" w14:textId="045ABAF2" w:rsidR="00551E1F" w:rsidRPr="00551E1F" w:rsidRDefault="00551E1F" w:rsidP="00551E1F">
      <w:pPr>
        <w:spacing w:line="276" w:lineRule="auto"/>
        <w:jc w:val="both"/>
        <w:rPr>
          <w:lang w:val="en-US"/>
        </w:rPr>
      </w:pPr>
      <w:bookmarkStart w:id="4" w:name="_Hlk536103245"/>
      <w:r w:rsidRPr="00723620">
        <w:rPr>
          <w:i/>
          <w:iCs/>
          <w:lang w:val="en-US"/>
        </w:rPr>
        <w:t>“</w:t>
      </w:r>
      <w:r w:rsidRPr="00723620">
        <w:rPr>
          <w:lang w:val="en-US"/>
        </w:rPr>
        <w:t xml:space="preserve">In contrast to 2008 </w:t>
      </w:r>
      <w:r w:rsidR="00B03ED8" w:rsidRPr="00723620">
        <w:rPr>
          <w:lang w:val="en-US"/>
        </w:rPr>
        <w:t>(</w:t>
      </w:r>
      <w:r w:rsidRPr="00723620">
        <w:rPr>
          <w:lang w:val="en-US"/>
        </w:rPr>
        <w:t>where despite a fall in commercial real estate investment levels the economy</w:t>
      </w:r>
      <w:r w:rsidR="00043ED9" w:rsidRPr="00723620">
        <w:rPr>
          <w:lang w:val="en-US"/>
        </w:rPr>
        <w:t>/</w:t>
      </w:r>
      <w:r w:rsidRPr="00723620">
        <w:rPr>
          <w:lang w:val="en-US"/>
        </w:rPr>
        <w:t>employment statistics was buoyed up with EU infrastructure investment and  BPO/SSC investment</w:t>
      </w:r>
      <w:r w:rsidR="00B03ED8" w:rsidRPr="00723620">
        <w:rPr>
          <w:lang w:val="en-US"/>
        </w:rPr>
        <w:t>)</w:t>
      </w:r>
      <w:r w:rsidRPr="00723620">
        <w:rPr>
          <w:lang w:val="en-US"/>
        </w:rPr>
        <w:t>, following Brexit and the EUs reduction and reallocation of structural funds, Poland may see reduced infrastructure spending</w:t>
      </w:r>
      <w:r w:rsidR="00B03ED8" w:rsidRPr="00723620">
        <w:rPr>
          <w:lang w:val="en-US"/>
        </w:rPr>
        <w:t>, economic stagnation</w:t>
      </w:r>
      <w:r w:rsidRPr="00723620">
        <w:rPr>
          <w:lang w:val="en-US"/>
        </w:rPr>
        <w:t xml:space="preserve"> and a resulting overcapacity</w:t>
      </w:r>
      <w:r w:rsidR="00B03ED8" w:rsidRPr="00723620">
        <w:rPr>
          <w:lang w:val="en-US"/>
        </w:rPr>
        <w:t xml:space="preserve"> in the construction sector</w:t>
      </w:r>
      <w:r w:rsidRPr="00723620">
        <w:rPr>
          <w:lang w:val="en-US"/>
        </w:rPr>
        <w:t xml:space="preserve">. This would be further compounded as Polish and </w:t>
      </w:r>
      <w:r w:rsidR="0090666A" w:rsidRPr="00723620">
        <w:rPr>
          <w:lang w:val="en-US"/>
        </w:rPr>
        <w:t>Ukrainian</w:t>
      </w:r>
      <w:r w:rsidRPr="00723620">
        <w:rPr>
          <w:lang w:val="en-US"/>
        </w:rPr>
        <w:t xml:space="preserve"> workers return from Western European markets,” comments </w:t>
      </w:r>
      <w:r w:rsidRPr="00723620">
        <w:rPr>
          <w:b/>
          <w:lang w:val="en-US"/>
        </w:rPr>
        <w:t>Jonathan Cohen</w:t>
      </w:r>
      <w:r w:rsidRPr="00723620">
        <w:rPr>
          <w:lang w:val="en-US"/>
        </w:rPr>
        <w:t>, Senior Partner, Director of Building Consultancy Services in Poland.</w:t>
      </w:r>
      <w:r>
        <w:rPr>
          <w:lang w:val="en-US"/>
        </w:rPr>
        <w:t xml:space="preserve"> </w:t>
      </w:r>
    </w:p>
    <w:bookmarkEnd w:id="4"/>
    <w:p w14:paraId="02EA5D37" w14:textId="77777777" w:rsidR="00F759EB" w:rsidRDefault="00F759EB" w:rsidP="003363E6">
      <w:pPr>
        <w:autoSpaceDE w:val="0"/>
        <w:autoSpaceDN w:val="0"/>
        <w:adjustRightInd w:val="0"/>
        <w:spacing w:line="276" w:lineRule="auto"/>
        <w:jc w:val="both"/>
        <w:rPr>
          <w:rFonts w:eastAsia="SkanskaSansPro-Regular" w:cs="Arial"/>
          <w:color w:val="auto"/>
          <w:szCs w:val="22"/>
        </w:rPr>
      </w:pPr>
    </w:p>
    <w:p w14:paraId="353F14D0" w14:textId="77777777" w:rsidR="002D0950" w:rsidRPr="002D0950" w:rsidRDefault="002D0950" w:rsidP="003363E6">
      <w:pPr>
        <w:autoSpaceDE w:val="0"/>
        <w:autoSpaceDN w:val="0"/>
        <w:adjustRightInd w:val="0"/>
        <w:spacing w:line="276" w:lineRule="auto"/>
        <w:jc w:val="both"/>
        <w:rPr>
          <w:rFonts w:eastAsia="SkanskaSansPro-Regular" w:cs="Arial"/>
          <w:b/>
          <w:color w:val="auto"/>
          <w:szCs w:val="22"/>
        </w:rPr>
      </w:pPr>
      <w:r w:rsidRPr="002D0950">
        <w:rPr>
          <w:rFonts w:eastAsia="SkanskaSansPro-Regular" w:cs="Arial"/>
          <w:b/>
          <w:color w:val="auto"/>
          <w:szCs w:val="22"/>
        </w:rPr>
        <w:t>Demand to return to Earth</w:t>
      </w:r>
    </w:p>
    <w:p w14:paraId="7406BB34" w14:textId="46CEC15C" w:rsidR="002F19FF" w:rsidRDefault="002D0950" w:rsidP="003363E6">
      <w:pPr>
        <w:autoSpaceDE w:val="0"/>
        <w:autoSpaceDN w:val="0"/>
        <w:adjustRightInd w:val="0"/>
        <w:spacing w:line="276" w:lineRule="auto"/>
        <w:jc w:val="both"/>
        <w:rPr>
          <w:rFonts w:eastAsia="SkanskaSansPro-Regular" w:cs="Arial"/>
          <w:color w:val="auto"/>
          <w:szCs w:val="22"/>
        </w:rPr>
      </w:pPr>
      <w:r w:rsidRPr="002D0950">
        <w:rPr>
          <w:rFonts w:eastAsia="SkanskaSansPro-Regular" w:cs="Arial"/>
          <w:color w:val="auto"/>
          <w:szCs w:val="22"/>
        </w:rPr>
        <w:t xml:space="preserve">We asked our CEE Valuations experts their opinion on what factors matter to commercial real estate developers right now. Demand from clients came out on top everywhere except in Poland. Why? One explanation may be the persistent and steady supply of new development build in the Polish cities we have already referred to. We perceive that developers, in the more liquid office marketplace, may be more confident of building “on spec”. Even in the industrial sector, the sqm </w:t>
      </w:r>
      <w:r w:rsidRPr="002D0950">
        <w:rPr>
          <w:rFonts w:eastAsia="SkanskaSansPro-Regular" w:cs="Arial"/>
          <w:color w:val="auto"/>
          <w:szCs w:val="22"/>
        </w:rPr>
        <w:lastRenderedPageBreak/>
        <w:t>under active construction as a proportion of industrial stock in Warsaw (6%) and across the 8 Polish regional cities (average of 13%) exceeds that of Prague and Budapest (both 5%) presently. Liquidity may be engendering confidence; or complacency if a downturn strikes. The most important factors for real estate developers in Poland are currently labour, materials and commodities costs.</w:t>
      </w:r>
      <w:r w:rsidR="00411B2B">
        <w:rPr>
          <w:rFonts w:eastAsia="SkanskaSansPro-Regular" w:cs="Arial"/>
          <w:color w:val="auto"/>
          <w:szCs w:val="22"/>
        </w:rPr>
        <w:t xml:space="preserve">  </w:t>
      </w:r>
    </w:p>
    <w:p w14:paraId="4148AAE3" w14:textId="77777777" w:rsidR="00BF7385" w:rsidRPr="002F19FF" w:rsidRDefault="00BF7385" w:rsidP="003363E6">
      <w:pPr>
        <w:autoSpaceDE w:val="0"/>
        <w:autoSpaceDN w:val="0"/>
        <w:adjustRightInd w:val="0"/>
        <w:spacing w:line="276" w:lineRule="auto"/>
        <w:jc w:val="both"/>
        <w:rPr>
          <w:rFonts w:eastAsia="SkanskaSansPro-Regular" w:cs="Arial"/>
          <w:color w:val="auto"/>
          <w:szCs w:val="22"/>
        </w:rPr>
      </w:pPr>
    </w:p>
    <w:p w14:paraId="2AD9C215" w14:textId="77777777" w:rsidR="00480BB4" w:rsidRPr="002F19FF" w:rsidRDefault="00480BB4" w:rsidP="003363E6">
      <w:pPr>
        <w:autoSpaceDE w:val="0"/>
        <w:autoSpaceDN w:val="0"/>
        <w:adjustRightInd w:val="0"/>
        <w:spacing w:line="276" w:lineRule="auto"/>
        <w:jc w:val="both"/>
        <w:rPr>
          <w:rFonts w:cs="Arial"/>
          <w:color w:val="auto"/>
          <w:szCs w:val="22"/>
        </w:rPr>
      </w:pPr>
    </w:p>
    <w:p w14:paraId="48665E48" w14:textId="77777777" w:rsidR="002D0950" w:rsidRPr="006479F5" w:rsidRDefault="002D0950" w:rsidP="003363E6">
      <w:pPr>
        <w:autoSpaceDE w:val="0"/>
        <w:autoSpaceDN w:val="0"/>
        <w:adjustRightInd w:val="0"/>
        <w:spacing w:line="276" w:lineRule="auto"/>
        <w:jc w:val="both"/>
        <w:rPr>
          <w:rFonts w:cs="Arial"/>
          <w:b/>
          <w:color w:val="auto"/>
          <w:szCs w:val="22"/>
        </w:rPr>
      </w:pPr>
      <w:r w:rsidRPr="006479F5">
        <w:rPr>
          <w:rFonts w:cs="Arial"/>
          <w:b/>
          <w:color w:val="auto"/>
          <w:szCs w:val="22"/>
        </w:rPr>
        <w:t>Low labour supply melts the wings</w:t>
      </w:r>
    </w:p>
    <w:p w14:paraId="1A3BD10B" w14:textId="77777777" w:rsidR="002D0950" w:rsidRPr="002D0950" w:rsidRDefault="002D0950" w:rsidP="003363E6">
      <w:pPr>
        <w:autoSpaceDE w:val="0"/>
        <w:autoSpaceDN w:val="0"/>
        <w:adjustRightInd w:val="0"/>
        <w:spacing w:line="276" w:lineRule="auto"/>
        <w:jc w:val="both"/>
        <w:rPr>
          <w:rFonts w:cs="Arial"/>
          <w:color w:val="auto"/>
          <w:szCs w:val="22"/>
        </w:rPr>
      </w:pPr>
      <w:r w:rsidRPr="002D0950">
        <w:rPr>
          <w:rFonts w:cs="Arial"/>
          <w:color w:val="auto"/>
          <w:szCs w:val="22"/>
        </w:rPr>
        <w:t xml:space="preserve">The end 2018 wage growth and labour shortage situation dwarfs that of 2006-07, both in CEE and in the EU as a whole. When wages have risen by a quarter or by up to half in less than 3 years, profitability comes under pressure. Development costs for typical office projects in the capital city CBDs rose c. 5%-17% over the last 12 months. It looks like 2019 is another year of wage hikes in the CEE-6, with our estimates of national wage rises in the 5%-10% year-on-year, cross-sector minimum wages increasing 7%-10% and outliers like Romania’s just-announced stunning 58% year-on-year minimum wage hike for construction workers. So, development costs may well go higher, in the face of slowly melting demand. </w:t>
      </w:r>
    </w:p>
    <w:p w14:paraId="03CF4128" w14:textId="77777777" w:rsidR="002D0950" w:rsidRPr="002D0950" w:rsidRDefault="002D0950" w:rsidP="003363E6">
      <w:pPr>
        <w:autoSpaceDE w:val="0"/>
        <w:autoSpaceDN w:val="0"/>
        <w:adjustRightInd w:val="0"/>
        <w:spacing w:line="276" w:lineRule="auto"/>
        <w:jc w:val="both"/>
        <w:rPr>
          <w:rFonts w:cs="Arial"/>
          <w:color w:val="auto"/>
          <w:szCs w:val="22"/>
        </w:rPr>
      </w:pPr>
    </w:p>
    <w:p w14:paraId="41034AD0" w14:textId="77777777" w:rsidR="002D0950" w:rsidRPr="006479F5" w:rsidRDefault="002D0950" w:rsidP="003363E6">
      <w:pPr>
        <w:autoSpaceDE w:val="0"/>
        <w:autoSpaceDN w:val="0"/>
        <w:adjustRightInd w:val="0"/>
        <w:spacing w:line="276" w:lineRule="auto"/>
        <w:jc w:val="both"/>
        <w:rPr>
          <w:rFonts w:cs="Arial"/>
          <w:b/>
          <w:color w:val="auto"/>
          <w:szCs w:val="22"/>
        </w:rPr>
      </w:pPr>
      <w:r w:rsidRPr="006479F5">
        <w:rPr>
          <w:rFonts w:cs="Arial"/>
          <w:b/>
          <w:color w:val="auto"/>
          <w:szCs w:val="22"/>
        </w:rPr>
        <w:t>The Achilles Heel. Will the falls continue?</w:t>
      </w:r>
    </w:p>
    <w:p w14:paraId="3659D8A4" w14:textId="77777777" w:rsidR="002D0950" w:rsidRPr="002D0950" w:rsidRDefault="002D0950" w:rsidP="003363E6">
      <w:pPr>
        <w:autoSpaceDE w:val="0"/>
        <w:autoSpaceDN w:val="0"/>
        <w:adjustRightInd w:val="0"/>
        <w:spacing w:line="276" w:lineRule="auto"/>
        <w:jc w:val="both"/>
        <w:rPr>
          <w:rFonts w:cs="Arial"/>
          <w:color w:val="auto"/>
          <w:szCs w:val="22"/>
        </w:rPr>
      </w:pPr>
      <w:r w:rsidRPr="002D0950">
        <w:rPr>
          <w:rFonts w:cs="Arial"/>
          <w:color w:val="auto"/>
          <w:szCs w:val="22"/>
        </w:rPr>
        <w:t xml:space="preserve">Economic sentiment in the CEE-6, even with the fall since February, remains at historically elevated levels, so not predicting a recession as yet. The deteriorations in sentiment are mostly export-led and correlated to the economic/export slowdown in the Eurozone. Ahead for CEE-6 and Europe in 2019 are Brexit and potential trade issues with the US. Brexit itself may also lead to lower investment in the CEE-6 via the EU’s Structural Funds programme from 2020 onwards, affecting civil engineering construction. </w:t>
      </w:r>
    </w:p>
    <w:p w14:paraId="2FD8E591" w14:textId="77777777" w:rsidR="002D0950" w:rsidRPr="002D0950" w:rsidRDefault="002D0950" w:rsidP="003363E6">
      <w:pPr>
        <w:autoSpaceDE w:val="0"/>
        <w:autoSpaceDN w:val="0"/>
        <w:adjustRightInd w:val="0"/>
        <w:spacing w:line="276" w:lineRule="auto"/>
        <w:jc w:val="both"/>
        <w:rPr>
          <w:rFonts w:cs="Arial"/>
          <w:color w:val="auto"/>
          <w:szCs w:val="22"/>
        </w:rPr>
      </w:pPr>
    </w:p>
    <w:p w14:paraId="2EEBCB49" w14:textId="77777777" w:rsidR="002D0950" w:rsidRPr="006479F5" w:rsidRDefault="002D0950" w:rsidP="003363E6">
      <w:pPr>
        <w:autoSpaceDE w:val="0"/>
        <w:autoSpaceDN w:val="0"/>
        <w:adjustRightInd w:val="0"/>
        <w:spacing w:line="276" w:lineRule="auto"/>
        <w:jc w:val="both"/>
        <w:rPr>
          <w:rFonts w:cs="Arial"/>
          <w:b/>
          <w:color w:val="auto"/>
          <w:szCs w:val="22"/>
        </w:rPr>
      </w:pPr>
      <w:r w:rsidRPr="006479F5">
        <w:rPr>
          <w:rFonts w:cs="Arial"/>
          <w:b/>
          <w:color w:val="auto"/>
          <w:szCs w:val="22"/>
        </w:rPr>
        <w:t>Soaring too high - construction prices have jumped</w:t>
      </w:r>
    </w:p>
    <w:p w14:paraId="26E280AB" w14:textId="77777777" w:rsidR="002D0950" w:rsidRPr="002D0950" w:rsidRDefault="002D0950" w:rsidP="003363E6">
      <w:pPr>
        <w:autoSpaceDE w:val="0"/>
        <w:autoSpaceDN w:val="0"/>
        <w:adjustRightInd w:val="0"/>
        <w:spacing w:line="276" w:lineRule="auto"/>
        <w:jc w:val="both"/>
        <w:rPr>
          <w:rFonts w:cs="Arial"/>
          <w:color w:val="auto"/>
          <w:szCs w:val="22"/>
        </w:rPr>
      </w:pPr>
      <w:r w:rsidRPr="002D0950">
        <w:rPr>
          <w:rFonts w:cs="Arial"/>
          <w:color w:val="auto"/>
          <w:szCs w:val="22"/>
        </w:rPr>
        <w:t>Construction prices for commercial real estate in the CEE-6 have jumped. The change in GLA development costs for a typical 1</w:t>
      </w:r>
      <w:bookmarkStart w:id="5" w:name="_GoBack"/>
      <w:bookmarkEnd w:id="5"/>
      <w:r w:rsidRPr="002D0950">
        <w:rPr>
          <w:rFonts w:cs="Arial"/>
          <w:color w:val="auto"/>
          <w:szCs w:val="22"/>
        </w:rPr>
        <w:t xml:space="preserve">5,000 sqm office space located in the capital city’s CBD is, </w:t>
      </w:r>
    </w:p>
    <w:p w14:paraId="5A6EEF18" w14:textId="2CB05D5A" w:rsidR="002D0950" w:rsidRPr="00723620" w:rsidRDefault="002D0950" w:rsidP="0090666A">
      <w:pPr>
        <w:autoSpaceDE w:val="0"/>
        <w:autoSpaceDN w:val="0"/>
        <w:spacing w:line="276" w:lineRule="auto"/>
        <w:jc w:val="both"/>
        <w:rPr>
          <w:lang w:val="en-US"/>
        </w:rPr>
      </w:pPr>
      <w:r w:rsidRPr="002D0950">
        <w:rPr>
          <w:rFonts w:cs="Arial"/>
          <w:color w:val="auto"/>
          <w:szCs w:val="22"/>
        </w:rPr>
        <w:t xml:space="preserve">according to our Valuations experts, ranged between c. 5% and c. 17% over the past year in the CEE-6 region. Locations in Budapest (10%-15% up) and Bucharest (11%-17% higher) have seen the more significant pricing pressures through 2018. </w:t>
      </w:r>
      <w:r w:rsidR="0090666A" w:rsidRPr="00723620">
        <w:rPr>
          <w:lang w:val="en-US"/>
        </w:rPr>
        <w:t xml:space="preserve">In Poland, Colliers continued to observe double digit cost increases in commercial construction costs resulting from both </w:t>
      </w:r>
      <w:proofErr w:type="spellStart"/>
      <w:r w:rsidR="0090666A" w:rsidRPr="00723620">
        <w:rPr>
          <w:lang w:val="en-US"/>
        </w:rPr>
        <w:t>labour</w:t>
      </w:r>
      <w:proofErr w:type="spellEnd"/>
      <w:r w:rsidR="0090666A" w:rsidRPr="00723620">
        <w:rPr>
          <w:lang w:val="en-US"/>
        </w:rPr>
        <w:t xml:space="preserve"> and material shortages. Interestingly, official GUS statistics over the same period present lower cost escalation through the year, possibly correcting for earlier anomalies.</w:t>
      </w:r>
    </w:p>
    <w:p w14:paraId="04FA03BD" w14:textId="066E2C6D" w:rsidR="0090666A" w:rsidRDefault="0090666A" w:rsidP="0090666A">
      <w:pPr>
        <w:autoSpaceDE w:val="0"/>
        <w:autoSpaceDN w:val="0"/>
        <w:spacing w:line="276" w:lineRule="auto"/>
        <w:jc w:val="both"/>
        <w:rPr>
          <w:rFonts w:cs="Arial"/>
          <w:color w:val="auto"/>
          <w:lang w:val="en-US"/>
        </w:rPr>
      </w:pPr>
    </w:p>
    <w:p w14:paraId="1C2972E1" w14:textId="77777777" w:rsidR="002D0950" w:rsidRPr="002D0950" w:rsidRDefault="002D0950" w:rsidP="003363E6">
      <w:pPr>
        <w:autoSpaceDE w:val="0"/>
        <w:autoSpaceDN w:val="0"/>
        <w:adjustRightInd w:val="0"/>
        <w:spacing w:line="276" w:lineRule="auto"/>
        <w:jc w:val="both"/>
        <w:rPr>
          <w:rFonts w:cs="Arial"/>
          <w:b/>
          <w:color w:val="auto"/>
          <w:szCs w:val="22"/>
        </w:rPr>
      </w:pPr>
      <w:r w:rsidRPr="002D0950">
        <w:rPr>
          <w:rFonts w:cs="Arial"/>
          <w:b/>
          <w:color w:val="auto"/>
          <w:szCs w:val="22"/>
        </w:rPr>
        <w:t>Supply side factors defying gravity</w:t>
      </w:r>
    </w:p>
    <w:p w14:paraId="7D28E000" w14:textId="413993DA" w:rsidR="002D0950" w:rsidRPr="002D0950" w:rsidRDefault="002D0950" w:rsidP="003363E6">
      <w:pPr>
        <w:autoSpaceDE w:val="0"/>
        <w:autoSpaceDN w:val="0"/>
        <w:adjustRightInd w:val="0"/>
        <w:spacing w:line="276" w:lineRule="auto"/>
        <w:jc w:val="both"/>
        <w:rPr>
          <w:rFonts w:cs="Arial"/>
          <w:color w:val="auto"/>
          <w:szCs w:val="22"/>
        </w:rPr>
      </w:pPr>
      <w:r w:rsidRPr="002D0950">
        <w:rPr>
          <w:rFonts w:cs="Arial"/>
          <w:color w:val="auto"/>
          <w:szCs w:val="22"/>
        </w:rPr>
        <w:t xml:space="preserve">Labour shortage is now the most important single constraint across the region. Financial constraints, which encompasses project risk, currency risk, debt interest costs and wage/margin pressures remains the second-most important constraint but with only moderate cyclical variation in recent years. </w:t>
      </w:r>
    </w:p>
    <w:p w14:paraId="24265E08" w14:textId="77777777" w:rsidR="002D0950" w:rsidRPr="002D0950" w:rsidRDefault="002D0950" w:rsidP="002D0950">
      <w:pPr>
        <w:autoSpaceDE w:val="0"/>
        <w:autoSpaceDN w:val="0"/>
        <w:adjustRightInd w:val="0"/>
        <w:jc w:val="both"/>
        <w:rPr>
          <w:rFonts w:cs="Arial"/>
          <w:color w:val="auto"/>
          <w:szCs w:val="22"/>
        </w:rPr>
      </w:pPr>
    </w:p>
    <w:p w14:paraId="6EF22076" w14:textId="77777777" w:rsidR="002D0950" w:rsidRPr="002D0950" w:rsidRDefault="002D0950" w:rsidP="003363E6">
      <w:pPr>
        <w:autoSpaceDE w:val="0"/>
        <w:autoSpaceDN w:val="0"/>
        <w:adjustRightInd w:val="0"/>
        <w:spacing w:line="276" w:lineRule="auto"/>
        <w:jc w:val="both"/>
        <w:rPr>
          <w:rFonts w:cs="Arial"/>
          <w:b/>
          <w:color w:val="auto"/>
          <w:szCs w:val="22"/>
        </w:rPr>
      </w:pPr>
      <w:r w:rsidRPr="002D0950">
        <w:rPr>
          <w:rFonts w:cs="Arial"/>
          <w:b/>
          <w:color w:val="auto"/>
          <w:szCs w:val="22"/>
        </w:rPr>
        <w:t>Labour force hubris - pay hikes sustaining into 2019</w:t>
      </w:r>
    </w:p>
    <w:p w14:paraId="74D99AD6" w14:textId="49319F6C" w:rsidR="00AE7D7C" w:rsidRPr="006479F5" w:rsidRDefault="002D0950" w:rsidP="003363E6">
      <w:pPr>
        <w:autoSpaceDE w:val="0"/>
        <w:autoSpaceDN w:val="0"/>
        <w:adjustRightInd w:val="0"/>
        <w:spacing w:line="276" w:lineRule="auto"/>
        <w:jc w:val="both"/>
        <w:rPr>
          <w:rFonts w:cs="Arial"/>
          <w:color w:val="auto"/>
          <w:szCs w:val="22"/>
        </w:rPr>
      </w:pPr>
      <w:r w:rsidRPr="002D0950">
        <w:rPr>
          <w:rFonts w:cs="Arial"/>
          <w:color w:val="auto"/>
          <w:szCs w:val="22"/>
        </w:rPr>
        <w:t xml:space="preserve">Even given the economic slowdown unfolding across Europe and potentially in the CEE-6, wage pressures look likely to sustain into 2019 in the region. National minimum wage recommendations being enshrined into law now are for hikes of between 7%-10% this year. These levels are an </w:t>
      </w:r>
      <w:r w:rsidRPr="002D0950">
        <w:rPr>
          <w:rFonts w:cs="Arial"/>
          <w:color w:val="auto"/>
          <w:szCs w:val="22"/>
        </w:rPr>
        <w:lastRenderedPageBreak/>
        <w:t>anchor for the expectations of the most unskilled workers on a construction site. Wages in the construction sector across the region have leapt since 2015, according to Eurostat data. Excluding the tax code-influenced near-doubling of gross wages in Romania, it is Hungary (149 level versus 100 in 2015), Poland (129) and Slovakia (126) which have seen the big jumps</w:t>
      </w:r>
      <w:r w:rsidR="00620549" w:rsidRPr="002F19FF">
        <w:rPr>
          <w:rFonts w:cs="Arial"/>
          <w:color w:val="auto"/>
          <w:szCs w:val="22"/>
        </w:rPr>
        <w:t>.</w:t>
      </w:r>
      <w:r w:rsidR="00A406AD" w:rsidRPr="002F19FF">
        <w:rPr>
          <w:rFonts w:eastAsia="SkanskaSansPro-Regular" w:cs="Arial"/>
          <w:color w:val="auto"/>
          <w:szCs w:val="22"/>
        </w:rPr>
        <w:t xml:space="preserve"> </w:t>
      </w:r>
    </w:p>
    <w:p w14:paraId="5B15ECDE" w14:textId="77777777" w:rsidR="00847325" w:rsidRDefault="00847325" w:rsidP="00CF0F03">
      <w:pPr>
        <w:spacing w:line="276" w:lineRule="auto"/>
        <w:jc w:val="both"/>
      </w:pPr>
    </w:p>
    <w:p w14:paraId="732CD47E" w14:textId="77777777" w:rsidR="003714FB" w:rsidRDefault="003714FB" w:rsidP="00CF0F03">
      <w:pPr>
        <w:spacing w:line="276" w:lineRule="auto"/>
        <w:jc w:val="both"/>
      </w:pPr>
    </w:p>
    <w:p w14:paraId="19E0C96E" w14:textId="77777777" w:rsidR="00782B25" w:rsidRPr="00161CA4" w:rsidRDefault="000879ED" w:rsidP="00A20634">
      <w:pPr>
        <w:spacing w:after="160" w:line="259" w:lineRule="auto"/>
        <w:jc w:val="center"/>
        <w:rPr>
          <w:rFonts w:cs="Arial"/>
          <w:sz w:val="20"/>
        </w:rPr>
      </w:pPr>
      <w:r w:rsidRPr="00161CA4">
        <w:rPr>
          <w:rFonts w:cs="Arial"/>
          <w:sz w:val="20"/>
        </w:rPr>
        <w:t>-- End –</w:t>
      </w:r>
    </w:p>
    <w:p w14:paraId="5F9C4AEA" w14:textId="77777777" w:rsidR="007A42AD" w:rsidRPr="00193DD7" w:rsidRDefault="007A42AD" w:rsidP="00782B25">
      <w:pPr>
        <w:spacing w:before="100" w:beforeAutospacing="1" w:after="100" w:afterAutospacing="1"/>
        <w:jc w:val="both"/>
        <w:rPr>
          <w:rFonts w:cs="Arial"/>
          <w:b/>
          <w:color w:val="auto"/>
          <w:sz w:val="20"/>
          <w:lang w:val="en-US"/>
        </w:rPr>
      </w:pPr>
      <w:r w:rsidRPr="00193DD7">
        <w:rPr>
          <w:rFonts w:cs="Arial"/>
          <w:b/>
          <w:color w:val="auto"/>
          <w:sz w:val="20"/>
          <w:lang w:val="en-US"/>
        </w:rPr>
        <w:t xml:space="preserve">About Colliers International Group </w:t>
      </w:r>
    </w:p>
    <w:bookmarkStart w:id="6" w:name="_Hlk518899527"/>
    <w:p w14:paraId="09F2D791" w14:textId="77777777" w:rsidR="00193DD7" w:rsidRDefault="00193DD7" w:rsidP="00193DD7">
      <w:pPr>
        <w:jc w:val="both"/>
        <w:rPr>
          <w:sz w:val="18"/>
          <w:szCs w:val="18"/>
          <w:lang w:val="en-US"/>
        </w:rPr>
      </w:pPr>
      <w:r>
        <w:rPr>
          <w:rFonts w:eastAsia="Arial Unicode MS" w:cs="Arial"/>
          <w:color w:val="0000FF"/>
          <w:sz w:val="18"/>
          <w:szCs w:val="18"/>
          <w:u w:val="single"/>
        </w:rPr>
        <w:fldChar w:fldCharType="begin"/>
      </w:r>
      <w:r>
        <w:rPr>
          <w:rFonts w:eastAsia="Arial Unicode MS" w:cs="Arial"/>
          <w:color w:val="0000FF"/>
          <w:sz w:val="18"/>
          <w:szCs w:val="18"/>
          <w:u w:val="single"/>
        </w:rPr>
        <w:instrText xml:space="preserve"> HYPERLINK "https://www2.colliers.com/" </w:instrText>
      </w:r>
      <w:r>
        <w:rPr>
          <w:rFonts w:eastAsia="Arial Unicode MS" w:cs="Arial"/>
          <w:color w:val="0000FF"/>
          <w:sz w:val="18"/>
          <w:szCs w:val="18"/>
          <w:u w:val="single"/>
        </w:rPr>
        <w:fldChar w:fldCharType="separate"/>
      </w:r>
      <w:r>
        <w:rPr>
          <w:rStyle w:val="Hyperlink"/>
          <w:rFonts w:eastAsia="Arial Unicode MS" w:cs="Arial"/>
          <w:sz w:val="18"/>
          <w:szCs w:val="18"/>
          <w:lang w:val="en-US"/>
        </w:rPr>
        <w:t>Colliers International</w:t>
      </w:r>
      <w:r>
        <w:rPr>
          <w:rFonts w:eastAsia="Arial Unicode MS" w:cs="Arial"/>
          <w:color w:val="0000FF"/>
          <w:sz w:val="18"/>
          <w:szCs w:val="18"/>
          <w:u w:val="single"/>
        </w:rPr>
        <w:fldChar w:fldCharType="end"/>
      </w:r>
      <w:r>
        <w:rPr>
          <w:sz w:val="18"/>
          <w:szCs w:val="18"/>
          <w:lang w:val="en-US"/>
        </w:rPr>
        <w:t xml:space="preserve"> Group Inc. (NASDAQ: CIGI) (TSX: CIGI) is top tier global real estate services and investment management company operating in 69 countries with a workforce of more than 13,000 professionals. Colliers is the fastest-growing publicly listed global real estate services and investment management company, with 2017 corporate revenues of $2.3 billion ($2.7 billion including affiliates). With an enterprising culture and significant employee ownership and control, Colliers professionals provide a full range of services to real estate occupiers, owners and investors worldwide, and through its investment management services platform, has more than $25 billion of assets under management from the world’s most respected institutional real estate investors. </w:t>
      </w:r>
    </w:p>
    <w:p w14:paraId="44448003" w14:textId="77777777" w:rsidR="00193DD7" w:rsidRDefault="00193DD7" w:rsidP="00193DD7">
      <w:pPr>
        <w:spacing w:after="120"/>
        <w:jc w:val="both"/>
        <w:rPr>
          <w:sz w:val="18"/>
          <w:szCs w:val="18"/>
          <w:lang w:val="en-US"/>
        </w:rPr>
      </w:pPr>
      <w:r>
        <w:rPr>
          <w:sz w:val="18"/>
          <w:szCs w:val="18"/>
          <w:lang w:val="en-US"/>
        </w:rPr>
        <w:t>Colliers professionals think differently, share great ideas and offer thoughtful and innovative advice to accelerate the success of its clients. Colliers has been ranked among the top 100 global outsourcing firms by the International Association of Outsourcing Professionals for 13 consecutive years, more than any other real estate services firm. Colliers is ranked the number one property manager in the world by Commercial Property Executive for two years in a row.</w:t>
      </w:r>
    </w:p>
    <w:p w14:paraId="12EFBE9F" w14:textId="77777777" w:rsidR="00193DD7" w:rsidRDefault="00193DD7" w:rsidP="00193DD7">
      <w:pPr>
        <w:spacing w:after="120"/>
        <w:jc w:val="both"/>
        <w:rPr>
          <w:sz w:val="18"/>
          <w:szCs w:val="18"/>
          <w:lang w:val="en-US"/>
        </w:rPr>
      </w:pPr>
      <w:r>
        <w:rPr>
          <w:sz w:val="18"/>
          <w:szCs w:val="18"/>
          <w:lang w:val="en-US"/>
        </w:rPr>
        <w:t>Colliers is led by an experienced leadership team with significant equity ownership and a proven record of delivering more than 20% annualized returns for shareholders, over more than 20 years.</w:t>
      </w:r>
    </w:p>
    <w:p w14:paraId="127090D6" w14:textId="77777777" w:rsidR="00193DD7" w:rsidRDefault="00723620" w:rsidP="00193DD7">
      <w:pPr>
        <w:jc w:val="both"/>
        <w:rPr>
          <w:sz w:val="18"/>
          <w:szCs w:val="18"/>
          <w:lang w:val="en-US"/>
        </w:rPr>
      </w:pPr>
      <w:hyperlink r:id="rId9" w:history="1">
        <w:r w:rsidR="00193DD7">
          <w:rPr>
            <w:rStyle w:val="Hyperlink"/>
            <w:sz w:val="18"/>
            <w:szCs w:val="18"/>
            <w:lang w:val="en-US"/>
          </w:rPr>
          <w:t>Colliers International</w:t>
        </w:r>
      </w:hyperlink>
      <w:r w:rsidR="00193DD7">
        <w:rPr>
          <w:sz w:val="18"/>
          <w:szCs w:val="18"/>
          <w:lang w:val="en-US"/>
        </w:rPr>
        <w:t xml:space="preserve"> has been active in the Polish market since 1997 and operates through offices in Warsaw, Kraków, </w:t>
      </w:r>
      <w:proofErr w:type="spellStart"/>
      <w:r w:rsidR="00193DD7">
        <w:rPr>
          <w:sz w:val="18"/>
          <w:szCs w:val="18"/>
          <w:lang w:val="en-US"/>
        </w:rPr>
        <w:t>Wrocław</w:t>
      </w:r>
      <w:proofErr w:type="spellEnd"/>
      <w:r w:rsidR="00193DD7">
        <w:rPr>
          <w:sz w:val="18"/>
          <w:szCs w:val="18"/>
          <w:lang w:val="en-US"/>
        </w:rPr>
        <w:t xml:space="preserve">, </w:t>
      </w:r>
      <w:proofErr w:type="spellStart"/>
      <w:r w:rsidR="00193DD7">
        <w:rPr>
          <w:sz w:val="18"/>
          <w:szCs w:val="18"/>
          <w:lang w:val="en-US"/>
        </w:rPr>
        <w:t>Poznań</w:t>
      </w:r>
      <w:proofErr w:type="spellEnd"/>
      <w:r w:rsidR="00193DD7">
        <w:rPr>
          <w:sz w:val="18"/>
          <w:szCs w:val="18"/>
          <w:lang w:val="en-US"/>
        </w:rPr>
        <w:t xml:space="preserve">, </w:t>
      </w:r>
      <w:proofErr w:type="spellStart"/>
      <w:r w:rsidR="00193DD7">
        <w:rPr>
          <w:sz w:val="18"/>
          <w:szCs w:val="18"/>
          <w:lang w:val="en-US"/>
        </w:rPr>
        <w:t>Gdańsk</w:t>
      </w:r>
      <w:proofErr w:type="spellEnd"/>
      <w:r w:rsidR="00193DD7">
        <w:rPr>
          <w:sz w:val="18"/>
          <w:szCs w:val="18"/>
          <w:lang w:val="en-US"/>
        </w:rPr>
        <w:t xml:space="preserve">, Katowice and </w:t>
      </w:r>
      <w:proofErr w:type="spellStart"/>
      <w:r w:rsidR="00193DD7">
        <w:rPr>
          <w:sz w:val="18"/>
          <w:szCs w:val="18"/>
          <w:lang w:val="en-US"/>
        </w:rPr>
        <w:t>Łódź</w:t>
      </w:r>
      <w:proofErr w:type="spellEnd"/>
      <w:r w:rsidR="00193DD7">
        <w:rPr>
          <w:sz w:val="18"/>
          <w:szCs w:val="18"/>
          <w:lang w:val="en-US"/>
        </w:rPr>
        <w:t xml:space="preserve"> with over 250 employees in total. The company has been often honored for its achievements by industry organizations such as Eurobuild, CIJ Journal, CEE Quality Awards and the International Property Awards. Colliers’ distinctions include the “Outsourcing Star”, given in recognition of its status as one of the most active real estate advisors in the outsourcing sector; and the “</w:t>
      </w:r>
      <w:proofErr w:type="spellStart"/>
      <w:r w:rsidR="00193DD7">
        <w:rPr>
          <w:sz w:val="18"/>
          <w:szCs w:val="18"/>
          <w:lang w:val="en-US"/>
        </w:rPr>
        <w:t>Gazele</w:t>
      </w:r>
      <w:proofErr w:type="spellEnd"/>
      <w:r w:rsidR="00193DD7">
        <w:rPr>
          <w:sz w:val="18"/>
          <w:szCs w:val="18"/>
          <w:lang w:val="en-US"/>
        </w:rPr>
        <w:t xml:space="preserve"> </w:t>
      </w:r>
      <w:proofErr w:type="spellStart"/>
      <w:r w:rsidR="00193DD7">
        <w:rPr>
          <w:sz w:val="18"/>
          <w:szCs w:val="18"/>
          <w:lang w:val="en-US"/>
        </w:rPr>
        <w:t>Biznesu</w:t>
      </w:r>
      <w:proofErr w:type="spellEnd"/>
      <w:r w:rsidR="00193DD7">
        <w:rPr>
          <w:sz w:val="18"/>
          <w:szCs w:val="18"/>
          <w:lang w:val="en-US"/>
        </w:rPr>
        <w:t xml:space="preserve">” for being one of the most dynamically developing companies in Poland. More about us on </w:t>
      </w:r>
      <w:hyperlink r:id="rId10" w:history="1">
        <w:r w:rsidR="00193DD7">
          <w:rPr>
            <w:rStyle w:val="Hyperlink"/>
            <w:sz w:val="18"/>
            <w:szCs w:val="18"/>
            <w:lang w:val="en-US"/>
          </w:rPr>
          <w:t>www.colliers.pl</w:t>
        </w:r>
      </w:hyperlink>
      <w:r w:rsidR="00193DD7">
        <w:rPr>
          <w:sz w:val="18"/>
          <w:szCs w:val="18"/>
          <w:lang w:val="en-US"/>
        </w:rPr>
        <w:t xml:space="preserve">.  </w:t>
      </w:r>
    </w:p>
    <w:p w14:paraId="037128A1" w14:textId="77777777" w:rsidR="00782B25" w:rsidRPr="00AB20D1" w:rsidRDefault="00782B25" w:rsidP="00782B25">
      <w:pPr>
        <w:rPr>
          <w:sz w:val="18"/>
          <w:szCs w:val="18"/>
          <w:lang w:val="en-US"/>
        </w:rPr>
      </w:pPr>
    </w:p>
    <w:p w14:paraId="27305586" w14:textId="77777777" w:rsidR="00782B25" w:rsidRPr="00AB20D1" w:rsidRDefault="00782B25" w:rsidP="00782B25">
      <w:pPr>
        <w:rPr>
          <w:sz w:val="18"/>
          <w:szCs w:val="18"/>
          <w:lang w:val="en-US"/>
        </w:rPr>
      </w:pPr>
      <w:r w:rsidRPr="00AB20D1">
        <w:rPr>
          <w:sz w:val="18"/>
          <w:szCs w:val="18"/>
          <w:lang w:val="en-US"/>
        </w:rPr>
        <w:t xml:space="preserve">Follow Colliers on: </w:t>
      </w:r>
    </w:p>
    <w:p w14:paraId="044DAF87" w14:textId="77777777" w:rsidR="00782B25" w:rsidRPr="00AB20D1" w:rsidRDefault="00844512" w:rsidP="00782B25">
      <w:pPr>
        <w:rPr>
          <w:rFonts w:ascii="Calibri" w:hAnsi="Calibri"/>
          <w:noProof/>
          <w:sz w:val="18"/>
          <w:szCs w:val="18"/>
          <w:lang w:val="en-GB" w:eastAsia="pl-PL"/>
        </w:rPr>
      </w:pPr>
      <w:r>
        <w:rPr>
          <w:rFonts w:ascii="Calibri" w:hAnsi="Calibri"/>
          <w:noProof/>
          <w:color w:val="0093D0"/>
          <w:sz w:val="18"/>
          <w:szCs w:val="18"/>
          <w:lang w:val="en-GB" w:eastAsia="pl-PL"/>
        </w:rPr>
        <w:drawing>
          <wp:inline distT="0" distB="0" distL="0" distR="0" wp14:anchorId="5BB2BC52" wp14:editId="72EF7D90">
            <wp:extent cx="274320" cy="274320"/>
            <wp:effectExtent l="0" t="0" r="0" b="0"/>
            <wp:docPr id="5" name="Picture 1" descr="Facebook_20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20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782B25" w:rsidRPr="00AB20D1">
        <w:rPr>
          <w:rFonts w:ascii="Calibri" w:hAnsi="Calibri"/>
          <w:noProof/>
          <w:sz w:val="18"/>
          <w:szCs w:val="18"/>
          <w:lang w:val="en-GB" w:eastAsia="pl-PL"/>
        </w:rPr>
        <w:t> </w:t>
      </w:r>
      <w:r>
        <w:rPr>
          <w:rFonts w:ascii="Calibri" w:hAnsi="Calibri"/>
          <w:noProof/>
          <w:color w:val="0093D0"/>
          <w:sz w:val="18"/>
          <w:szCs w:val="18"/>
          <w:lang w:val="en-GB" w:eastAsia="pl-PL"/>
        </w:rPr>
        <w:drawing>
          <wp:inline distT="0" distB="0" distL="0" distR="0" wp14:anchorId="68B0ED1A" wp14:editId="6684FEF2">
            <wp:extent cx="274320" cy="274320"/>
            <wp:effectExtent l="0" t="0" r="0" b="0"/>
            <wp:docPr id="2" name="Picture 2" descr="LinkedIn_20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dIn_20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782B25" w:rsidRPr="00AB20D1">
        <w:rPr>
          <w:rFonts w:ascii="Calibri" w:hAnsi="Calibri"/>
          <w:noProof/>
          <w:sz w:val="18"/>
          <w:szCs w:val="18"/>
          <w:lang w:val="en-GB" w:eastAsia="pl-PL"/>
        </w:rPr>
        <w:t> </w:t>
      </w:r>
      <w:r>
        <w:rPr>
          <w:rFonts w:ascii="Calibri" w:hAnsi="Calibri"/>
          <w:noProof/>
          <w:color w:val="0093D0"/>
          <w:sz w:val="18"/>
          <w:szCs w:val="18"/>
          <w:lang w:val="en-GB" w:eastAsia="pl-PL"/>
        </w:rPr>
        <w:drawing>
          <wp:inline distT="0" distB="0" distL="0" distR="0" wp14:anchorId="17357776" wp14:editId="7934B2C5">
            <wp:extent cx="274320" cy="274320"/>
            <wp:effectExtent l="0" t="0" r="0" b="0"/>
            <wp:docPr id="3" name="Picture 3" descr="you_tube_2014_0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_tube_2014_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hyperlink r:id="rId17" w:history="1"/>
      <w:r w:rsidR="00782B25" w:rsidRPr="00AB20D1">
        <w:rPr>
          <w:rFonts w:ascii="Calibri" w:hAnsi="Calibri"/>
          <w:noProof/>
          <w:sz w:val="18"/>
          <w:szCs w:val="18"/>
          <w:lang w:val="en-GB" w:eastAsia="pl-PL"/>
        </w:rPr>
        <w:t> </w:t>
      </w:r>
      <w:r>
        <w:rPr>
          <w:rFonts w:ascii="Calibri" w:hAnsi="Calibri"/>
          <w:noProof/>
          <w:color w:val="0093D0"/>
          <w:sz w:val="18"/>
          <w:szCs w:val="18"/>
          <w:lang w:val="en-GB" w:eastAsia="pl-PL"/>
        </w:rPr>
        <w:drawing>
          <wp:inline distT="0" distB="0" distL="0" distR="0" wp14:anchorId="75BB25A7" wp14:editId="27A05BB3">
            <wp:extent cx="274320" cy="274320"/>
            <wp:effectExtent l="0" t="0" r="0" b="0"/>
            <wp:docPr id="4" name="Picture 4" descr="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14:paraId="33538A36" w14:textId="77777777" w:rsidR="00D24FB7" w:rsidRDefault="00D24FB7" w:rsidP="00782B25">
      <w:pPr>
        <w:autoSpaceDE w:val="0"/>
        <w:autoSpaceDN w:val="0"/>
        <w:adjustRightInd w:val="0"/>
        <w:rPr>
          <w:rFonts w:eastAsia="Calibri" w:cs="Arial"/>
          <w:b/>
          <w:sz w:val="18"/>
          <w:szCs w:val="18"/>
          <w:lang w:val="en-US"/>
        </w:rPr>
      </w:pPr>
    </w:p>
    <w:p w14:paraId="26EA0DFD" w14:textId="77777777" w:rsidR="00782B25" w:rsidRPr="00AB20D1" w:rsidRDefault="00782B25" w:rsidP="00782B25">
      <w:pPr>
        <w:autoSpaceDE w:val="0"/>
        <w:autoSpaceDN w:val="0"/>
        <w:adjustRightInd w:val="0"/>
        <w:rPr>
          <w:rFonts w:eastAsia="Calibri" w:cs="Arial"/>
          <w:b/>
          <w:sz w:val="18"/>
          <w:szCs w:val="18"/>
          <w:lang w:val="en-US"/>
        </w:rPr>
      </w:pPr>
      <w:r w:rsidRPr="00AB20D1">
        <w:rPr>
          <w:rFonts w:eastAsia="Calibri" w:cs="Arial"/>
          <w:b/>
          <w:sz w:val="18"/>
          <w:szCs w:val="18"/>
          <w:lang w:val="en-US"/>
        </w:rPr>
        <w:t>Contact</w:t>
      </w:r>
    </w:p>
    <w:p w14:paraId="7C276A9D" w14:textId="77777777" w:rsidR="00782B25" w:rsidRPr="00AB20D1" w:rsidRDefault="00782B25" w:rsidP="00782B25">
      <w:pPr>
        <w:ind w:right="180"/>
        <w:rPr>
          <w:sz w:val="18"/>
          <w:szCs w:val="18"/>
          <w:lang w:val="en-US"/>
        </w:rPr>
      </w:pPr>
      <w:r w:rsidRPr="00AB20D1">
        <w:rPr>
          <w:sz w:val="18"/>
          <w:szCs w:val="18"/>
          <w:lang w:val="en-US"/>
        </w:rPr>
        <w:t>Sylwia Skubiszewska</w:t>
      </w:r>
    </w:p>
    <w:p w14:paraId="0F3202B9" w14:textId="77777777" w:rsidR="00782B25" w:rsidRPr="00AB20D1" w:rsidRDefault="00782B25" w:rsidP="00782B25">
      <w:pPr>
        <w:rPr>
          <w:sz w:val="18"/>
          <w:szCs w:val="18"/>
          <w:lang w:val="en-US"/>
        </w:rPr>
      </w:pPr>
      <w:r w:rsidRPr="00AB20D1">
        <w:rPr>
          <w:sz w:val="18"/>
          <w:szCs w:val="18"/>
          <w:lang w:val="en-US"/>
        </w:rPr>
        <w:t>Senior Communication Specialist</w:t>
      </w:r>
    </w:p>
    <w:p w14:paraId="0C9F2616" w14:textId="77777777" w:rsidR="00782B25" w:rsidRPr="00AB20D1" w:rsidRDefault="00782B25" w:rsidP="00782B25">
      <w:pPr>
        <w:rPr>
          <w:sz w:val="18"/>
          <w:szCs w:val="18"/>
          <w:lang w:val="en-US"/>
        </w:rPr>
      </w:pPr>
      <w:r w:rsidRPr="00AB20D1">
        <w:rPr>
          <w:sz w:val="18"/>
          <w:szCs w:val="18"/>
          <w:lang w:val="en-US"/>
        </w:rPr>
        <w:t>Mob: +48 666 819 228</w:t>
      </w:r>
    </w:p>
    <w:p w14:paraId="5084DA48" w14:textId="77777777" w:rsidR="00782B25" w:rsidRPr="00AB20D1" w:rsidRDefault="00782B25" w:rsidP="00782B25">
      <w:pPr>
        <w:rPr>
          <w:sz w:val="18"/>
          <w:szCs w:val="18"/>
          <w:lang w:val="en-US"/>
        </w:rPr>
      </w:pPr>
      <w:r w:rsidRPr="00AB20D1">
        <w:rPr>
          <w:sz w:val="18"/>
          <w:szCs w:val="18"/>
          <w:lang w:val="en-US"/>
        </w:rPr>
        <w:t xml:space="preserve">E-mail: </w:t>
      </w:r>
      <w:hyperlink r:id="rId20" w:history="1">
        <w:r w:rsidRPr="00AB20D1">
          <w:rPr>
            <w:rFonts w:cs="Arial"/>
            <w:color w:val="0000FF"/>
            <w:sz w:val="18"/>
            <w:szCs w:val="18"/>
            <w:u w:val="single"/>
            <w:lang w:val="pt-PT" w:eastAsia="en-GB"/>
          </w:rPr>
          <w:t>sylwia.skubiszewska@colliers.com</w:t>
        </w:r>
      </w:hyperlink>
    </w:p>
    <w:p w14:paraId="13B6D027" w14:textId="77777777" w:rsidR="00782B25" w:rsidRPr="00AB20D1" w:rsidRDefault="00782B25" w:rsidP="00782B25">
      <w:pPr>
        <w:rPr>
          <w:sz w:val="18"/>
          <w:szCs w:val="18"/>
          <w:lang w:val="en-US"/>
        </w:rPr>
      </w:pPr>
    </w:p>
    <w:p w14:paraId="675C3365" w14:textId="77777777" w:rsidR="00782B25" w:rsidRPr="00782B25" w:rsidRDefault="00782B25" w:rsidP="00782B25">
      <w:pPr>
        <w:ind w:right="180"/>
        <w:rPr>
          <w:sz w:val="18"/>
          <w:szCs w:val="18"/>
          <w:lang w:val="pl-PL"/>
        </w:rPr>
      </w:pPr>
      <w:r w:rsidRPr="00782B25">
        <w:rPr>
          <w:sz w:val="18"/>
          <w:szCs w:val="18"/>
          <w:lang w:val="pl-PL"/>
        </w:rPr>
        <w:t>Małgorzata Ciechanowska</w:t>
      </w:r>
    </w:p>
    <w:p w14:paraId="572C919E" w14:textId="77777777" w:rsidR="00782B25" w:rsidRPr="00782B25" w:rsidRDefault="00782B25" w:rsidP="00782B25">
      <w:pPr>
        <w:ind w:right="180"/>
        <w:rPr>
          <w:sz w:val="18"/>
          <w:szCs w:val="18"/>
          <w:lang w:val="pl-PL"/>
        </w:rPr>
      </w:pPr>
      <w:r w:rsidRPr="00782B25">
        <w:rPr>
          <w:sz w:val="18"/>
          <w:szCs w:val="18"/>
          <w:lang w:val="pl-PL"/>
        </w:rPr>
        <w:t>PR Specialist</w:t>
      </w:r>
    </w:p>
    <w:p w14:paraId="63DB31C3" w14:textId="77777777" w:rsidR="00782B25" w:rsidRPr="00782B25" w:rsidRDefault="00782B25" w:rsidP="00782B25">
      <w:pPr>
        <w:ind w:right="180"/>
        <w:rPr>
          <w:sz w:val="18"/>
          <w:szCs w:val="18"/>
          <w:lang w:val="pl-PL"/>
        </w:rPr>
      </w:pPr>
      <w:r w:rsidRPr="00782B25">
        <w:rPr>
          <w:sz w:val="18"/>
          <w:szCs w:val="18"/>
          <w:lang w:val="pl-PL"/>
        </w:rPr>
        <w:t>Mob: +48 882 014 424</w:t>
      </w:r>
    </w:p>
    <w:p w14:paraId="6B10FE19" w14:textId="77777777" w:rsidR="00782B25" w:rsidRPr="00AB20D1" w:rsidRDefault="00782B25" w:rsidP="00782B25">
      <w:pPr>
        <w:ind w:right="180"/>
        <w:rPr>
          <w:sz w:val="18"/>
          <w:szCs w:val="18"/>
          <w:lang w:val="en-US"/>
        </w:rPr>
      </w:pPr>
      <w:r w:rsidRPr="00AB20D1">
        <w:rPr>
          <w:sz w:val="18"/>
          <w:szCs w:val="18"/>
          <w:lang w:val="en-US"/>
        </w:rPr>
        <w:t xml:space="preserve">E-mail: </w:t>
      </w:r>
      <w:hyperlink r:id="rId21" w:history="1">
        <w:r w:rsidRPr="00AB20D1">
          <w:rPr>
            <w:rFonts w:cs="Arial"/>
            <w:color w:val="0000FF"/>
            <w:sz w:val="18"/>
            <w:szCs w:val="18"/>
            <w:u w:val="single"/>
            <w:lang w:val="pt-PT" w:eastAsia="en-GB"/>
          </w:rPr>
          <w:t>malgorzata.ciechanowska@colliers.com</w:t>
        </w:r>
      </w:hyperlink>
    </w:p>
    <w:bookmarkEnd w:id="6"/>
    <w:p w14:paraId="05F0F361" w14:textId="77777777" w:rsidR="00782B25" w:rsidRPr="00AB20D1" w:rsidRDefault="00782B25" w:rsidP="00782B25">
      <w:pPr>
        <w:rPr>
          <w:sz w:val="18"/>
          <w:szCs w:val="18"/>
          <w:lang w:val="en-US"/>
        </w:rPr>
      </w:pPr>
      <w:r w:rsidRPr="00AB20D1">
        <w:rPr>
          <w:sz w:val="18"/>
          <w:szCs w:val="18"/>
          <w:lang w:val="en-US"/>
        </w:rPr>
        <w:t xml:space="preserve"> </w:t>
      </w:r>
    </w:p>
    <w:p w14:paraId="07B5921B" w14:textId="77777777" w:rsidR="00D27413" w:rsidRPr="00782B25" w:rsidRDefault="00D27413" w:rsidP="00782B25">
      <w:pPr>
        <w:spacing w:before="100" w:beforeAutospacing="1" w:after="100" w:afterAutospacing="1"/>
        <w:jc w:val="both"/>
        <w:rPr>
          <w:rFonts w:cs="Arial"/>
          <w:sz w:val="20"/>
          <w:lang w:val="en-US"/>
        </w:rPr>
      </w:pPr>
    </w:p>
    <w:sectPr w:rsidR="00D27413" w:rsidRPr="00782B25">
      <w:headerReference w:type="default" r:id="rId22"/>
      <w:footerReference w:type="default" r:id="rId23"/>
      <w:headerReference w:type="first" r:id="rId24"/>
      <w:pgSz w:w="12240" w:h="15840" w:code="1"/>
      <w:pgMar w:top="1440" w:right="1440" w:bottom="123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5E63" w14:textId="77777777" w:rsidR="004C4483" w:rsidRDefault="004C4483">
      <w:r>
        <w:separator/>
      </w:r>
    </w:p>
  </w:endnote>
  <w:endnote w:type="continuationSeparator" w:id="0">
    <w:p w14:paraId="67E6849A" w14:textId="77777777" w:rsidR="004C4483" w:rsidRDefault="004C4483">
      <w:r>
        <w:continuationSeparator/>
      </w:r>
    </w:p>
  </w:endnote>
  <w:endnote w:type="continuationNotice" w:id="1">
    <w:p w14:paraId="13142FE9" w14:textId="77777777" w:rsidR="004C4483" w:rsidRDefault="004C4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anskaSansPro-Regular">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Zurich BT">
    <w:altName w:val="Arial"/>
    <w:charset w:val="00"/>
    <w:family w:val="swiss"/>
    <w:pitch w:val="variable"/>
    <w:sig w:usb0="00000001" w:usb1="00000000" w:usb2="00000000" w:usb3="00000000" w:csb0="0000001B"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2BAE" w14:textId="77777777" w:rsidR="004C4483" w:rsidRDefault="004C4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360C9" w14:textId="77777777" w:rsidR="004C4483" w:rsidRDefault="004C4483">
      <w:r>
        <w:separator/>
      </w:r>
    </w:p>
  </w:footnote>
  <w:footnote w:type="continuationSeparator" w:id="0">
    <w:p w14:paraId="6F3FE652" w14:textId="77777777" w:rsidR="004C4483" w:rsidRDefault="004C4483">
      <w:r>
        <w:continuationSeparator/>
      </w:r>
    </w:p>
  </w:footnote>
  <w:footnote w:type="continuationNotice" w:id="1">
    <w:p w14:paraId="4B079204" w14:textId="77777777" w:rsidR="004C4483" w:rsidRDefault="004C4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D79B" w14:textId="77777777" w:rsidR="008113CE" w:rsidRDefault="008113C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53954" w14:textId="77777777" w:rsidR="008113CE" w:rsidRPr="00657552" w:rsidRDefault="006C29EA">
    <w:pPr>
      <w:jc w:val="right"/>
      <w:rPr>
        <w:b/>
      </w:rPr>
    </w:pPr>
    <w:r>
      <w:rPr>
        <w:b/>
      </w:rPr>
      <w:t>PRESS</w:t>
    </w:r>
    <w:r w:rsidRPr="00657552">
      <w:rPr>
        <w:b/>
      </w:rPr>
      <w:t xml:space="preserve"> </w:t>
    </w:r>
    <w:r w:rsidR="008113CE" w:rsidRPr="00657552">
      <w:rPr>
        <w:b/>
      </w:rPr>
      <w:t>RELEASE</w:t>
    </w:r>
  </w:p>
  <w:p w14:paraId="0A94FAE0" w14:textId="77777777" w:rsidR="008113CE" w:rsidRDefault="008113CE">
    <w:pPr>
      <w:jc w:val="right"/>
    </w:pPr>
  </w:p>
  <w:p w14:paraId="10690F10" w14:textId="77777777" w:rsidR="008113CE" w:rsidRDefault="008246F1">
    <w:pPr>
      <w:pStyle w:val="Header"/>
      <w:jc w:val="right"/>
    </w:pPr>
    <w:r>
      <w:rPr>
        <w:noProof/>
        <w:lang w:val="pl-PL" w:eastAsia="pl-PL"/>
      </w:rPr>
      <w:drawing>
        <wp:inline distT="0" distB="0" distL="0" distR="0" wp14:anchorId="78C268C4" wp14:editId="553A2E4C">
          <wp:extent cx="1021080" cy="684530"/>
          <wp:effectExtent l="0" t="0" r="0" b="0"/>
          <wp:docPr id="1" name="Picture 1" descr="Logo_Print_Gradient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int_Gradient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84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260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6145C"/>
    <w:multiLevelType w:val="hybridMultilevel"/>
    <w:tmpl w:val="5E0A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40442"/>
    <w:multiLevelType w:val="multilevel"/>
    <w:tmpl w:val="017A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24B8E"/>
    <w:multiLevelType w:val="hybridMultilevel"/>
    <w:tmpl w:val="6E0EAE92"/>
    <w:lvl w:ilvl="0" w:tplc="47201DFA">
      <w:start w:val="1"/>
      <w:numFmt w:val="decimal"/>
      <w:lvlText w:val="%1."/>
      <w:lvlJc w:val="left"/>
      <w:pPr>
        <w:ind w:left="330" w:hanging="360"/>
      </w:pPr>
      <w:rPr>
        <w:rFonts w:hint="default"/>
      </w:rPr>
    </w:lvl>
    <w:lvl w:ilvl="1" w:tplc="04150019" w:tentative="1">
      <w:start w:val="1"/>
      <w:numFmt w:val="lowerLetter"/>
      <w:lvlText w:val="%2."/>
      <w:lvlJc w:val="left"/>
      <w:pPr>
        <w:ind w:left="1050" w:hanging="360"/>
      </w:pPr>
    </w:lvl>
    <w:lvl w:ilvl="2" w:tplc="0415001B" w:tentative="1">
      <w:start w:val="1"/>
      <w:numFmt w:val="lowerRoman"/>
      <w:lvlText w:val="%3."/>
      <w:lvlJc w:val="right"/>
      <w:pPr>
        <w:ind w:left="1770" w:hanging="180"/>
      </w:pPr>
    </w:lvl>
    <w:lvl w:ilvl="3" w:tplc="0415000F" w:tentative="1">
      <w:start w:val="1"/>
      <w:numFmt w:val="decimal"/>
      <w:lvlText w:val="%4."/>
      <w:lvlJc w:val="left"/>
      <w:pPr>
        <w:ind w:left="2490" w:hanging="360"/>
      </w:pPr>
    </w:lvl>
    <w:lvl w:ilvl="4" w:tplc="04150019" w:tentative="1">
      <w:start w:val="1"/>
      <w:numFmt w:val="lowerLetter"/>
      <w:lvlText w:val="%5."/>
      <w:lvlJc w:val="left"/>
      <w:pPr>
        <w:ind w:left="3210" w:hanging="360"/>
      </w:pPr>
    </w:lvl>
    <w:lvl w:ilvl="5" w:tplc="0415001B" w:tentative="1">
      <w:start w:val="1"/>
      <w:numFmt w:val="lowerRoman"/>
      <w:lvlText w:val="%6."/>
      <w:lvlJc w:val="right"/>
      <w:pPr>
        <w:ind w:left="3930" w:hanging="180"/>
      </w:pPr>
    </w:lvl>
    <w:lvl w:ilvl="6" w:tplc="0415000F" w:tentative="1">
      <w:start w:val="1"/>
      <w:numFmt w:val="decimal"/>
      <w:lvlText w:val="%7."/>
      <w:lvlJc w:val="left"/>
      <w:pPr>
        <w:ind w:left="4650" w:hanging="360"/>
      </w:pPr>
    </w:lvl>
    <w:lvl w:ilvl="7" w:tplc="04150019" w:tentative="1">
      <w:start w:val="1"/>
      <w:numFmt w:val="lowerLetter"/>
      <w:lvlText w:val="%8."/>
      <w:lvlJc w:val="left"/>
      <w:pPr>
        <w:ind w:left="5370" w:hanging="360"/>
      </w:pPr>
    </w:lvl>
    <w:lvl w:ilvl="8" w:tplc="0415001B" w:tentative="1">
      <w:start w:val="1"/>
      <w:numFmt w:val="lowerRoman"/>
      <w:lvlText w:val="%9."/>
      <w:lvlJc w:val="right"/>
      <w:pPr>
        <w:ind w:left="6090" w:hanging="180"/>
      </w:pPr>
    </w:lvl>
  </w:abstractNum>
  <w:abstractNum w:abstractNumId="4" w15:restartNumberingAfterBreak="0">
    <w:nsid w:val="1E596E4E"/>
    <w:multiLevelType w:val="hybridMultilevel"/>
    <w:tmpl w:val="A3D8059C"/>
    <w:lvl w:ilvl="0" w:tplc="019C350C">
      <w:start w:val="1"/>
      <w:numFmt w:val="bullet"/>
      <w:lvlText w:val=""/>
      <w:lvlJc w:val="left"/>
      <w:pPr>
        <w:tabs>
          <w:tab w:val="num" w:pos="360"/>
        </w:tabs>
        <w:ind w:left="360" w:hanging="360"/>
      </w:pPr>
      <w:rPr>
        <w:rFonts w:ascii="Symbol" w:hAnsi="Symbol" w:hint="default"/>
        <w:color w:val="0093D0"/>
      </w:rPr>
    </w:lvl>
    <w:lvl w:ilvl="1" w:tplc="7E20197E">
      <w:start w:val="1"/>
      <w:numFmt w:val="bullet"/>
      <w:lvlText w:val=""/>
      <w:lvlJc w:val="left"/>
      <w:pPr>
        <w:tabs>
          <w:tab w:val="num" w:pos="1080"/>
        </w:tabs>
        <w:ind w:left="1080" w:hanging="360"/>
      </w:pPr>
      <w:rPr>
        <w:rFonts w:ascii="Wingdings" w:hAnsi="Wingdings" w:hint="default"/>
        <w:color w:val="0093D0"/>
      </w:rPr>
    </w:lvl>
    <w:lvl w:ilvl="2" w:tplc="D1400B44" w:tentative="1">
      <w:start w:val="1"/>
      <w:numFmt w:val="bullet"/>
      <w:lvlText w:val=""/>
      <w:lvlJc w:val="left"/>
      <w:pPr>
        <w:tabs>
          <w:tab w:val="num" w:pos="1800"/>
        </w:tabs>
        <w:ind w:left="1800" w:hanging="360"/>
      </w:pPr>
      <w:rPr>
        <w:rFonts w:ascii="Wingdings" w:hAnsi="Wingdings" w:hint="default"/>
      </w:rPr>
    </w:lvl>
    <w:lvl w:ilvl="3" w:tplc="706A27CA" w:tentative="1">
      <w:start w:val="1"/>
      <w:numFmt w:val="bullet"/>
      <w:lvlText w:val=""/>
      <w:lvlJc w:val="left"/>
      <w:pPr>
        <w:tabs>
          <w:tab w:val="num" w:pos="2520"/>
        </w:tabs>
        <w:ind w:left="2520" w:hanging="360"/>
      </w:pPr>
      <w:rPr>
        <w:rFonts w:ascii="Wingdings" w:hAnsi="Wingdings" w:hint="default"/>
      </w:rPr>
    </w:lvl>
    <w:lvl w:ilvl="4" w:tplc="B5726A84" w:tentative="1">
      <w:start w:val="1"/>
      <w:numFmt w:val="bullet"/>
      <w:lvlText w:val=""/>
      <w:lvlJc w:val="left"/>
      <w:pPr>
        <w:tabs>
          <w:tab w:val="num" w:pos="3240"/>
        </w:tabs>
        <w:ind w:left="3240" w:hanging="360"/>
      </w:pPr>
      <w:rPr>
        <w:rFonts w:ascii="Wingdings" w:hAnsi="Wingdings" w:hint="default"/>
      </w:rPr>
    </w:lvl>
    <w:lvl w:ilvl="5" w:tplc="AD7CEA5A" w:tentative="1">
      <w:start w:val="1"/>
      <w:numFmt w:val="bullet"/>
      <w:lvlText w:val=""/>
      <w:lvlJc w:val="left"/>
      <w:pPr>
        <w:tabs>
          <w:tab w:val="num" w:pos="3960"/>
        </w:tabs>
        <w:ind w:left="3960" w:hanging="360"/>
      </w:pPr>
      <w:rPr>
        <w:rFonts w:ascii="Wingdings" w:hAnsi="Wingdings" w:hint="default"/>
      </w:rPr>
    </w:lvl>
    <w:lvl w:ilvl="6" w:tplc="278C815C" w:tentative="1">
      <w:start w:val="1"/>
      <w:numFmt w:val="bullet"/>
      <w:lvlText w:val=""/>
      <w:lvlJc w:val="left"/>
      <w:pPr>
        <w:tabs>
          <w:tab w:val="num" w:pos="4680"/>
        </w:tabs>
        <w:ind w:left="4680" w:hanging="360"/>
      </w:pPr>
      <w:rPr>
        <w:rFonts w:ascii="Wingdings" w:hAnsi="Wingdings" w:hint="default"/>
      </w:rPr>
    </w:lvl>
    <w:lvl w:ilvl="7" w:tplc="3AAC6736" w:tentative="1">
      <w:start w:val="1"/>
      <w:numFmt w:val="bullet"/>
      <w:lvlText w:val=""/>
      <w:lvlJc w:val="left"/>
      <w:pPr>
        <w:tabs>
          <w:tab w:val="num" w:pos="5400"/>
        </w:tabs>
        <w:ind w:left="5400" w:hanging="360"/>
      </w:pPr>
      <w:rPr>
        <w:rFonts w:ascii="Wingdings" w:hAnsi="Wingdings" w:hint="default"/>
      </w:rPr>
    </w:lvl>
    <w:lvl w:ilvl="8" w:tplc="1A80FAD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BC0C11"/>
    <w:multiLevelType w:val="hybridMultilevel"/>
    <w:tmpl w:val="44420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044BAC"/>
    <w:multiLevelType w:val="hybridMultilevel"/>
    <w:tmpl w:val="93A0DAFA"/>
    <w:lvl w:ilvl="0" w:tplc="FC06122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56940"/>
    <w:multiLevelType w:val="hybridMultilevel"/>
    <w:tmpl w:val="ACFAA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CB27D9"/>
    <w:multiLevelType w:val="hybridMultilevel"/>
    <w:tmpl w:val="BE34678E"/>
    <w:lvl w:ilvl="0" w:tplc="081EA696">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9" w15:restartNumberingAfterBreak="0">
    <w:nsid w:val="63A91677"/>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4E03EE2"/>
    <w:multiLevelType w:val="hybridMultilevel"/>
    <w:tmpl w:val="AF6A0DCE"/>
    <w:lvl w:ilvl="0" w:tplc="D8C6C442">
      <w:numFmt w:val="bullet"/>
      <w:lvlText w:val="-"/>
      <w:lvlJc w:val="left"/>
      <w:pPr>
        <w:ind w:left="720" w:hanging="360"/>
      </w:pPr>
      <w:rPr>
        <w:rFonts w:ascii="Times New Roman" w:eastAsia="SkanskaSansPro-Regular"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CD1027"/>
    <w:multiLevelType w:val="hybridMultilevel"/>
    <w:tmpl w:val="D63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51185"/>
    <w:multiLevelType w:val="hybridMultilevel"/>
    <w:tmpl w:val="AE743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A003FD"/>
    <w:multiLevelType w:val="hybridMultilevel"/>
    <w:tmpl w:val="7E24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5"/>
  </w:num>
  <w:num w:numId="5">
    <w:abstractNumId w:val="11"/>
  </w:num>
  <w:num w:numId="6">
    <w:abstractNumId w:val="0"/>
  </w:num>
  <w:num w:numId="7">
    <w:abstractNumId w:val="2"/>
  </w:num>
  <w:num w:numId="8">
    <w:abstractNumId w:val="4"/>
  </w:num>
  <w:num w:numId="9">
    <w:abstractNumId w:val="3"/>
  </w:num>
  <w:num w:numId="10">
    <w:abstractNumId w:val="8"/>
  </w:num>
  <w:num w:numId="11">
    <w:abstractNumId w:val="7"/>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75"/>
    <w:rsid w:val="0001271B"/>
    <w:rsid w:val="0001294E"/>
    <w:rsid w:val="00013108"/>
    <w:rsid w:val="0002172C"/>
    <w:rsid w:val="00023EA9"/>
    <w:rsid w:val="000259CC"/>
    <w:rsid w:val="00036A9B"/>
    <w:rsid w:val="00042BD2"/>
    <w:rsid w:val="00043ED9"/>
    <w:rsid w:val="00055D66"/>
    <w:rsid w:val="000652D3"/>
    <w:rsid w:val="00067EB2"/>
    <w:rsid w:val="0007178D"/>
    <w:rsid w:val="00072AA6"/>
    <w:rsid w:val="0007347E"/>
    <w:rsid w:val="000837E9"/>
    <w:rsid w:val="00085217"/>
    <w:rsid w:val="000879ED"/>
    <w:rsid w:val="00096598"/>
    <w:rsid w:val="000A52A6"/>
    <w:rsid w:val="000B289D"/>
    <w:rsid w:val="000B2DA1"/>
    <w:rsid w:val="000B32FE"/>
    <w:rsid w:val="000C0FEA"/>
    <w:rsid w:val="000C5124"/>
    <w:rsid w:val="000C59D1"/>
    <w:rsid w:val="000D3B86"/>
    <w:rsid w:val="000D5919"/>
    <w:rsid w:val="000E25BA"/>
    <w:rsid w:val="000E3C8D"/>
    <w:rsid w:val="000F3588"/>
    <w:rsid w:val="000F40A2"/>
    <w:rsid w:val="000F5931"/>
    <w:rsid w:val="000F7257"/>
    <w:rsid w:val="001057EC"/>
    <w:rsid w:val="001066D4"/>
    <w:rsid w:val="00120D72"/>
    <w:rsid w:val="00122305"/>
    <w:rsid w:val="00124DBA"/>
    <w:rsid w:val="001315D9"/>
    <w:rsid w:val="00136F5C"/>
    <w:rsid w:val="00140C12"/>
    <w:rsid w:val="001440A0"/>
    <w:rsid w:val="00144B31"/>
    <w:rsid w:val="00150F92"/>
    <w:rsid w:val="00154877"/>
    <w:rsid w:val="00161CA4"/>
    <w:rsid w:val="001636AF"/>
    <w:rsid w:val="00163FF5"/>
    <w:rsid w:val="001718A6"/>
    <w:rsid w:val="001805FD"/>
    <w:rsid w:val="00193DD7"/>
    <w:rsid w:val="001A5968"/>
    <w:rsid w:val="001B0F68"/>
    <w:rsid w:val="001B25D1"/>
    <w:rsid w:val="001C2229"/>
    <w:rsid w:val="001C3B85"/>
    <w:rsid w:val="001C464F"/>
    <w:rsid w:val="001D30D5"/>
    <w:rsid w:val="001F06CC"/>
    <w:rsid w:val="001F3378"/>
    <w:rsid w:val="002017B3"/>
    <w:rsid w:val="00203B99"/>
    <w:rsid w:val="0020595A"/>
    <w:rsid w:val="002062F3"/>
    <w:rsid w:val="00207DD7"/>
    <w:rsid w:val="0022150C"/>
    <w:rsid w:val="0022259B"/>
    <w:rsid w:val="00233F29"/>
    <w:rsid w:val="00237F64"/>
    <w:rsid w:val="00244BA0"/>
    <w:rsid w:val="00245200"/>
    <w:rsid w:val="002471B9"/>
    <w:rsid w:val="002473B8"/>
    <w:rsid w:val="00251434"/>
    <w:rsid w:val="00254F1C"/>
    <w:rsid w:val="0025624C"/>
    <w:rsid w:val="0026057D"/>
    <w:rsid w:val="0026066B"/>
    <w:rsid w:val="00261F38"/>
    <w:rsid w:val="00262F98"/>
    <w:rsid w:val="002633FD"/>
    <w:rsid w:val="00281B93"/>
    <w:rsid w:val="002826A3"/>
    <w:rsid w:val="0029280D"/>
    <w:rsid w:val="002A36D9"/>
    <w:rsid w:val="002B3F49"/>
    <w:rsid w:val="002B52EC"/>
    <w:rsid w:val="002C0B16"/>
    <w:rsid w:val="002D0950"/>
    <w:rsid w:val="002D1540"/>
    <w:rsid w:val="002D3BD2"/>
    <w:rsid w:val="002D5013"/>
    <w:rsid w:val="002F1880"/>
    <w:rsid w:val="002F19FF"/>
    <w:rsid w:val="00301EF2"/>
    <w:rsid w:val="00306F81"/>
    <w:rsid w:val="00307D37"/>
    <w:rsid w:val="00315DE1"/>
    <w:rsid w:val="00317109"/>
    <w:rsid w:val="00317B21"/>
    <w:rsid w:val="00320FED"/>
    <w:rsid w:val="00323544"/>
    <w:rsid w:val="003326EA"/>
    <w:rsid w:val="00332870"/>
    <w:rsid w:val="00332B44"/>
    <w:rsid w:val="00334A71"/>
    <w:rsid w:val="003363E6"/>
    <w:rsid w:val="003372D0"/>
    <w:rsid w:val="0034305E"/>
    <w:rsid w:val="00344AA2"/>
    <w:rsid w:val="00351118"/>
    <w:rsid w:val="0035138E"/>
    <w:rsid w:val="00351519"/>
    <w:rsid w:val="00351BF6"/>
    <w:rsid w:val="003714FB"/>
    <w:rsid w:val="00383B60"/>
    <w:rsid w:val="00383D6A"/>
    <w:rsid w:val="0038692D"/>
    <w:rsid w:val="003952EB"/>
    <w:rsid w:val="003956A3"/>
    <w:rsid w:val="003A0A48"/>
    <w:rsid w:val="003A2F06"/>
    <w:rsid w:val="003A3142"/>
    <w:rsid w:val="003A3A1E"/>
    <w:rsid w:val="003C0EBF"/>
    <w:rsid w:val="003C20FC"/>
    <w:rsid w:val="003C47AA"/>
    <w:rsid w:val="003D046D"/>
    <w:rsid w:val="003E2253"/>
    <w:rsid w:val="003E6323"/>
    <w:rsid w:val="003F3C84"/>
    <w:rsid w:val="003F4CA1"/>
    <w:rsid w:val="003F6DA3"/>
    <w:rsid w:val="00400E5A"/>
    <w:rsid w:val="00411B2B"/>
    <w:rsid w:val="00414A0F"/>
    <w:rsid w:val="00415922"/>
    <w:rsid w:val="00420971"/>
    <w:rsid w:val="0042152C"/>
    <w:rsid w:val="00424A63"/>
    <w:rsid w:val="00427973"/>
    <w:rsid w:val="00427C88"/>
    <w:rsid w:val="0043156D"/>
    <w:rsid w:val="0044301F"/>
    <w:rsid w:val="00457981"/>
    <w:rsid w:val="00464217"/>
    <w:rsid w:val="004708FA"/>
    <w:rsid w:val="004717CC"/>
    <w:rsid w:val="00473941"/>
    <w:rsid w:val="00475D87"/>
    <w:rsid w:val="00480BB4"/>
    <w:rsid w:val="0048126F"/>
    <w:rsid w:val="00492C17"/>
    <w:rsid w:val="00497BFF"/>
    <w:rsid w:val="004A1DBB"/>
    <w:rsid w:val="004B071D"/>
    <w:rsid w:val="004B2E49"/>
    <w:rsid w:val="004B46C5"/>
    <w:rsid w:val="004C0002"/>
    <w:rsid w:val="004C4483"/>
    <w:rsid w:val="004D0B28"/>
    <w:rsid w:val="004E0487"/>
    <w:rsid w:val="004E2B47"/>
    <w:rsid w:val="004E42A0"/>
    <w:rsid w:val="004E67A2"/>
    <w:rsid w:val="004E7C23"/>
    <w:rsid w:val="004F054C"/>
    <w:rsid w:val="004F51B6"/>
    <w:rsid w:val="004F67F7"/>
    <w:rsid w:val="0050211D"/>
    <w:rsid w:val="0051166F"/>
    <w:rsid w:val="0051278B"/>
    <w:rsid w:val="0051511F"/>
    <w:rsid w:val="00525D4C"/>
    <w:rsid w:val="00531AF6"/>
    <w:rsid w:val="005327DA"/>
    <w:rsid w:val="00533BAC"/>
    <w:rsid w:val="005369DC"/>
    <w:rsid w:val="005375B4"/>
    <w:rsid w:val="00544137"/>
    <w:rsid w:val="0054763C"/>
    <w:rsid w:val="00551391"/>
    <w:rsid w:val="00551E1F"/>
    <w:rsid w:val="00557F90"/>
    <w:rsid w:val="0056312F"/>
    <w:rsid w:val="0056549A"/>
    <w:rsid w:val="005677A3"/>
    <w:rsid w:val="00573092"/>
    <w:rsid w:val="00573555"/>
    <w:rsid w:val="005842D8"/>
    <w:rsid w:val="00584642"/>
    <w:rsid w:val="005A2107"/>
    <w:rsid w:val="005A7464"/>
    <w:rsid w:val="005B269E"/>
    <w:rsid w:val="005B4F50"/>
    <w:rsid w:val="005C0955"/>
    <w:rsid w:val="005C4FB2"/>
    <w:rsid w:val="005D5D61"/>
    <w:rsid w:val="005D6853"/>
    <w:rsid w:val="005E48CF"/>
    <w:rsid w:val="005E760D"/>
    <w:rsid w:val="005F37EF"/>
    <w:rsid w:val="00607115"/>
    <w:rsid w:val="00612540"/>
    <w:rsid w:val="00617547"/>
    <w:rsid w:val="00620549"/>
    <w:rsid w:val="00625DF5"/>
    <w:rsid w:val="0063637B"/>
    <w:rsid w:val="006424AE"/>
    <w:rsid w:val="006479F5"/>
    <w:rsid w:val="00657552"/>
    <w:rsid w:val="0066397F"/>
    <w:rsid w:val="006673D7"/>
    <w:rsid w:val="00667ACB"/>
    <w:rsid w:val="006703D1"/>
    <w:rsid w:val="00670E05"/>
    <w:rsid w:val="00672417"/>
    <w:rsid w:val="0067290A"/>
    <w:rsid w:val="006751B4"/>
    <w:rsid w:val="00681790"/>
    <w:rsid w:val="00687BEA"/>
    <w:rsid w:val="006A223C"/>
    <w:rsid w:val="006A2757"/>
    <w:rsid w:val="006A5D63"/>
    <w:rsid w:val="006B228B"/>
    <w:rsid w:val="006B79D2"/>
    <w:rsid w:val="006C2719"/>
    <w:rsid w:val="006C29EA"/>
    <w:rsid w:val="006C6801"/>
    <w:rsid w:val="006D146A"/>
    <w:rsid w:val="006D1DED"/>
    <w:rsid w:val="006D4272"/>
    <w:rsid w:val="006D520C"/>
    <w:rsid w:val="006D6B5F"/>
    <w:rsid w:val="006D6D62"/>
    <w:rsid w:val="006D76B3"/>
    <w:rsid w:val="006E5F8A"/>
    <w:rsid w:val="006E7B02"/>
    <w:rsid w:val="00701AD4"/>
    <w:rsid w:val="00705DCA"/>
    <w:rsid w:val="00705F10"/>
    <w:rsid w:val="00707E18"/>
    <w:rsid w:val="00710B0F"/>
    <w:rsid w:val="007163D7"/>
    <w:rsid w:val="00717B89"/>
    <w:rsid w:val="00723620"/>
    <w:rsid w:val="00723DAA"/>
    <w:rsid w:val="007274D6"/>
    <w:rsid w:val="00735931"/>
    <w:rsid w:val="007367C9"/>
    <w:rsid w:val="00743748"/>
    <w:rsid w:val="00752422"/>
    <w:rsid w:val="00752CDD"/>
    <w:rsid w:val="00754D76"/>
    <w:rsid w:val="00755DBB"/>
    <w:rsid w:val="0076097D"/>
    <w:rsid w:val="00765BD8"/>
    <w:rsid w:val="00776468"/>
    <w:rsid w:val="00781A19"/>
    <w:rsid w:val="00782B25"/>
    <w:rsid w:val="00784D1A"/>
    <w:rsid w:val="00786BC4"/>
    <w:rsid w:val="007909FF"/>
    <w:rsid w:val="00790FF9"/>
    <w:rsid w:val="007A0241"/>
    <w:rsid w:val="007A42AD"/>
    <w:rsid w:val="007B21CF"/>
    <w:rsid w:val="007B25A0"/>
    <w:rsid w:val="007C0609"/>
    <w:rsid w:val="007C448E"/>
    <w:rsid w:val="007C47FF"/>
    <w:rsid w:val="007C4BEF"/>
    <w:rsid w:val="007C603C"/>
    <w:rsid w:val="007D4EEA"/>
    <w:rsid w:val="007E4E89"/>
    <w:rsid w:val="007F2C60"/>
    <w:rsid w:val="007F692F"/>
    <w:rsid w:val="008021E9"/>
    <w:rsid w:val="00803128"/>
    <w:rsid w:val="00804ADD"/>
    <w:rsid w:val="00805594"/>
    <w:rsid w:val="00810453"/>
    <w:rsid w:val="008113CE"/>
    <w:rsid w:val="0081159C"/>
    <w:rsid w:val="00816239"/>
    <w:rsid w:val="00816DF9"/>
    <w:rsid w:val="008246F1"/>
    <w:rsid w:val="00836173"/>
    <w:rsid w:val="00843274"/>
    <w:rsid w:val="00844512"/>
    <w:rsid w:val="00847325"/>
    <w:rsid w:val="00853472"/>
    <w:rsid w:val="00860227"/>
    <w:rsid w:val="00861659"/>
    <w:rsid w:val="008737CE"/>
    <w:rsid w:val="00877051"/>
    <w:rsid w:val="00877F2F"/>
    <w:rsid w:val="00881C46"/>
    <w:rsid w:val="00884035"/>
    <w:rsid w:val="008929D4"/>
    <w:rsid w:val="0089545D"/>
    <w:rsid w:val="008A4D05"/>
    <w:rsid w:val="008B19D2"/>
    <w:rsid w:val="008B579A"/>
    <w:rsid w:val="008B60B8"/>
    <w:rsid w:val="008C28B0"/>
    <w:rsid w:val="008C2948"/>
    <w:rsid w:val="008D1DD5"/>
    <w:rsid w:val="008D2426"/>
    <w:rsid w:val="008E62DD"/>
    <w:rsid w:val="008F6189"/>
    <w:rsid w:val="0090138C"/>
    <w:rsid w:val="00903E0C"/>
    <w:rsid w:val="0090666A"/>
    <w:rsid w:val="0091251B"/>
    <w:rsid w:val="00916442"/>
    <w:rsid w:val="00921FD5"/>
    <w:rsid w:val="00936FF6"/>
    <w:rsid w:val="00937288"/>
    <w:rsid w:val="00940C0F"/>
    <w:rsid w:val="009412EF"/>
    <w:rsid w:val="009428DB"/>
    <w:rsid w:val="00942D91"/>
    <w:rsid w:val="009502F7"/>
    <w:rsid w:val="00954570"/>
    <w:rsid w:val="00957076"/>
    <w:rsid w:val="00962CA8"/>
    <w:rsid w:val="009703C5"/>
    <w:rsid w:val="009748AE"/>
    <w:rsid w:val="00983378"/>
    <w:rsid w:val="0098649E"/>
    <w:rsid w:val="00990309"/>
    <w:rsid w:val="009962C7"/>
    <w:rsid w:val="009A22F7"/>
    <w:rsid w:val="009B7351"/>
    <w:rsid w:val="009C34BC"/>
    <w:rsid w:val="009D7C2D"/>
    <w:rsid w:val="009E562D"/>
    <w:rsid w:val="009F1571"/>
    <w:rsid w:val="009F283B"/>
    <w:rsid w:val="00A034CC"/>
    <w:rsid w:val="00A04F45"/>
    <w:rsid w:val="00A12336"/>
    <w:rsid w:val="00A20634"/>
    <w:rsid w:val="00A20863"/>
    <w:rsid w:val="00A229D4"/>
    <w:rsid w:val="00A251A8"/>
    <w:rsid w:val="00A26B5F"/>
    <w:rsid w:val="00A26B9E"/>
    <w:rsid w:val="00A27595"/>
    <w:rsid w:val="00A342D9"/>
    <w:rsid w:val="00A406AD"/>
    <w:rsid w:val="00A4511D"/>
    <w:rsid w:val="00A46F34"/>
    <w:rsid w:val="00A52D53"/>
    <w:rsid w:val="00A5365F"/>
    <w:rsid w:val="00A55E02"/>
    <w:rsid w:val="00A5656F"/>
    <w:rsid w:val="00A70C38"/>
    <w:rsid w:val="00A70D16"/>
    <w:rsid w:val="00A7216B"/>
    <w:rsid w:val="00A774CE"/>
    <w:rsid w:val="00A80573"/>
    <w:rsid w:val="00A83BA8"/>
    <w:rsid w:val="00A859EA"/>
    <w:rsid w:val="00A875A2"/>
    <w:rsid w:val="00A91507"/>
    <w:rsid w:val="00A92457"/>
    <w:rsid w:val="00A94933"/>
    <w:rsid w:val="00A94ECF"/>
    <w:rsid w:val="00A96F16"/>
    <w:rsid w:val="00AA0490"/>
    <w:rsid w:val="00AB0AC3"/>
    <w:rsid w:val="00AB1765"/>
    <w:rsid w:val="00AB7621"/>
    <w:rsid w:val="00AD5832"/>
    <w:rsid w:val="00AD5C28"/>
    <w:rsid w:val="00AE3DC2"/>
    <w:rsid w:val="00AE49AF"/>
    <w:rsid w:val="00AE7392"/>
    <w:rsid w:val="00AE7D7C"/>
    <w:rsid w:val="00AF601E"/>
    <w:rsid w:val="00B01A49"/>
    <w:rsid w:val="00B03ED8"/>
    <w:rsid w:val="00B072F5"/>
    <w:rsid w:val="00B074C1"/>
    <w:rsid w:val="00B114A0"/>
    <w:rsid w:val="00B15B32"/>
    <w:rsid w:val="00B1724D"/>
    <w:rsid w:val="00B20DE9"/>
    <w:rsid w:val="00B261FD"/>
    <w:rsid w:val="00B36C78"/>
    <w:rsid w:val="00B5167D"/>
    <w:rsid w:val="00B541C0"/>
    <w:rsid w:val="00B63A77"/>
    <w:rsid w:val="00B67991"/>
    <w:rsid w:val="00B750DE"/>
    <w:rsid w:val="00B82647"/>
    <w:rsid w:val="00B8368B"/>
    <w:rsid w:val="00B85738"/>
    <w:rsid w:val="00BA6375"/>
    <w:rsid w:val="00BB5015"/>
    <w:rsid w:val="00BB76D6"/>
    <w:rsid w:val="00BC70CD"/>
    <w:rsid w:val="00BC7E38"/>
    <w:rsid w:val="00BD356D"/>
    <w:rsid w:val="00BD3EE9"/>
    <w:rsid w:val="00BE5096"/>
    <w:rsid w:val="00BF7385"/>
    <w:rsid w:val="00C00077"/>
    <w:rsid w:val="00C029BA"/>
    <w:rsid w:val="00C0633F"/>
    <w:rsid w:val="00C07988"/>
    <w:rsid w:val="00C10F6D"/>
    <w:rsid w:val="00C12AAC"/>
    <w:rsid w:val="00C20079"/>
    <w:rsid w:val="00C22341"/>
    <w:rsid w:val="00C3559C"/>
    <w:rsid w:val="00C35E22"/>
    <w:rsid w:val="00C36044"/>
    <w:rsid w:val="00C4018F"/>
    <w:rsid w:val="00C45C01"/>
    <w:rsid w:val="00C5052F"/>
    <w:rsid w:val="00C55234"/>
    <w:rsid w:val="00C63641"/>
    <w:rsid w:val="00C654F9"/>
    <w:rsid w:val="00C6620D"/>
    <w:rsid w:val="00C7683D"/>
    <w:rsid w:val="00C82157"/>
    <w:rsid w:val="00C87269"/>
    <w:rsid w:val="00C9567E"/>
    <w:rsid w:val="00CA30D6"/>
    <w:rsid w:val="00CB145E"/>
    <w:rsid w:val="00CC11B5"/>
    <w:rsid w:val="00CC1794"/>
    <w:rsid w:val="00CC475E"/>
    <w:rsid w:val="00CD2E15"/>
    <w:rsid w:val="00CE068A"/>
    <w:rsid w:val="00CE0882"/>
    <w:rsid w:val="00CE0BE2"/>
    <w:rsid w:val="00CE2850"/>
    <w:rsid w:val="00CE39F9"/>
    <w:rsid w:val="00CE5309"/>
    <w:rsid w:val="00CF0F03"/>
    <w:rsid w:val="00CF20D5"/>
    <w:rsid w:val="00CF506D"/>
    <w:rsid w:val="00CF75BC"/>
    <w:rsid w:val="00D05436"/>
    <w:rsid w:val="00D07DF3"/>
    <w:rsid w:val="00D170F7"/>
    <w:rsid w:val="00D207A6"/>
    <w:rsid w:val="00D24FB7"/>
    <w:rsid w:val="00D26488"/>
    <w:rsid w:val="00D27413"/>
    <w:rsid w:val="00D333B6"/>
    <w:rsid w:val="00D33493"/>
    <w:rsid w:val="00D33DC1"/>
    <w:rsid w:val="00D36B19"/>
    <w:rsid w:val="00D539F0"/>
    <w:rsid w:val="00D5619B"/>
    <w:rsid w:val="00D57D88"/>
    <w:rsid w:val="00D600CD"/>
    <w:rsid w:val="00D63DD6"/>
    <w:rsid w:val="00D80CAE"/>
    <w:rsid w:val="00D8151C"/>
    <w:rsid w:val="00D81E61"/>
    <w:rsid w:val="00D820C3"/>
    <w:rsid w:val="00D84EBB"/>
    <w:rsid w:val="00D917A2"/>
    <w:rsid w:val="00D942A0"/>
    <w:rsid w:val="00D960FB"/>
    <w:rsid w:val="00DA02DA"/>
    <w:rsid w:val="00DA336B"/>
    <w:rsid w:val="00DB1231"/>
    <w:rsid w:val="00DB7DA8"/>
    <w:rsid w:val="00DC1CF8"/>
    <w:rsid w:val="00DC25B5"/>
    <w:rsid w:val="00DC4E36"/>
    <w:rsid w:val="00DD08C0"/>
    <w:rsid w:val="00DD15BB"/>
    <w:rsid w:val="00DD6ADC"/>
    <w:rsid w:val="00DD6DF3"/>
    <w:rsid w:val="00DE1052"/>
    <w:rsid w:val="00DE7D91"/>
    <w:rsid w:val="00DF501C"/>
    <w:rsid w:val="00E023C6"/>
    <w:rsid w:val="00E15895"/>
    <w:rsid w:val="00E158EC"/>
    <w:rsid w:val="00E17643"/>
    <w:rsid w:val="00E22FBE"/>
    <w:rsid w:val="00E25807"/>
    <w:rsid w:val="00E33AEA"/>
    <w:rsid w:val="00E3646C"/>
    <w:rsid w:val="00E43731"/>
    <w:rsid w:val="00E475D2"/>
    <w:rsid w:val="00E50715"/>
    <w:rsid w:val="00E52322"/>
    <w:rsid w:val="00E56418"/>
    <w:rsid w:val="00E64AC5"/>
    <w:rsid w:val="00E70746"/>
    <w:rsid w:val="00E70E13"/>
    <w:rsid w:val="00E73E3B"/>
    <w:rsid w:val="00E76911"/>
    <w:rsid w:val="00E83137"/>
    <w:rsid w:val="00E84A46"/>
    <w:rsid w:val="00E86E8F"/>
    <w:rsid w:val="00E93439"/>
    <w:rsid w:val="00E934F5"/>
    <w:rsid w:val="00EA6E8A"/>
    <w:rsid w:val="00EA75B6"/>
    <w:rsid w:val="00EB26D2"/>
    <w:rsid w:val="00EB4EBE"/>
    <w:rsid w:val="00EC2476"/>
    <w:rsid w:val="00EC3275"/>
    <w:rsid w:val="00EC5E0A"/>
    <w:rsid w:val="00EC6332"/>
    <w:rsid w:val="00EE0832"/>
    <w:rsid w:val="00EE16C5"/>
    <w:rsid w:val="00EE2863"/>
    <w:rsid w:val="00EF36ED"/>
    <w:rsid w:val="00F136B8"/>
    <w:rsid w:val="00F1386B"/>
    <w:rsid w:val="00F16A18"/>
    <w:rsid w:val="00F17A64"/>
    <w:rsid w:val="00F2038C"/>
    <w:rsid w:val="00F20BBE"/>
    <w:rsid w:val="00F3214D"/>
    <w:rsid w:val="00F4516E"/>
    <w:rsid w:val="00F51C70"/>
    <w:rsid w:val="00F636A5"/>
    <w:rsid w:val="00F6490C"/>
    <w:rsid w:val="00F65918"/>
    <w:rsid w:val="00F7493E"/>
    <w:rsid w:val="00F74AC4"/>
    <w:rsid w:val="00F759EB"/>
    <w:rsid w:val="00F8075F"/>
    <w:rsid w:val="00F816E4"/>
    <w:rsid w:val="00F87B66"/>
    <w:rsid w:val="00F94C24"/>
    <w:rsid w:val="00F95F58"/>
    <w:rsid w:val="00F97209"/>
    <w:rsid w:val="00FA2E3A"/>
    <w:rsid w:val="00FA41F6"/>
    <w:rsid w:val="00FB727D"/>
    <w:rsid w:val="00FB76AC"/>
    <w:rsid w:val="00FC6B54"/>
    <w:rsid w:val="00FD23D8"/>
    <w:rsid w:val="00FD75D2"/>
    <w:rsid w:val="00FE7C4B"/>
    <w:rsid w:val="00FF0497"/>
    <w:rsid w:val="00FF0FC4"/>
    <w:rsid w:val="00FF4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7E3358"/>
  <w15:docId w15:val="{49B418BA-574D-46C7-8B60-773C30D1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sz w:val="22"/>
      <w:lang w:val="en-CA" w:eastAsia="en-US"/>
    </w:rPr>
  </w:style>
  <w:style w:type="paragraph" w:styleId="Heading1">
    <w:name w:val="heading 1"/>
    <w:basedOn w:val="Normal"/>
    <w:next w:val="Normal"/>
    <w:qFormat/>
    <w:pPr>
      <w:keepNext/>
      <w:outlineLvl w:val="0"/>
    </w:pPr>
    <w:rPr>
      <w:i/>
      <w:color w:val="auto"/>
      <w:sz w:val="20"/>
    </w:rPr>
  </w:style>
  <w:style w:type="paragraph" w:styleId="Heading2">
    <w:name w:val="heading 2"/>
    <w:basedOn w:val="Normal"/>
    <w:next w:val="Normal"/>
    <w:qFormat/>
    <w:pPr>
      <w:keepNext/>
      <w:jc w:val="center"/>
      <w:outlineLvl w:val="1"/>
    </w:pPr>
    <w:rPr>
      <w:b/>
      <w:color w:val="auto"/>
      <w:sz w:val="24"/>
      <w:u w:val="single"/>
    </w:rPr>
  </w:style>
  <w:style w:type="paragraph" w:styleId="Heading3">
    <w:name w:val="heading 3"/>
    <w:basedOn w:val="Normal"/>
    <w:next w:val="Normal"/>
    <w:link w:val="Heading3Char"/>
    <w:qFormat/>
    <w:pPr>
      <w:keepNext/>
      <w:outlineLvl w:val="2"/>
    </w:pPr>
    <w:rPr>
      <w:b/>
      <w:color w:val="auto"/>
    </w:rPr>
  </w:style>
  <w:style w:type="paragraph" w:styleId="Heading4">
    <w:name w:val="heading 4"/>
    <w:basedOn w:val="Normal"/>
    <w:next w:val="Normal"/>
    <w:qFormat/>
    <w:pPr>
      <w:keepNext/>
      <w:outlineLvl w:val="3"/>
    </w:pPr>
    <w:rPr>
      <w:b/>
      <w:color w:val="auto"/>
      <w:u w:val="single"/>
    </w:rPr>
  </w:style>
  <w:style w:type="paragraph" w:styleId="Heading5">
    <w:name w:val="heading 5"/>
    <w:basedOn w:val="Normal"/>
    <w:next w:val="Normal"/>
    <w:qFormat/>
    <w:pPr>
      <w:keepNext/>
      <w:spacing w:line="360" w:lineRule="auto"/>
      <w:jc w:val="center"/>
      <w:outlineLvl w:val="4"/>
    </w:pPr>
    <w:rPr>
      <w:b/>
      <w:sz w:val="24"/>
    </w:rPr>
  </w:style>
  <w:style w:type="paragraph" w:styleId="Heading6">
    <w:name w:val="heading 6"/>
    <w:basedOn w:val="Normal"/>
    <w:next w:val="Normal"/>
    <w:qFormat/>
    <w:pPr>
      <w:keepNext/>
      <w:spacing w:line="360" w:lineRule="auto"/>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color w:val="auto"/>
      <w:sz w:val="28"/>
    </w:rPr>
  </w:style>
  <w:style w:type="character" w:styleId="Hyperlink">
    <w:name w:val="Hyperlink"/>
    <w:rPr>
      <w:color w:val="0000FF"/>
      <w:u w:val="single"/>
    </w:rPr>
  </w:style>
  <w:style w:type="paragraph" w:styleId="BodyText2">
    <w:name w:val="Body Text 2"/>
    <w:basedOn w:val="Normal"/>
    <w:semiHidden/>
    <w:pPr>
      <w:jc w:val="both"/>
    </w:pPr>
    <w:rPr>
      <w:rFonts w:ascii="Times New Roman" w:hAnsi="Times New Roman"/>
      <w:b/>
      <w:i/>
      <w:color w:val="auto"/>
      <w:sz w:val="28"/>
    </w:rPr>
  </w:style>
  <w:style w:type="paragraph" w:styleId="BodyText3">
    <w:name w:val="Body Text 3"/>
    <w:basedOn w:val="Normal"/>
    <w:semiHidden/>
    <w:pPr>
      <w:jc w:val="both"/>
    </w:pPr>
    <w:rPr>
      <w:rFonts w:ascii="Palatino" w:hAnsi="Palatino"/>
      <w:color w:val="auto"/>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
    <w:pPr>
      <w:spacing w:before="100" w:beforeAutospacing="1" w:after="100" w:afterAutospacing="1"/>
    </w:pPr>
    <w:rPr>
      <w:rFonts w:eastAsia="Arial Unicode MS" w:cs="Arial"/>
      <w:color w:val="auto"/>
      <w:sz w:val="19"/>
      <w:szCs w:val="19"/>
      <w:lang w:val="en-AU"/>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Heading3Char">
    <w:name w:val="Heading 3 Char"/>
    <w:link w:val="Heading3"/>
    <w:rsid w:val="007F692F"/>
    <w:rPr>
      <w:rFonts w:ascii="Arial" w:hAnsi="Arial"/>
      <w:b/>
      <w:sz w:val="22"/>
      <w:lang w:eastAsia="en-US"/>
    </w:rPr>
  </w:style>
  <w:style w:type="character" w:styleId="FollowedHyperlink">
    <w:name w:val="FollowedHyperlink"/>
    <w:uiPriority w:val="99"/>
    <w:semiHidden/>
    <w:unhideWhenUsed/>
    <w:rsid w:val="002062F3"/>
    <w:rPr>
      <w:color w:val="800080"/>
      <w:u w:val="single"/>
    </w:rPr>
  </w:style>
  <w:style w:type="table" w:styleId="TableGrid">
    <w:name w:val="Table Grid"/>
    <w:basedOn w:val="TableNormal"/>
    <w:uiPriority w:val="59"/>
    <w:rsid w:val="00B541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07DD7"/>
  </w:style>
  <w:style w:type="character" w:styleId="Strong">
    <w:name w:val="Strong"/>
    <w:uiPriority w:val="22"/>
    <w:qFormat/>
    <w:rsid w:val="00207DD7"/>
    <w:rPr>
      <w:b/>
      <w:bCs/>
    </w:rPr>
  </w:style>
  <w:style w:type="paragraph" w:customStyle="1" w:styleId="paragraphe-standard">
    <w:name w:val="paragraphe-standard"/>
    <w:basedOn w:val="Normal"/>
    <w:uiPriority w:val="99"/>
    <w:semiHidden/>
    <w:rsid w:val="007E4E89"/>
    <w:pPr>
      <w:spacing w:before="100" w:beforeAutospacing="1" w:after="100" w:afterAutospacing="1"/>
    </w:pPr>
    <w:rPr>
      <w:rFonts w:ascii="Times New Roman" w:hAnsi="Times New Roman"/>
      <w:color w:val="auto"/>
      <w:sz w:val="18"/>
      <w:szCs w:val="18"/>
      <w:lang w:val="fr-FR" w:eastAsia="fr-FR"/>
    </w:rPr>
  </w:style>
  <w:style w:type="paragraph" w:styleId="ListParagraph">
    <w:name w:val="List Paragraph"/>
    <w:basedOn w:val="Normal"/>
    <w:uiPriority w:val="34"/>
    <w:qFormat/>
    <w:rsid w:val="00A774CE"/>
    <w:pPr>
      <w:ind w:left="720"/>
      <w:contextualSpacing/>
    </w:pPr>
    <w:rPr>
      <w:rFonts w:ascii="Zurich BT" w:hAnsi="Zurich BT"/>
      <w:color w:val="auto"/>
      <w:sz w:val="20"/>
      <w:lang w:val="en-GB"/>
    </w:rPr>
  </w:style>
  <w:style w:type="character" w:styleId="CommentReference">
    <w:name w:val="annotation reference"/>
    <w:basedOn w:val="DefaultParagraphFont"/>
    <w:uiPriority w:val="99"/>
    <w:semiHidden/>
    <w:unhideWhenUsed/>
    <w:rsid w:val="006A2757"/>
    <w:rPr>
      <w:sz w:val="16"/>
      <w:szCs w:val="16"/>
    </w:rPr>
  </w:style>
  <w:style w:type="paragraph" w:styleId="CommentText">
    <w:name w:val="annotation text"/>
    <w:basedOn w:val="Normal"/>
    <w:link w:val="CommentTextChar"/>
    <w:uiPriority w:val="99"/>
    <w:semiHidden/>
    <w:unhideWhenUsed/>
    <w:rsid w:val="006A2757"/>
    <w:rPr>
      <w:sz w:val="20"/>
    </w:rPr>
  </w:style>
  <w:style w:type="character" w:customStyle="1" w:styleId="CommentTextChar">
    <w:name w:val="Comment Text Char"/>
    <w:basedOn w:val="DefaultParagraphFont"/>
    <w:link w:val="CommentText"/>
    <w:uiPriority w:val="99"/>
    <w:semiHidden/>
    <w:rsid w:val="006A2757"/>
    <w:rPr>
      <w:rFonts w:ascii="Arial" w:hAnsi="Arial"/>
      <w:color w:val="000000"/>
      <w:lang w:val="en-CA" w:eastAsia="en-US"/>
    </w:rPr>
  </w:style>
  <w:style w:type="paragraph" w:styleId="CommentSubject">
    <w:name w:val="annotation subject"/>
    <w:basedOn w:val="CommentText"/>
    <w:next w:val="CommentText"/>
    <w:link w:val="CommentSubjectChar"/>
    <w:uiPriority w:val="99"/>
    <w:semiHidden/>
    <w:unhideWhenUsed/>
    <w:rsid w:val="006A2757"/>
    <w:rPr>
      <w:b/>
      <w:bCs/>
    </w:rPr>
  </w:style>
  <w:style w:type="character" w:customStyle="1" w:styleId="CommentSubjectChar">
    <w:name w:val="Comment Subject Char"/>
    <w:basedOn w:val="CommentTextChar"/>
    <w:link w:val="CommentSubject"/>
    <w:uiPriority w:val="99"/>
    <w:semiHidden/>
    <w:rsid w:val="006A2757"/>
    <w:rPr>
      <w:rFonts w:ascii="Arial" w:hAnsi="Arial"/>
      <w:b/>
      <w:bCs/>
      <w:color w:val="000000"/>
      <w:lang w:val="en-CA" w:eastAsia="en-US"/>
    </w:rPr>
  </w:style>
  <w:style w:type="character" w:customStyle="1" w:styleId="UnresolvedMention1">
    <w:name w:val="Unresolved Mention1"/>
    <w:basedOn w:val="DefaultParagraphFont"/>
    <w:uiPriority w:val="99"/>
    <w:semiHidden/>
    <w:unhideWhenUsed/>
    <w:rsid w:val="000C5124"/>
    <w:rPr>
      <w:color w:val="808080"/>
      <w:shd w:val="clear" w:color="auto" w:fill="E6E6E6"/>
    </w:rPr>
  </w:style>
  <w:style w:type="character" w:customStyle="1" w:styleId="UnresolvedMention2">
    <w:name w:val="Unresolved Mention2"/>
    <w:basedOn w:val="DefaultParagraphFont"/>
    <w:uiPriority w:val="99"/>
    <w:semiHidden/>
    <w:unhideWhenUsed/>
    <w:rsid w:val="00C87269"/>
    <w:rPr>
      <w:color w:val="808080"/>
      <w:shd w:val="clear" w:color="auto" w:fill="E6E6E6"/>
    </w:rPr>
  </w:style>
  <w:style w:type="paragraph" w:styleId="FootnoteText">
    <w:name w:val="footnote text"/>
    <w:basedOn w:val="Normal"/>
    <w:link w:val="FootnoteTextChar"/>
    <w:uiPriority w:val="99"/>
    <w:semiHidden/>
    <w:unhideWhenUsed/>
    <w:rsid w:val="00B15B32"/>
    <w:rPr>
      <w:sz w:val="20"/>
    </w:rPr>
  </w:style>
  <w:style w:type="character" w:customStyle="1" w:styleId="FootnoteTextChar">
    <w:name w:val="Footnote Text Char"/>
    <w:basedOn w:val="DefaultParagraphFont"/>
    <w:link w:val="FootnoteText"/>
    <w:uiPriority w:val="99"/>
    <w:semiHidden/>
    <w:rsid w:val="00B15B32"/>
    <w:rPr>
      <w:rFonts w:ascii="Arial" w:hAnsi="Arial"/>
      <w:color w:val="000000"/>
      <w:lang w:val="en-CA" w:eastAsia="en-US"/>
    </w:rPr>
  </w:style>
  <w:style w:type="character" w:styleId="FootnoteReference">
    <w:name w:val="footnote reference"/>
    <w:basedOn w:val="DefaultParagraphFont"/>
    <w:uiPriority w:val="99"/>
    <w:semiHidden/>
    <w:unhideWhenUsed/>
    <w:rsid w:val="00B15B32"/>
    <w:rPr>
      <w:vertAlign w:val="superscript"/>
    </w:rPr>
  </w:style>
  <w:style w:type="paragraph" w:styleId="Revision">
    <w:name w:val="Revision"/>
    <w:hidden/>
    <w:uiPriority w:val="99"/>
    <w:semiHidden/>
    <w:rsid w:val="008B579A"/>
    <w:rPr>
      <w:rFonts w:ascii="Arial" w:hAnsi="Arial"/>
      <w:color w:val="000000"/>
      <w:sz w:val="22"/>
      <w:lang w:val="en-CA" w:eastAsia="en-US"/>
    </w:rPr>
  </w:style>
  <w:style w:type="character" w:customStyle="1" w:styleId="tbg">
    <w:name w:val="tbg"/>
    <w:basedOn w:val="DefaultParagraphFont"/>
    <w:rsid w:val="00D9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5438">
      <w:bodyDiv w:val="1"/>
      <w:marLeft w:val="0"/>
      <w:marRight w:val="0"/>
      <w:marTop w:val="0"/>
      <w:marBottom w:val="0"/>
      <w:divBdr>
        <w:top w:val="none" w:sz="0" w:space="0" w:color="auto"/>
        <w:left w:val="none" w:sz="0" w:space="0" w:color="auto"/>
        <w:bottom w:val="none" w:sz="0" w:space="0" w:color="auto"/>
        <w:right w:val="none" w:sz="0" w:space="0" w:color="auto"/>
      </w:divBdr>
    </w:div>
    <w:div w:id="322465428">
      <w:bodyDiv w:val="1"/>
      <w:marLeft w:val="0"/>
      <w:marRight w:val="0"/>
      <w:marTop w:val="0"/>
      <w:marBottom w:val="0"/>
      <w:divBdr>
        <w:top w:val="none" w:sz="0" w:space="0" w:color="auto"/>
        <w:left w:val="none" w:sz="0" w:space="0" w:color="auto"/>
        <w:bottom w:val="none" w:sz="0" w:space="0" w:color="auto"/>
        <w:right w:val="none" w:sz="0" w:space="0" w:color="auto"/>
      </w:divBdr>
      <w:divsChild>
        <w:div w:id="1706515102">
          <w:marLeft w:val="0"/>
          <w:marRight w:val="0"/>
          <w:marTop w:val="0"/>
          <w:marBottom w:val="0"/>
          <w:divBdr>
            <w:top w:val="none" w:sz="0" w:space="0" w:color="auto"/>
            <w:left w:val="none" w:sz="0" w:space="0" w:color="auto"/>
            <w:bottom w:val="none" w:sz="0" w:space="0" w:color="auto"/>
            <w:right w:val="none" w:sz="0" w:space="0" w:color="auto"/>
          </w:divBdr>
        </w:div>
      </w:divsChild>
    </w:div>
    <w:div w:id="346713222">
      <w:bodyDiv w:val="1"/>
      <w:marLeft w:val="0"/>
      <w:marRight w:val="0"/>
      <w:marTop w:val="0"/>
      <w:marBottom w:val="0"/>
      <w:divBdr>
        <w:top w:val="none" w:sz="0" w:space="0" w:color="auto"/>
        <w:left w:val="none" w:sz="0" w:space="0" w:color="auto"/>
        <w:bottom w:val="none" w:sz="0" w:space="0" w:color="auto"/>
        <w:right w:val="none" w:sz="0" w:space="0" w:color="auto"/>
      </w:divBdr>
    </w:div>
    <w:div w:id="442650841">
      <w:bodyDiv w:val="1"/>
      <w:marLeft w:val="0"/>
      <w:marRight w:val="0"/>
      <w:marTop w:val="0"/>
      <w:marBottom w:val="0"/>
      <w:divBdr>
        <w:top w:val="none" w:sz="0" w:space="0" w:color="auto"/>
        <w:left w:val="none" w:sz="0" w:space="0" w:color="auto"/>
        <w:bottom w:val="none" w:sz="0" w:space="0" w:color="auto"/>
        <w:right w:val="none" w:sz="0" w:space="0" w:color="auto"/>
      </w:divBdr>
    </w:div>
    <w:div w:id="595208990">
      <w:bodyDiv w:val="1"/>
      <w:marLeft w:val="0"/>
      <w:marRight w:val="0"/>
      <w:marTop w:val="0"/>
      <w:marBottom w:val="0"/>
      <w:divBdr>
        <w:top w:val="none" w:sz="0" w:space="0" w:color="auto"/>
        <w:left w:val="none" w:sz="0" w:space="0" w:color="auto"/>
        <w:bottom w:val="none" w:sz="0" w:space="0" w:color="auto"/>
        <w:right w:val="none" w:sz="0" w:space="0" w:color="auto"/>
      </w:divBdr>
    </w:div>
    <w:div w:id="629554847">
      <w:bodyDiv w:val="1"/>
      <w:marLeft w:val="0"/>
      <w:marRight w:val="0"/>
      <w:marTop w:val="0"/>
      <w:marBottom w:val="0"/>
      <w:divBdr>
        <w:top w:val="none" w:sz="0" w:space="0" w:color="auto"/>
        <w:left w:val="none" w:sz="0" w:space="0" w:color="auto"/>
        <w:bottom w:val="none" w:sz="0" w:space="0" w:color="auto"/>
        <w:right w:val="none" w:sz="0" w:space="0" w:color="auto"/>
      </w:divBdr>
      <w:divsChild>
        <w:div w:id="1547372462">
          <w:marLeft w:val="0"/>
          <w:marRight w:val="0"/>
          <w:marTop w:val="0"/>
          <w:marBottom w:val="0"/>
          <w:divBdr>
            <w:top w:val="none" w:sz="0" w:space="0" w:color="auto"/>
            <w:left w:val="none" w:sz="0" w:space="0" w:color="auto"/>
            <w:bottom w:val="none" w:sz="0" w:space="0" w:color="auto"/>
            <w:right w:val="none" w:sz="0" w:space="0" w:color="auto"/>
          </w:divBdr>
        </w:div>
      </w:divsChild>
    </w:div>
    <w:div w:id="826097471">
      <w:bodyDiv w:val="1"/>
      <w:marLeft w:val="0"/>
      <w:marRight w:val="0"/>
      <w:marTop w:val="0"/>
      <w:marBottom w:val="0"/>
      <w:divBdr>
        <w:top w:val="none" w:sz="0" w:space="0" w:color="auto"/>
        <w:left w:val="none" w:sz="0" w:space="0" w:color="auto"/>
        <w:bottom w:val="none" w:sz="0" w:space="0" w:color="auto"/>
        <w:right w:val="none" w:sz="0" w:space="0" w:color="auto"/>
      </w:divBdr>
    </w:div>
    <w:div w:id="1250893704">
      <w:bodyDiv w:val="1"/>
      <w:marLeft w:val="0"/>
      <w:marRight w:val="0"/>
      <w:marTop w:val="0"/>
      <w:marBottom w:val="0"/>
      <w:divBdr>
        <w:top w:val="none" w:sz="0" w:space="0" w:color="auto"/>
        <w:left w:val="none" w:sz="0" w:space="0" w:color="auto"/>
        <w:bottom w:val="none" w:sz="0" w:space="0" w:color="auto"/>
        <w:right w:val="none" w:sz="0" w:space="0" w:color="auto"/>
      </w:divBdr>
    </w:div>
    <w:div w:id="1267807821">
      <w:bodyDiv w:val="1"/>
      <w:marLeft w:val="0"/>
      <w:marRight w:val="0"/>
      <w:marTop w:val="0"/>
      <w:marBottom w:val="0"/>
      <w:divBdr>
        <w:top w:val="none" w:sz="0" w:space="0" w:color="auto"/>
        <w:left w:val="none" w:sz="0" w:space="0" w:color="auto"/>
        <w:bottom w:val="none" w:sz="0" w:space="0" w:color="auto"/>
        <w:right w:val="none" w:sz="0" w:space="0" w:color="auto"/>
      </w:divBdr>
    </w:div>
    <w:div w:id="1571577138">
      <w:bodyDiv w:val="1"/>
      <w:marLeft w:val="0"/>
      <w:marRight w:val="0"/>
      <w:marTop w:val="0"/>
      <w:marBottom w:val="0"/>
      <w:divBdr>
        <w:top w:val="none" w:sz="0" w:space="0" w:color="auto"/>
        <w:left w:val="none" w:sz="0" w:space="0" w:color="auto"/>
        <w:bottom w:val="none" w:sz="0" w:space="0" w:color="auto"/>
        <w:right w:val="none" w:sz="0" w:space="0" w:color="auto"/>
      </w:divBdr>
    </w:div>
    <w:div w:id="1595934448">
      <w:bodyDiv w:val="1"/>
      <w:marLeft w:val="0"/>
      <w:marRight w:val="0"/>
      <w:marTop w:val="0"/>
      <w:marBottom w:val="0"/>
      <w:divBdr>
        <w:top w:val="none" w:sz="0" w:space="0" w:color="auto"/>
        <w:left w:val="none" w:sz="0" w:space="0" w:color="auto"/>
        <w:bottom w:val="none" w:sz="0" w:space="0" w:color="auto"/>
        <w:right w:val="none" w:sz="0" w:space="0" w:color="auto"/>
      </w:divBdr>
    </w:div>
    <w:div w:id="1697540331">
      <w:bodyDiv w:val="1"/>
      <w:marLeft w:val="0"/>
      <w:marRight w:val="0"/>
      <w:marTop w:val="0"/>
      <w:marBottom w:val="0"/>
      <w:divBdr>
        <w:top w:val="none" w:sz="0" w:space="0" w:color="auto"/>
        <w:left w:val="none" w:sz="0" w:space="0" w:color="auto"/>
        <w:bottom w:val="none" w:sz="0" w:space="0" w:color="auto"/>
        <w:right w:val="none" w:sz="0" w:space="0" w:color="auto"/>
      </w:divBdr>
    </w:div>
    <w:div w:id="1816800608">
      <w:bodyDiv w:val="1"/>
      <w:marLeft w:val="0"/>
      <w:marRight w:val="0"/>
      <w:marTop w:val="0"/>
      <w:marBottom w:val="0"/>
      <w:divBdr>
        <w:top w:val="none" w:sz="0" w:space="0" w:color="auto"/>
        <w:left w:val="none" w:sz="0" w:space="0" w:color="auto"/>
        <w:bottom w:val="none" w:sz="0" w:space="0" w:color="auto"/>
        <w:right w:val="none" w:sz="0" w:space="0" w:color="auto"/>
      </w:divBdr>
      <w:divsChild>
        <w:div w:id="39019915">
          <w:marLeft w:val="0"/>
          <w:marRight w:val="0"/>
          <w:marTop w:val="0"/>
          <w:marBottom w:val="0"/>
          <w:divBdr>
            <w:top w:val="none" w:sz="0" w:space="0" w:color="auto"/>
            <w:left w:val="none" w:sz="0" w:space="0" w:color="auto"/>
            <w:bottom w:val="none" w:sz="0" w:space="0" w:color="auto"/>
            <w:right w:val="none" w:sz="0" w:space="0" w:color="auto"/>
          </w:divBdr>
        </w:div>
        <w:div w:id="64452801">
          <w:marLeft w:val="0"/>
          <w:marRight w:val="0"/>
          <w:marTop w:val="0"/>
          <w:marBottom w:val="0"/>
          <w:divBdr>
            <w:top w:val="none" w:sz="0" w:space="0" w:color="auto"/>
            <w:left w:val="none" w:sz="0" w:space="0" w:color="auto"/>
            <w:bottom w:val="none" w:sz="0" w:space="0" w:color="auto"/>
            <w:right w:val="none" w:sz="0" w:space="0" w:color="auto"/>
          </w:divBdr>
        </w:div>
        <w:div w:id="94329834">
          <w:marLeft w:val="0"/>
          <w:marRight w:val="0"/>
          <w:marTop w:val="0"/>
          <w:marBottom w:val="0"/>
          <w:divBdr>
            <w:top w:val="none" w:sz="0" w:space="0" w:color="auto"/>
            <w:left w:val="none" w:sz="0" w:space="0" w:color="auto"/>
            <w:bottom w:val="none" w:sz="0" w:space="0" w:color="auto"/>
            <w:right w:val="none" w:sz="0" w:space="0" w:color="auto"/>
          </w:divBdr>
        </w:div>
        <w:div w:id="171923241">
          <w:marLeft w:val="0"/>
          <w:marRight w:val="0"/>
          <w:marTop w:val="0"/>
          <w:marBottom w:val="0"/>
          <w:divBdr>
            <w:top w:val="none" w:sz="0" w:space="0" w:color="auto"/>
            <w:left w:val="none" w:sz="0" w:space="0" w:color="auto"/>
            <w:bottom w:val="none" w:sz="0" w:space="0" w:color="auto"/>
            <w:right w:val="none" w:sz="0" w:space="0" w:color="auto"/>
          </w:divBdr>
        </w:div>
        <w:div w:id="228807827">
          <w:marLeft w:val="0"/>
          <w:marRight w:val="0"/>
          <w:marTop w:val="0"/>
          <w:marBottom w:val="0"/>
          <w:divBdr>
            <w:top w:val="none" w:sz="0" w:space="0" w:color="auto"/>
            <w:left w:val="none" w:sz="0" w:space="0" w:color="auto"/>
            <w:bottom w:val="none" w:sz="0" w:space="0" w:color="auto"/>
            <w:right w:val="none" w:sz="0" w:space="0" w:color="auto"/>
          </w:divBdr>
        </w:div>
        <w:div w:id="435247794">
          <w:marLeft w:val="0"/>
          <w:marRight w:val="0"/>
          <w:marTop w:val="0"/>
          <w:marBottom w:val="0"/>
          <w:divBdr>
            <w:top w:val="none" w:sz="0" w:space="0" w:color="auto"/>
            <w:left w:val="none" w:sz="0" w:space="0" w:color="auto"/>
            <w:bottom w:val="none" w:sz="0" w:space="0" w:color="auto"/>
            <w:right w:val="none" w:sz="0" w:space="0" w:color="auto"/>
          </w:divBdr>
        </w:div>
        <w:div w:id="450366538">
          <w:marLeft w:val="0"/>
          <w:marRight w:val="0"/>
          <w:marTop w:val="0"/>
          <w:marBottom w:val="0"/>
          <w:divBdr>
            <w:top w:val="none" w:sz="0" w:space="0" w:color="auto"/>
            <w:left w:val="none" w:sz="0" w:space="0" w:color="auto"/>
            <w:bottom w:val="none" w:sz="0" w:space="0" w:color="auto"/>
            <w:right w:val="none" w:sz="0" w:space="0" w:color="auto"/>
          </w:divBdr>
        </w:div>
        <w:div w:id="487552721">
          <w:marLeft w:val="0"/>
          <w:marRight w:val="0"/>
          <w:marTop w:val="0"/>
          <w:marBottom w:val="0"/>
          <w:divBdr>
            <w:top w:val="none" w:sz="0" w:space="0" w:color="auto"/>
            <w:left w:val="none" w:sz="0" w:space="0" w:color="auto"/>
            <w:bottom w:val="none" w:sz="0" w:space="0" w:color="auto"/>
            <w:right w:val="none" w:sz="0" w:space="0" w:color="auto"/>
          </w:divBdr>
        </w:div>
        <w:div w:id="619843155">
          <w:marLeft w:val="0"/>
          <w:marRight w:val="0"/>
          <w:marTop w:val="0"/>
          <w:marBottom w:val="0"/>
          <w:divBdr>
            <w:top w:val="none" w:sz="0" w:space="0" w:color="auto"/>
            <w:left w:val="none" w:sz="0" w:space="0" w:color="auto"/>
            <w:bottom w:val="none" w:sz="0" w:space="0" w:color="auto"/>
            <w:right w:val="none" w:sz="0" w:space="0" w:color="auto"/>
          </w:divBdr>
        </w:div>
        <w:div w:id="641538970">
          <w:marLeft w:val="0"/>
          <w:marRight w:val="0"/>
          <w:marTop w:val="0"/>
          <w:marBottom w:val="0"/>
          <w:divBdr>
            <w:top w:val="none" w:sz="0" w:space="0" w:color="auto"/>
            <w:left w:val="none" w:sz="0" w:space="0" w:color="auto"/>
            <w:bottom w:val="none" w:sz="0" w:space="0" w:color="auto"/>
            <w:right w:val="none" w:sz="0" w:space="0" w:color="auto"/>
          </w:divBdr>
        </w:div>
        <w:div w:id="845705046">
          <w:marLeft w:val="0"/>
          <w:marRight w:val="0"/>
          <w:marTop w:val="0"/>
          <w:marBottom w:val="0"/>
          <w:divBdr>
            <w:top w:val="none" w:sz="0" w:space="0" w:color="auto"/>
            <w:left w:val="none" w:sz="0" w:space="0" w:color="auto"/>
            <w:bottom w:val="none" w:sz="0" w:space="0" w:color="auto"/>
            <w:right w:val="none" w:sz="0" w:space="0" w:color="auto"/>
          </w:divBdr>
        </w:div>
        <w:div w:id="975648959">
          <w:marLeft w:val="0"/>
          <w:marRight w:val="0"/>
          <w:marTop w:val="0"/>
          <w:marBottom w:val="0"/>
          <w:divBdr>
            <w:top w:val="none" w:sz="0" w:space="0" w:color="auto"/>
            <w:left w:val="none" w:sz="0" w:space="0" w:color="auto"/>
            <w:bottom w:val="none" w:sz="0" w:space="0" w:color="auto"/>
            <w:right w:val="none" w:sz="0" w:space="0" w:color="auto"/>
          </w:divBdr>
        </w:div>
        <w:div w:id="1048068251">
          <w:marLeft w:val="0"/>
          <w:marRight w:val="0"/>
          <w:marTop w:val="0"/>
          <w:marBottom w:val="0"/>
          <w:divBdr>
            <w:top w:val="none" w:sz="0" w:space="0" w:color="auto"/>
            <w:left w:val="none" w:sz="0" w:space="0" w:color="auto"/>
            <w:bottom w:val="none" w:sz="0" w:space="0" w:color="auto"/>
            <w:right w:val="none" w:sz="0" w:space="0" w:color="auto"/>
          </w:divBdr>
        </w:div>
        <w:div w:id="1146777061">
          <w:marLeft w:val="0"/>
          <w:marRight w:val="0"/>
          <w:marTop w:val="0"/>
          <w:marBottom w:val="0"/>
          <w:divBdr>
            <w:top w:val="none" w:sz="0" w:space="0" w:color="auto"/>
            <w:left w:val="none" w:sz="0" w:space="0" w:color="auto"/>
            <w:bottom w:val="none" w:sz="0" w:space="0" w:color="auto"/>
            <w:right w:val="none" w:sz="0" w:space="0" w:color="auto"/>
          </w:divBdr>
        </w:div>
        <w:div w:id="1293905513">
          <w:marLeft w:val="0"/>
          <w:marRight w:val="0"/>
          <w:marTop w:val="0"/>
          <w:marBottom w:val="0"/>
          <w:divBdr>
            <w:top w:val="none" w:sz="0" w:space="0" w:color="auto"/>
            <w:left w:val="none" w:sz="0" w:space="0" w:color="auto"/>
            <w:bottom w:val="none" w:sz="0" w:space="0" w:color="auto"/>
            <w:right w:val="none" w:sz="0" w:space="0" w:color="auto"/>
          </w:divBdr>
        </w:div>
        <w:div w:id="1375034342">
          <w:marLeft w:val="0"/>
          <w:marRight w:val="0"/>
          <w:marTop w:val="0"/>
          <w:marBottom w:val="0"/>
          <w:divBdr>
            <w:top w:val="none" w:sz="0" w:space="0" w:color="auto"/>
            <w:left w:val="none" w:sz="0" w:space="0" w:color="auto"/>
            <w:bottom w:val="none" w:sz="0" w:space="0" w:color="auto"/>
            <w:right w:val="none" w:sz="0" w:space="0" w:color="auto"/>
          </w:divBdr>
        </w:div>
        <w:div w:id="1425804535">
          <w:marLeft w:val="0"/>
          <w:marRight w:val="0"/>
          <w:marTop w:val="0"/>
          <w:marBottom w:val="0"/>
          <w:divBdr>
            <w:top w:val="none" w:sz="0" w:space="0" w:color="auto"/>
            <w:left w:val="none" w:sz="0" w:space="0" w:color="auto"/>
            <w:bottom w:val="none" w:sz="0" w:space="0" w:color="auto"/>
            <w:right w:val="none" w:sz="0" w:space="0" w:color="auto"/>
          </w:divBdr>
        </w:div>
        <w:div w:id="1436750010">
          <w:marLeft w:val="0"/>
          <w:marRight w:val="0"/>
          <w:marTop w:val="0"/>
          <w:marBottom w:val="0"/>
          <w:divBdr>
            <w:top w:val="none" w:sz="0" w:space="0" w:color="auto"/>
            <w:left w:val="none" w:sz="0" w:space="0" w:color="auto"/>
            <w:bottom w:val="none" w:sz="0" w:space="0" w:color="auto"/>
            <w:right w:val="none" w:sz="0" w:space="0" w:color="auto"/>
          </w:divBdr>
        </w:div>
        <w:div w:id="1489202214">
          <w:marLeft w:val="0"/>
          <w:marRight w:val="0"/>
          <w:marTop w:val="0"/>
          <w:marBottom w:val="0"/>
          <w:divBdr>
            <w:top w:val="none" w:sz="0" w:space="0" w:color="auto"/>
            <w:left w:val="none" w:sz="0" w:space="0" w:color="auto"/>
            <w:bottom w:val="none" w:sz="0" w:space="0" w:color="auto"/>
            <w:right w:val="none" w:sz="0" w:space="0" w:color="auto"/>
          </w:divBdr>
        </w:div>
        <w:div w:id="1635259920">
          <w:marLeft w:val="0"/>
          <w:marRight w:val="0"/>
          <w:marTop w:val="0"/>
          <w:marBottom w:val="0"/>
          <w:divBdr>
            <w:top w:val="none" w:sz="0" w:space="0" w:color="auto"/>
            <w:left w:val="none" w:sz="0" w:space="0" w:color="auto"/>
            <w:bottom w:val="none" w:sz="0" w:space="0" w:color="auto"/>
            <w:right w:val="none" w:sz="0" w:space="0" w:color="auto"/>
          </w:divBdr>
        </w:div>
        <w:div w:id="1693534279">
          <w:marLeft w:val="0"/>
          <w:marRight w:val="0"/>
          <w:marTop w:val="0"/>
          <w:marBottom w:val="0"/>
          <w:divBdr>
            <w:top w:val="none" w:sz="0" w:space="0" w:color="auto"/>
            <w:left w:val="none" w:sz="0" w:space="0" w:color="auto"/>
            <w:bottom w:val="none" w:sz="0" w:space="0" w:color="auto"/>
            <w:right w:val="none" w:sz="0" w:space="0" w:color="auto"/>
          </w:divBdr>
        </w:div>
        <w:div w:id="1752241622">
          <w:marLeft w:val="0"/>
          <w:marRight w:val="0"/>
          <w:marTop w:val="0"/>
          <w:marBottom w:val="0"/>
          <w:divBdr>
            <w:top w:val="none" w:sz="0" w:space="0" w:color="auto"/>
            <w:left w:val="none" w:sz="0" w:space="0" w:color="auto"/>
            <w:bottom w:val="none" w:sz="0" w:space="0" w:color="auto"/>
            <w:right w:val="none" w:sz="0" w:space="0" w:color="auto"/>
          </w:divBdr>
        </w:div>
        <w:div w:id="1861359928">
          <w:marLeft w:val="0"/>
          <w:marRight w:val="0"/>
          <w:marTop w:val="0"/>
          <w:marBottom w:val="0"/>
          <w:divBdr>
            <w:top w:val="none" w:sz="0" w:space="0" w:color="auto"/>
            <w:left w:val="none" w:sz="0" w:space="0" w:color="auto"/>
            <w:bottom w:val="none" w:sz="0" w:space="0" w:color="auto"/>
            <w:right w:val="none" w:sz="0" w:space="0" w:color="auto"/>
          </w:divBdr>
        </w:div>
        <w:div w:id="1934971181">
          <w:marLeft w:val="0"/>
          <w:marRight w:val="0"/>
          <w:marTop w:val="0"/>
          <w:marBottom w:val="0"/>
          <w:divBdr>
            <w:top w:val="none" w:sz="0" w:space="0" w:color="auto"/>
            <w:left w:val="none" w:sz="0" w:space="0" w:color="auto"/>
            <w:bottom w:val="none" w:sz="0" w:space="0" w:color="auto"/>
            <w:right w:val="none" w:sz="0" w:space="0" w:color="auto"/>
          </w:divBdr>
        </w:div>
        <w:div w:id="2043086999">
          <w:marLeft w:val="0"/>
          <w:marRight w:val="0"/>
          <w:marTop w:val="0"/>
          <w:marBottom w:val="0"/>
          <w:divBdr>
            <w:top w:val="none" w:sz="0" w:space="0" w:color="auto"/>
            <w:left w:val="none" w:sz="0" w:space="0" w:color="auto"/>
            <w:bottom w:val="none" w:sz="0" w:space="0" w:color="auto"/>
            <w:right w:val="none" w:sz="0" w:space="0" w:color="auto"/>
          </w:divBdr>
        </w:div>
        <w:div w:id="2066296248">
          <w:marLeft w:val="0"/>
          <w:marRight w:val="0"/>
          <w:marTop w:val="0"/>
          <w:marBottom w:val="0"/>
          <w:divBdr>
            <w:top w:val="none" w:sz="0" w:space="0" w:color="auto"/>
            <w:left w:val="none" w:sz="0" w:space="0" w:color="auto"/>
            <w:bottom w:val="none" w:sz="0" w:space="0" w:color="auto"/>
            <w:right w:val="none" w:sz="0" w:space="0" w:color="auto"/>
          </w:divBdr>
        </w:div>
        <w:div w:id="2094889302">
          <w:marLeft w:val="0"/>
          <w:marRight w:val="0"/>
          <w:marTop w:val="0"/>
          <w:marBottom w:val="0"/>
          <w:divBdr>
            <w:top w:val="none" w:sz="0" w:space="0" w:color="auto"/>
            <w:left w:val="none" w:sz="0" w:space="0" w:color="auto"/>
            <w:bottom w:val="none" w:sz="0" w:space="0" w:color="auto"/>
            <w:right w:val="none" w:sz="0" w:space="0" w:color="auto"/>
          </w:divBdr>
        </w:div>
      </w:divsChild>
    </w:div>
    <w:div w:id="1850169219">
      <w:bodyDiv w:val="1"/>
      <w:marLeft w:val="0"/>
      <w:marRight w:val="0"/>
      <w:marTop w:val="0"/>
      <w:marBottom w:val="0"/>
      <w:divBdr>
        <w:top w:val="none" w:sz="0" w:space="0" w:color="auto"/>
        <w:left w:val="none" w:sz="0" w:space="0" w:color="auto"/>
        <w:bottom w:val="none" w:sz="0" w:space="0" w:color="auto"/>
        <w:right w:val="none" w:sz="0" w:space="0" w:color="auto"/>
      </w:divBdr>
    </w:div>
    <w:div w:id="1945964794">
      <w:bodyDiv w:val="1"/>
      <w:marLeft w:val="0"/>
      <w:marRight w:val="0"/>
      <w:marTop w:val="0"/>
      <w:marBottom w:val="0"/>
      <w:divBdr>
        <w:top w:val="none" w:sz="0" w:space="0" w:color="auto"/>
        <w:left w:val="none" w:sz="0" w:space="0" w:color="auto"/>
        <w:bottom w:val="none" w:sz="0" w:space="0" w:color="auto"/>
        <w:right w:val="none" w:sz="0" w:space="0" w:color="auto"/>
      </w:divBdr>
    </w:div>
    <w:div w:id="2120292134">
      <w:bodyDiv w:val="1"/>
      <w:marLeft w:val="0"/>
      <w:marRight w:val="0"/>
      <w:marTop w:val="0"/>
      <w:marBottom w:val="0"/>
      <w:divBdr>
        <w:top w:val="none" w:sz="0" w:space="0" w:color="auto"/>
        <w:left w:val="none" w:sz="0" w:space="0" w:color="auto"/>
        <w:bottom w:val="none" w:sz="0" w:space="0" w:color="auto"/>
        <w:right w:val="none" w:sz="0" w:space="0" w:color="auto"/>
      </w:divBdr>
    </w:div>
    <w:div w:id="21334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colliers.com/collect/click.aspx?u=/G1GTPto3VUlLccYk7E2sKUfM57pNy/osPFE4iN9n99RfiTw1UMcgWZfl5yaNHaLziiVpBEYxTtUjtVoVvASwUtL4vdbGKOPCqP1duAuxM8PU2JDTc0xaZ6y23/ZrR37L0Lb2BLdGBk=&amp;rh=ff0045909e76588a253c93679d4a9183dba8fb9b" TargetMode="External"/><Relationship Id="rId13" Type="http://schemas.openxmlformats.org/officeDocument/2006/relationships/hyperlink" Target="http://www.linkedin.com/company/colliers-international-poland" TargetMode="External"/><Relationship Id="rId18" Type="http://schemas.openxmlformats.org/officeDocument/2006/relationships/hyperlink" Target="http://instagram.com/colliers_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lgorzata.ciechanowska@colliers.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plus.google.com/u/0/+ColliersInternationalPolandSpzooWarszawa/pos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ylwia.skubiszewska@colli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lliers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ColliersPL" TargetMode="External"/><Relationship Id="rId23" Type="http://schemas.openxmlformats.org/officeDocument/2006/relationships/footer" Target="footer1.xml"/><Relationship Id="rId10" Type="http://schemas.openxmlformats.org/officeDocument/2006/relationships/hyperlink" Target="http://www.colliers.p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olliers.com/en-pl/poland" TargetMode="External"/><Relationship Id="rId14" Type="http://schemas.openxmlformats.org/officeDocument/2006/relationships/image" Target="media/image2.jpe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dieS\Local%20Settings\Temporary%20Internet%20Files\OLK191\Press%20Release%20Template%20Letter%204%205%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33DC-F0F8-45E6-B6A5-9135B26C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Letter 4 5 09.dot</Template>
  <TotalTime>2</TotalTime>
  <Pages>3</Pages>
  <Words>1319</Words>
  <Characters>7962</Characters>
  <Application>Microsoft Office Word</Application>
  <DocSecurity>0</DocSecurity>
  <Lines>66</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PRESS RELEASE</vt:lpstr>
      <vt:lpstr>PRESS RELEASE</vt:lpstr>
    </vt:vector>
  </TitlesOfParts>
  <Company>Colliers Jardine (Hong Kong)</Company>
  <LinksUpToDate>false</LinksUpToDate>
  <CharactersWithSpaces>9263</CharactersWithSpaces>
  <SharedDoc>false</SharedDoc>
  <HLinks>
    <vt:vector size="30" baseType="variant">
      <vt:variant>
        <vt:i4>1572985</vt:i4>
      </vt:variant>
      <vt:variant>
        <vt:i4>12</vt:i4>
      </vt:variant>
      <vt:variant>
        <vt:i4>0</vt:i4>
      </vt:variant>
      <vt:variant>
        <vt:i4>5</vt:i4>
      </vt:variant>
      <vt:variant>
        <vt:lpwstr>mailto:Lauren.Joselyn@colliers.com</vt:lpwstr>
      </vt:variant>
      <vt:variant>
        <vt:lpwstr/>
      </vt:variant>
      <vt:variant>
        <vt:i4>6815760</vt:i4>
      </vt:variant>
      <vt:variant>
        <vt:i4>9</vt:i4>
      </vt:variant>
      <vt:variant>
        <vt:i4>0</vt:i4>
      </vt:variant>
      <vt:variant>
        <vt:i4>5</vt:i4>
      </vt:variant>
      <vt:variant>
        <vt:lpwstr>mailto:Suzy.Simpson@colliers.com</vt:lpwstr>
      </vt:variant>
      <vt:variant>
        <vt:lpwstr/>
      </vt:variant>
      <vt:variant>
        <vt:i4>5832743</vt:i4>
      </vt:variant>
      <vt:variant>
        <vt:i4>6</vt:i4>
      </vt:variant>
      <vt:variant>
        <vt:i4>0</vt:i4>
      </vt:variant>
      <vt:variant>
        <vt:i4>5</vt:i4>
      </vt:variant>
      <vt:variant>
        <vt:lpwstr>mailto:Charlotte.Williams@colliers.com</vt:lpwstr>
      </vt:variant>
      <vt:variant>
        <vt:lpwstr/>
      </vt:variant>
      <vt:variant>
        <vt:i4>4653138</vt:i4>
      </vt:variant>
      <vt:variant>
        <vt:i4>3</vt:i4>
      </vt:variant>
      <vt:variant>
        <vt:i4>0</vt:i4>
      </vt:variant>
      <vt:variant>
        <vt:i4>5</vt:i4>
      </vt:variant>
      <vt:variant>
        <vt:lpwstr>http://www.colliers.com/news</vt:lpwstr>
      </vt:variant>
      <vt:variant>
        <vt:lpwstr/>
      </vt:variant>
      <vt:variant>
        <vt:i4>5308491</vt:i4>
      </vt:variant>
      <vt:variant>
        <vt:i4>0</vt:i4>
      </vt:variant>
      <vt:variant>
        <vt:i4>0</vt:i4>
      </vt:variant>
      <vt:variant>
        <vt:i4>5</vt:i4>
      </vt:variant>
      <vt:variant>
        <vt:lpwstr>http://www.colliers.com/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Santos, Michelle</dc:creator>
  <cp:lastModifiedBy>Skubiszewska, Sylwia</cp:lastModifiedBy>
  <cp:revision>2</cp:revision>
  <cp:lastPrinted>2010-11-05T14:43:00Z</cp:lastPrinted>
  <dcterms:created xsi:type="dcterms:W3CDTF">2019-01-24T14:44:00Z</dcterms:created>
  <dcterms:modified xsi:type="dcterms:W3CDTF">2019-01-25T10:38:00Z</dcterms:modified>
</cp:coreProperties>
</file>