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0749A">
      <w:pPr>
        <w:pStyle w:val="Tekstpodstawowy"/>
        <w:shd w:val="clear" w:color="auto" w:fill="FFFFFF"/>
        <w:spacing w:after="0"/>
        <w:jc w:val="center"/>
        <w:rPr>
          <w:b/>
          <w:color w:val="000000"/>
          <w:sz w:val="28"/>
          <w:lang w:val="en-GB"/>
        </w:rPr>
      </w:pPr>
      <w:bookmarkStart w:id="0" w:name="docs-internal-guid-aa2271bd-7fff-3c35-e2"/>
      <w:bookmarkEnd w:id="0"/>
      <w:r>
        <w:rPr>
          <w:noProof/>
          <w:color w:val="000000"/>
          <w:lang w:val="en-GB"/>
        </w:rPr>
        <w:drawing>
          <wp:inline distT="0" distB="0" distL="0" distR="0">
            <wp:extent cx="499110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778E">
      <w:pPr>
        <w:pStyle w:val="Tekstpodstawowy"/>
        <w:spacing w:after="0" w:line="324" w:lineRule="auto"/>
        <w:jc w:val="center"/>
        <w:rPr>
          <w:b/>
          <w:color w:val="000000"/>
          <w:sz w:val="28"/>
          <w:lang w:val="en-GB"/>
        </w:rPr>
      </w:pPr>
      <w:r>
        <w:rPr>
          <w:b/>
          <w:color w:val="000000"/>
          <w:sz w:val="28"/>
          <w:lang w:val="en-GB"/>
        </w:rPr>
        <w:t>A Baltic scale event of urban culture and eSports festivities “HyperTown RIX” returns to exhibition centre “Ķīpsala” with a doubled magnitude</w:t>
      </w:r>
    </w:p>
    <w:p w:rsidR="00000000" w:rsidRDefault="000B778E">
      <w:pPr>
        <w:pStyle w:val="Tekstpodstawowy"/>
        <w:spacing w:after="0" w:line="324" w:lineRule="auto"/>
        <w:jc w:val="center"/>
        <w:rPr>
          <w:b/>
          <w:color w:val="000000"/>
          <w:sz w:val="28"/>
          <w:lang w:val="en-GB"/>
        </w:rPr>
      </w:pPr>
    </w:p>
    <w:p w:rsidR="00000000" w:rsidRDefault="000B778E">
      <w:pPr>
        <w:pStyle w:val="Tekstpodstawowy"/>
        <w:spacing w:after="0" w:line="324" w:lineRule="auto"/>
        <w:jc w:val="both"/>
        <w:rPr>
          <w:b/>
          <w:color w:val="000000"/>
          <w:sz w:val="20"/>
          <w:lang w:val="en-GB"/>
        </w:rPr>
      </w:pPr>
      <w:r>
        <w:rPr>
          <w:b/>
          <w:color w:val="000000"/>
          <w:sz w:val="20"/>
          <w:lang w:val="en-GB"/>
        </w:rPr>
        <w:t>After a magnitude of events held in both Latvia and Estonia, the festival HyperTown is returning to Riga, bring</w:t>
      </w:r>
      <w:r>
        <w:rPr>
          <w:b/>
          <w:color w:val="000000"/>
          <w:sz w:val="20"/>
          <w:lang w:val="en-GB"/>
        </w:rPr>
        <w:t>ing the visitors even more entertainment and relaxation opportunities for the entire family! For the visitors entertainment the festival brings high-end computers, robots, VR games, simulators and other exciting adventures provided by the partners of the f</w:t>
      </w:r>
      <w:r>
        <w:rPr>
          <w:b/>
          <w:color w:val="000000"/>
          <w:sz w:val="20"/>
          <w:lang w:val="en-GB"/>
        </w:rPr>
        <w:t>estival, along with the finals of the Season 3 of Baltic eSports League, Cosplay showcases with most popular fantasy characters, and, for the first time in the events history – the biggest LAN Party in the Baltic States. The festival is a two-day event, ta</w:t>
      </w:r>
      <w:r>
        <w:rPr>
          <w:b/>
          <w:color w:val="000000"/>
          <w:sz w:val="20"/>
          <w:lang w:val="en-GB"/>
        </w:rPr>
        <w:t>king place on June 1 and 2, 2019, in the exhibition centre “Ķīpsala”, and will occupy a space of more then 16000 m</w:t>
      </w:r>
      <w:r>
        <w:rPr>
          <w:b/>
          <w:color w:val="000000"/>
          <w:sz w:val="20"/>
          <w:vertAlign w:val="superscript"/>
          <w:lang w:val="en-GB"/>
        </w:rPr>
        <w:t>2</w:t>
      </w:r>
      <w:r>
        <w:rPr>
          <w:b/>
          <w:color w:val="000000"/>
          <w:sz w:val="20"/>
          <w:lang w:val="en-GB"/>
        </w:rPr>
        <w:t>.</w:t>
      </w:r>
    </w:p>
    <w:p w:rsidR="00000000" w:rsidRDefault="000B778E">
      <w:pPr>
        <w:pStyle w:val="Tekstpodstawowy"/>
        <w:spacing w:after="0" w:line="324" w:lineRule="auto"/>
        <w:jc w:val="both"/>
        <w:rPr>
          <w:rFonts w:ascii="Arial" w:hAnsi="Arial" w:cs="Arial"/>
          <w:color w:val="000000"/>
          <w:sz w:val="20"/>
          <w:lang w:val="en-GB"/>
        </w:rPr>
      </w:pPr>
      <w:r>
        <w:rPr>
          <w:b/>
          <w:color w:val="000000"/>
          <w:sz w:val="20"/>
          <w:lang w:val="en-GB"/>
        </w:rPr>
        <w:t>A variety of modern activities for the tastes of every visitor</w:t>
      </w:r>
    </w:p>
    <w:p w:rsidR="00000000" w:rsidRDefault="000B778E">
      <w:pPr>
        <w:pStyle w:val="Tekstpodstawowy"/>
        <w:spacing w:after="0" w:line="324" w:lineRule="auto"/>
        <w:jc w:val="both"/>
        <w:rPr>
          <w:b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>Because of the interactive adventures and practical testing of modern entert</w:t>
      </w:r>
      <w:r>
        <w:rPr>
          <w:rFonts w:ascii="Arial" w:hAnsi="Arial" w:cs="Arial"/>
          <w:color w:val="000000"/>
          <w:sz w:val="20"/>
          <w:lang w:val="en-GB"/>
        </w:rPr>
        <w:t>ainment technologies, the festival “HyperTown RIX” will bring an unforgettable experience for visitors of all ages. The visitors will have a chance to try their hands at controlling and even building a robot, as well as playing their favoured video game on</w:t>
      </w:r>
      <w:r>
        <w:rPr>
          <w:rFonts w:ascii="Arial" w:hAnsi="Arial" w:cs="Arial"/>
          <w:color w:val="000000"/>
          <w:sz w:val="20"/>
          <w:lang w:val="en-GB"/>
        </w:rPr>
        <w:t xml:space="preserve"> the highest resolution computers. In addition, they will be able to try out drift and racing simulators with built-in hydraulics, as well as laser tag games and other exciting activities.</w:t>
      </w:r>
    </w:p>
    <w:p w:rsidR="00000000" w:rsidRDefault="000B778E">
      <w:pPr>
        <w:pStyle w:val="Tekstpodstawowy"/>
        <w:spacing w:after="0" w:line="324" w:lineRule="auto"/>
        <w:jc w:val="both"/>
        <w:rPr>
          <w:color w:val="000000"/>
          <w:sz w:val="20"/>
          <w:lang w:val="en-GB"/>
        </w:rPr>
      </w:pPr>
      <w:r>
        <w:rPr>
          <w:b/>
          <w:color w:val="000000"/>
          <w:sz w:val="20"/>
          <w:lang w:val="en-GB"/>
        </w:rPr>
        <w:t xml:space="preserve">The best eSports professionals will battle it out in the finals of </w:t>
      </w:r>
      <w:r>
        <w:rPr>
          <w:b/>
          <w:color w:val="000000"/>
          <w:sz w:val="20"/>
          <w:lang w:val="en-GB"/>
        </w:rPr>
        <w:t>the Season 3 of Baltic eSports League (</w:t>
      </w:r>
      <w:hyperlink r:id="rId5" w:history="1">
        <w:r>
          <w:rPr>
            <w:rStyle w:val="Hipercze"/>
            <w:b/>
            <w:color w:val="1155CC"/>
            <w:sz w:val="20"/>
            <w:lang w:val="en-GB"/>
          </w:rPr>
          <w:t>www.besl.pro</w:t>
        </w:r>
      </w:hyperlink>
      <w:r>
        <w:rPr>
          <w:b/>
          <w:color w:val="000000"/>
          <w:sz w:val="20"/>
          <w:lang w:val="en-GB"/>
        </w:rPr>
        <w:t>) competitions</w:t>
      </w:r>
    </w:p>
    <w:p w:rsidR="00000000" w:rsidRDefault="000B778E">
      <w:pPr>
        <w:pStyle w:val="Tekstpodstawowy"/>
        <w:spacing w:after="0" w:line="324" w:lineRule="auto"/>
        <w:jc w:val="both"/>
        <w:rPr>
          <w:b/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t>The festival will also host the competitions of the top Baltic eSports league (BESL), and will welcome 12 best Baltic eSports teams, participating in the</w:t>
      </w:r>
      <w:r>
        <w:rPr>
          <w:color w:val="000000"/>
          <w:sz w:val="20"/>
          <w:lang w:val="en-GB"/>
        </w:rPr>
        <w:t xml:space="preserve"> game disciplines of “Counter Strike”, “Rocket League” and “PUBG” (Playerunknown’s Battlegrounds). In front of more then 1000 viewers, the finalists will fight their way towards receiving a winners trophy and a part of 15000 EUR prize money. Impressive lig</w:t>
      </w:r>
      <w:r>
        <w:rPr>
          <w:color w:val="000000"/>
          <w:sz w:val="20"/>
          <w:lang w:val="en-GB"/>
        </w:rPr>
        <w:t>ht and sound effect shows, as well as huge screens and professional eSports commentators will sustain a dynamic atmosphere throughout the entire competition.</w:t>
      </w:r>
    </w:p>
    <w:p w:rsidR="00000000" w:rsidRDefault="000B778E">
      <w:pPr>
        <w:pStyle w:val="Tekstpodstawowy"/>
        <w:spacing w:after="0" w:line="324" w:lineRule="auto"/>
        <w:jc w:val="both"/>
        <w:rPr>
          <w:color w:val="000000"/>
          <w:sz w:val="20"/>
          <w:lang w:val="en-GB"/>
        </w:rPr>
      </w:pPr>
      <w:r>
        <w:rPr>
          <w:b/>
          <w:color w:val="000000"/>
          <w:sz w:val="20"/>
          <w:lang w:val="en-GB"/>
        </w:rPr>
        <w:t>Cosplay – the showcase of the most popular fantasy characters</w:t>
      </w:r>
    </w:p>
    <w:p w:rsidR="00000000" w:rsidRDefault="000B778E">
      <w:pPr>
        <w:pStyle w:val="Tekstpodstawowy"/>
        <w:spacing w:after="0" w:line="324" w:lineRule="auto"/>
        <w:jc w:val="both"/>
        <w:rPr>
          <w:b/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t>Cosplay is a form of performing art,</w:t>
      </w:r>
      <w:r>
        <w:rPr>
          <w:color w:val="000000"/>
          <w:sz w:val="20"/>
          <w:lang w:val="en-GB"/>
        </w:rPr>
        <w:t xml:space="preserve"> where the artists themselves create costumes, allowing them to become characters from motion pictures, books or video games, and act out a scene from the visual life of their particular character. “HyperTown RIX” brings you the competition of more th</w:t>
      </w:r>
      <w:r>
        <w:rPr>
          <w:color w:val="000000"/>
          <w:sz w:val="20"/>
          <w:lang w:val="en-GB"/>
        </w:rPr>
        <w:t>a</w:t>
      </w:r>
      <w:r>
        <w:rPr>
          <w:color w:val="000000"/>
          <w:sz w:val="20"/>
          <w:lang w:val="en-GB"/>
        </w:rPr>
        <w:t>n 10</w:t>
      </w:r>
      <w:r>
        <w:rPr>
          <w:color w:val="000000"/>
          <w:sz w:val="20"/>
          <w:lang w:val="en-GB"/>
        </w:rPr>
        <w:t>0 artist from the Baltic States, who will try to impress the viewers of the show with colourful and eye-catching costumes and performances. The participants of this unusual fashion competition will be judged by worldwide popular Cosplay costume artists, wh</w:t>
      </w:r>
      <w:r>
        <w:rPr>
          <w:color w:val="000000"/>
          <w:sz w:val="20"/>
          <w:lang w:val="en-GB"/>
        </w:rPr>
        <w:t>o are the most respected champions of the field.</w:t>
      </w:r>
    </w:p>
    <w:p w:rsidR="00000000" w:rsidRDefault="000B778E">
      <w:pPr>
        <w:pStyle w:val="Tekstpodstawowy"/>
        <w:spacing w:after="0" w:line="324" w:lineRule="auto"/>
        <w:jc w:val="both"/>
        <w:rPr>
          <w:rFonts w:eastAsia="Liberation Serif" w:cs="Liberation Serif"/>
          <w:color w:val="000000"/>
          <w:lang w:val="en-GB"/>
        </w:rPr>
      </w:pPr>
      <w:r>
        <w:rPr>
          <w:b/>
          <w:color w:val="000000"/>
          <w:sz w:val="20"/>
          <w:lang w:val="en-GB"/>
        </w:rPr>
        <w:t>Most popular Latvian influencers</w:t>
      </w:r>
    </w:p>
    <w:p w:rsidR="00000000" w:rsidRDefault="000B778E">
      <w:pPr>
        <w:pStyle w:val="Tekstpodstawowy"/>
        <w:spacing w:after="0" w:line="324" w:lineRule="auto"/>
        <w:jc w:val="both"/>
        <w:rPr>
          <w:b/>
          <w:color w:val="000000"/>
          <w:sz w:val="20"/>
          <w:lang w:val="en-GB"/>
        </w:rPr>
      </w:pPr>
      <w:r>
        <w:rPr>
          <w:rFonts w:eastAsia="Liberation Serif" w:cs="Liberation Serif"/>
          <w:color w:val="000000"/>
          <w:lang w:val="en-GB"/>
        </w:rPr>
        <w:t>“</w:t>
      </w:r>
      <w:r>
        <w:rPr>
          <w:color w:val="000000"/>
          <w:sz w:val="20"/>
          <w:lang w:val="en-GB"/>
        </w:rPr>
        <w:t xml:space="preserve">HyperTown RIX” brings together the most popular Latvian influencers on YouTube, Instagram, Facebook and other social platforms, who will share their experiences on creating </w:t>
      </w:r>
      <w:r>
        <w:rPr>
          <w:color w:val="000000"/>
          <w:sz w:val="20"/>
          <w:lang w:val="en-GB"/>
        </w:rPr>
        <w:t>an interesting and successful internet materials. It will be a great opportunity to ask question, meet and take picture with your idols.</w:t>
      </w:r>
    </w:p>
    <w:p w:rsidR="00000000" w:rsidRDefault="000B778E">
      <w:pPr>
        <w:pStyle w:val="Tekstpodstawowy"/>
        <w:spacing w:after="0" w:line="324" w:lineRule="auto"/>
        <w:jc w:val="both"/>
        <w:rPr>
          <w:color w:val="000000"/>
          <w:sz w:val="20"/>
          <w:lang w:val="en-GB"/>
        </w:rPr>
      </w:pPr>
      <w:r>
        <w:rPr>
          <w:b/>
          <w:color w:val="000000"/>
          <w:sz w:val="20"/>
          <w:lang w:val="en-GB"/>
        </w:rPr>
        <w:t>LAN Party</w:t>
      </w:r>
    </w:p>
    <w:p w:rsidR="00000000" w:rsidRDefault="000B778E">
      <w:pPr>
        <w:pStyle w:val="Tekstpodstawowy"/>
        <w:spacing w:after="0" w:line="324" w:lineRule="auto"/>
        <w:jc w:val="both"/>
        <w:rPr>
          <w:lang w:val="en-GB"/>
        </w:rPr>
      </w:pPr>
      <w:r>
        <w:rPr>
          <w:color w:val="000000"/>
          <w:sz w:val="20"/>
          <w:lang w:val="en-GB"/>
        </w:rPr>
        <w:t>For 48 straight hours video game fans will have a chance to participate in the biggest BYO</w:t>
      </w:r>
      <w:r>
        <w:rPr>
          <w:color w:val="000000"/>
          <w:sz w:val="20"/>
          <w:lang w:val="en-GB"/>
        </w:rPr>
        <w:t>C</w:t>
      </w:r>
      <w:r>
        <w:rPr>
          <w:color w:val="000000"/>
          <w:sz w:val="20"/>
          <w:lang w:val="en-GB"/>
        </w:rPr>
        <w:t xml:space="preserve"> (Bring Your Own C</w:t>
      </w:r>
      <w:r>
        <w:rPr>
          <w:color w:val="000000"/>
          <w:sz w:val="20"/>
          <w:lang w:val="en-GB"/>
        </w:rPr>
        <w:t xml:space="preserve">omputer) LAN Party event in the Baltic States. Each participant can chose whether to play with friends or participate </w:t>
      </w:r>
      <w:r>
        <w:rPr>
          <w:color w:val="000000"/>
          <w:sz w:val="20"/>
          <w:lang w:val="en-GB"/>
        </w:rPr>
        <w:lastRenderedPageBreak/>
        <w:t>in different tournaments. The BYOC event will be held in a separate hall, capable of containing up to 800 players.</w:t>
      </w:r>
    </w:p>
    <w:p w:rsidR="00000000" w:rsidRDefault="000B778E">
      <w:pPr>
        <w:pStyle w:val="Tekstpodstawowy"/>
        <w:spacing w:after="0" w:line="324" w:lineRule="auto"/>
        <w:jc w:val="both"/>
        <w:rPr>
          <w:lang w:val="en-GB"/>
        </w:rPr>
      </w:pPr>
    </w:p>
    <w:p w:rsidR="00000000" w:rsidRDefault="000B778E">
      <w:pPr>
        <w:pStyle w:val="Tekstpodstawowy"/>
        <w:spacing w:after="0" w:line="324" w:lineRule="auto"/>
        <w:jc w:val="both"/>
        <w:rPr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t>Baltic scale urban cul</w:t>
      </w:r>
      <w:r>
        <w:rPr>
          <w:color w:val="000000"/>
          <w:sz w:val="20"/>
          <w:lang w:val="en-GB"/>
        </w:rPr>
        <w:t xml:space="preserve">ture and eSports festival “HyperTown RIX” will take place from June 1 to June 2, 2019 in the exhibition centre “Ķīpsala”. The entry tickets are available for pre-purchase online until March 17,2019 on web site </w:t>
      </w:r>
      <w:hyperlink r:id="rId6" w:history="1">
        <w:r>
          <w:rPr>
            <w:rStyle w:val="Hipercze"/>
            <w:color w:val="1155CC"/>
            <w:sz w:val="20"/>
            <w:lang w:val="en-GB"/>
          </w:rPr>
          <w:t>www.h</w:t>
        </w:r>
        <w:r>
          <w:rPr>
            <w:rStyle w:val="Hipercze"/>
            <w:color w:val="1155CC"/>
            <w:sz w:val="20"/>
            <w:lang w:val="en-GB"/>
          </w:rPr>
          <w:t>ypertown.pro</w:t>
        </w:r>
      </w:hyperlink>
      <w:r>
        <w:rPr>
          <w:color w:val="000000"/>
          <w:sz w:val="20"/>
          <w:lang w:val="en-GB"/>
        </w:rPr>
        <w:t>. The price for pre-purchased two-day tickets is 20,00 EUR, and 16,00 EUR for pre-purchased one-day tickets. Friend, acquaintance and work associate ticket prices are especially friendly. The festival is brought to you in cooperation with Heli</w:t>
      </w:r>
      <w:r>
        <w:rPr>
          <w:color w:val="000000"/>
          <w:sz w:val="20"/>
          <w:lang w:val="en-GB"/>
        </w:rPr>
        <w:t>o, Acer, GameInsight, Samsung, Swedbank, Red Bull and Goexanimo.</w:t>
      </w:r>
    </w:p>
    <w:p w:rsidR="00A426B4" w:rsidRDefault="00A426B4">
      <w:pPr>
        <w:pStyle w:val="Tekstpodstawowy"/>
        <w:spacing w:after="0" w:line="324" w:lineRule="auto"/>
        <w:jc w:val="both"/>
        <w:rPr>
          <w:lang w:val="en-GB"/>
        </w:rPr>
      </w:pPr>
    </w:p>
    <w:p w:rsidR="0050749A" w:rsidRPr="0050749A" w:rsidRDefault="0050749A">
      <w:pPr>
        <w:pStyle w:val="Tekstpodstawowy"/>
        <w:spacing w:after="0" w:line="324" w:lineRule="auto"/>
        <w:jc w:val="both"/>
        <w:rPr>
          <w:sz w:val="20"/>
          <w:szCs w:val="20"/>
          <w:lang w:val="en-GB"/>
        </w:rPr>
      </w:pPr>
      <w:r w:rsidRPr="0050749A">
        <w:rPr>
          <w:rFonts w:hint="eastAsia"/>
          <w:i/>
          <w:sz w:val="20"/>
          <w:szCs w:val="20"/>
          <w:lang w:val="en-GB"/>
        </w:rPr>
        <w:t>“</w:t>
      </w:r>
      <w:r w:rsidRPr="0050749A">
        <w:rPr>
          <w:rFonts w:hint="eastAsia"/>
          <w:i/>
          <w:sz w:val="20"/>
          <w:szCs w:val="20"/>
          <w:lang w:val="en-GB"/>
        </w:rPr>
        <w:t>Participation in large gaming conventions is one of the best ways to reach a wide range of players. Furthermore, it is a great opportunity to present high-end equipment for virtual game fans and give players opportunities to test devices before buying them. In addition, tha</w:t>
      </w:r>
      <w:bookmarkStart w:id="1" w:name="_GoBack"/>
      <w:bookmarkEnd w:id="1"/>
      <w:r w:rsidRPr="0050749A">
        <w:rPr>
          <w:rFonts w:hint="eastAsia"/>
          <w:i/>
          <w:sz w:val="20"/>
          <w:szCs w:val="20"/>
          <w:lang w:val="en-GB"/>
        </w:rPr>
        <w:t>nks to such events as HyperTown RIX, we can put our top machines into the hands of players.</w:t>
      </w:r>
      <w:r w:rsidRPr="0050749A">
        <w:rPr>
          <w:rFonts w:hint="eastAsia"/>
          <w:i/>
          <w:sz w:val="20"/>
          <w:szCs w:val="20"/>
          <w:lang w:val="en-GB"/>
        </w:rPr>
        <w:t>”</w:t>
      </w:r>
      <w:r w:rsidRPr="0050749A">
        <w:rPr>
          <w:rFonts w:hint="eastAsia"/>
          <w:sz w:val="20"/>
          <w:szCs w:val="20"/>
          <w:lang w:val="en-GB"/>
        </w:rPr>
        <w:t xml:space="preserve"> - Ingars Folkmanis, Business Manager at Acer.</w:t>
      </w:r>
    </w:p>
    <w:p w:rsidR="00000000" w:rsidRDefault="000B778E">
      <w:pPr>
        <w:pStyle w:val="Tekstpodstawowy"/>
        <w:spacing w:after="0" w:line="324" w:lineRule="auto"/>
        <w:jc w:val="both"/>
        <w:rPr>
          <w:lang w:val="en-GB"/>
        </w:rPr>
      </w:pPr>
    </w:p>
    <w:p w:rsidR="00000000" w:rsidRDefault="000B778E">
      <w:pPr>
        <w:pStyle w:val="Tekstpodstawowy"/>
        <w:spacing w:after="0" w:line="324" w:lineRule="auto"/>
        <w:jc w:val="both"/>
        <w:rPr>
          <w:rFonts w:eastAsia="Liberation Serif" w:cs="Liberation Serif"/>
          <w:color w:val="000000"/>
          <w:lang w:val="en-GB"/>
        </w:rPr>
      </w:pPr>
      <w:r>
        <w:rPr>
          <w:rFonts w:ascii="Arial" w:hAnsi="Arial" w:cs="Arial"/>
          <w:color w:val="000000"/>
          <w:sz w:val="20"/>
          <w:u w:val="single"/>
          <w:lang w:val="en-GB"/>
        </w:rPr>
        <w:t>Information prepared and distributed by</w:t>
      </w:r>
    </w:p>
    <w:p w:rsidR="00000000" w:rsidRDefault="000B778E">
      <w:pPr>
        <w:pStyle w:val="Tekstpodstawowy"/>
        <w:spacing w:after="0" w:line="324" w:lineRule="auto"/>
        <w:jc w:val="both"/>
        <w:rPr>
          <w:b/>
          <w:color w:val="000000"/>
          <w:sz w:val="18"/>
          <w:lang w:val="en-GB"/>
        </w:rPr>
      </w:pPr>
      <w:r>
        <w:rPr>
          <w:rFonts w:eastAsia="Liberation Serif" w:cs="Liberation Serif"/>
          <w:color w:val="000000"/>
          <w:lang w:val="en-GB"/>
        </w:rPr>
        <w:t>“</w:t>
      </w:r>
      <w:r>
        <w:rPr>
          <w:b/>
          <w:color w:val="000000"/>
          <w:sz w:val="18"/>
          <w:lang w:val="en-GB"/>
        </w:rPr>
        <w:t>HyperTown RIX” marketing specialist</w:t>
      </w:r>
    </w:p>
    <w:p w:rsidR="00000000" w:rsidRDefault="000B778E">
      <w:pPr>
        <w:pStyle w:val="Tekstpodstawowy"/>
        <w:spacing w:after="0" w:line="324" w:lineRule="auto"/>
        <w:jc w:val="both"/>
        <w:rPr>
          <w:color w:val="000000"/>
          <w:sz w:val="18"/>
          <w:lang w:val="en-GB"/>
        </w:rPr>
      </w:pPr>
      <w:r>
        <w:rPr>
          <w:b/>
          <w:color w:val="000000"/>
          <w:sz w:val="18"/>
          <w:lang w:val="en-GB"/>
        </w:rPr>
        <w:t>Katya Rastopcina</w:t>
      </w:r>
    </w:p>
    <w:p w:rsidR="00000000" w:rsidRDefault="000B778E">
      <w:pPr>
        <w:pStyle w:val="Tekstpodstawowy"/>
        <w:spacing w:after="0" w:line="324" w:lineRule="auto"/>
        <w:jc w:val="both"/>
        <w:rPr>
          <w:lang w:val="en-GB"/>
        </w:rPr>
      </w:pPr>
      <w:r>
        <w:rPr>
          <w:color w:val="000000"/>
          <w:sz w:val="18"/>
          <w:lang w:val="en-GB"/>
        </w:rPr>
        <w:t xml:space="preserve">E-mail: </w:t>
      </w:r>
      <w:hyperlink r:id="rId7" w:history="1">
        <w:r>
          <w:rPr>
            <w:rStyle w:val="Hipercze"/>
            <w:color w:val="1155CC"/>
            <w:sz w:val="18"/>
            <w:lang w:val="en-GB"/>
          </w:rPr>
          <w:t>katya@goexanimo.lv</w:t>
        </w:r>
      </w:hyperlink>
    </w:p>
    <w:p w:rsidR="00000000" w:rsidRDefault="000B778E">
      <w:pPr>
        <w:pStyle w:val="Tekstpodstawowy"/>
        <w:rPr>
          <w:b/>
          <w:color w:val="000000"/>
          <w:sz w:val="20"/>
          <w:lang w:val="en-GB"/>
        </w:rPr>
      </w:pPr>
      <w:r>
        <w:rPr>
          <w:lang w:val="en-GB"/>
        </w:rPr>
        <w:br/>
      </w: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1"/>
        <w:gridCol w:w="3062"/>
      </w:tblGrid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</w:tcBorders>
            <w:shd w:val="clear" w:color="auto" w:fill="FFFFFF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b/>
                <w:color w:val="000000"/>
                <w:sz w:val="20"/>
                <w:lang w:val="en-GB"/>
              </w:rPr>
              <w:t>Pre-purchasing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DD7E6B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b/>
                <w:color w:val="000000"/>
                <w:sz w:val="20"/>
                <w:lang w:val="en-GB"/>
              </w:rPr>
              <w:t>Until Marc</w:t>
            </w:r>
            <w:r>
              <w:rPr>
                <w:b/>
                <w:color w:val="000000"/>
                <w:sz w:val="20"/>
                <w:lang w:val="en-GB"/>
              </w:rPr>
              <w:t>h 17, 2019</w:t>
            </w:r>
          </w:p>
        </w:tc>
      </w:tr>
      <w:tr w:rsidR="00000000">
        <w:tc>
          <w:tcPr>
            <w:tcW w:w="6651" w:type="dxa"/>
            <w:tcBorders>
              <w:top w:val="single" w:sz="18" w:space="0" w:color="000000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Pre-purchase of one-day ticket</w:t>
            </w:r>
          </w:p>
        </w:tc>
        <w:tc>
          <w:tcPr>
            <w:tcW w:w="3062" w:type="dxa"/>
            <w:tcBorders>
              <w:top w:val="single" w:sz="18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16.00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Pre- purchase of two-day ticket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20.00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Pre-purchase of one-day family ticket (2+2)*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-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Pre-purchase of two-day family ticket (2+2)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-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Pre-purchased VIP Pass**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65.00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Pre-purchases one-day Friend ticket (</w:t>
            </w:r>
            <w:r>
              <w:rPr>
                <w:color w:val="000000"/>
                <w:sz w:val="20"/>
                <w:lang w:val="en-GB"/>
              </w:rPr>
              <w:t>6+1)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96.00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Pre-purchases two-day Friend ticket (6+1)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120.00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</w:tcBorders>
            <w:shd w:val="clear" w:color="auto" w:fill="FFFFFF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b/>
                <w:color w:val="000000"/>
                <w:sz w:val="20"/>
                <w:lang w:val="en-GB"/>
              </w:rPr>
              <w:t>From March 18 to May 31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napToGrid w:val="0"/>
            </w:pPr>
          </w:p>
        </w:tc>
      </w:tr>
      <w:tr w:rsidR="00000000">
        <w:tc>
          <w:tcPr>
            <w:tcW w:w="6651" w:type="dxa"/>
            <w:tcBorders>
              <w:top w:val="single" w:sz="18" w:space="0" w:color="000000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One-day ticket</w:t>
            </w:r>
          </w:p>
        </w:tc>
        <w:tc>
          <w:tcPr>
            <w:tcW w:w="3062" w:type="dxa"/>
            <w:tcBorders>
              <w:top w:val="single" w:sz="18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21.00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Two-day ticket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27.00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One-day Family ticket (2+2)*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45.00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Two-day Family ticket (2+2)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59.00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One-day Friend ticket (6+1)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114.00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Two day Fr</w:t>
            </w:r>
            <w:r>
              <w:rPr>
                <w:color w:val="000000"/>
                <w:sz w:val="20"/>
                <w:lang w:val="en-GB"/>
              </w:rPr>
              <w:t>iend ticket (6+1)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162.00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VIP Pass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75.00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</w:tcBorders>
            <w:shd w:val="clear" w:color="auto" w:fill="FFFFFF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b/>
                <w:color w:val="000000"/>
                <w:sz w:val="20"/>
                <w:lang w:val="en-GB"/>
              </w:rPr>
              <w:t>During the event – June 1 and 2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napToGrid w:val="0"/>
            </w:pPr>
          </w:p>
        </w:tc>
      </w:tr>
      <w:tr w:rsidR="00000000">
        <w:tc>
          <w:tcPr>
            <w:tcW w:w="6651" w:type="dxa"/>
            <w:tcBorders>
              <w:top w:val="single" w:sz="18" w:space="0" w:color="000000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One-day ticket</w:t>
            </w:r>
          </w:p>
        </w:tc>
        <w:tc>
          <w:tcPr>
            <w:tcW w:w="3062" w:type="dxa"/>
            <w:tcBorders>
              <w:top w:val="single" w:sz="18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23.00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lastRenderedPageBreak/>
              <w:t>Two-day ticket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29.00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One-day Family ticket (2+2)*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45.00</w:t>
            </w:r>
          </w:p>
        </w:tc>
      </w:tr>
      <w:tr w:rsidR="00000000">
        <w:tc>
          <w:tcPr>
            <w:tcW w:w="6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Two-day Family ticket (2+2)</w:t>
            </w:r>
          </w:p>
        </w:tc>
        <w:tc>
          <w:tcPr>
            <w:tcW w:w="3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59.00</w:t>
            </w:r>
          </w:p>
        </w:tc>
      </w:tr>
    </w:tbl>
    <w:p w:rsidR="00000000" w:rsidRDefault="000B778E">
      <w:pPr>
        <w:pStyle w:val="Tekstpodstawowy"/>
        <w:spacing w:after="0"/>
        <w:rPr>
          <w:lang w:val="en-GB"/>
        </w:rPr>
      </w:pP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1"/>
        <w:gridCol w:w="1706"/>
      </w:tblGrid>
      <w:tr w:rsidR="00000000">
        <w:tc>
          <w:tcPr>
            <w:tcW w:w="2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</w:pPr>
            <w:r>
              <w:rPr>
                <w:color w:val="000000"/>
                <w:sz w:val="20"/>
                <w:lang w:val="en-GB"/>
              </w:rPr>
              <w:t>BYOC pass ***</w:t>
            </w:r>
          </w:p>
        </w:tc>
        <w:tc>
          <w:tcPr>
            <w:tcW w:w="1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000000" w:rsidRDefault="000B778E">
            <w:pPr>
              <w:pStyle w:val="TableContents"/>
              <w:spacing w:line="324" w:lineRule="auto"/>
              <w:jc w:val="right"/>
            </w:pPr>
            <w:r>
              <w:rPr>
                <w:rFonts w:eastAsia="Liberation Serif" w:cs="Liberation Serif"/>
                <w:color w:val="000000"/>
                <w:lang w:val="en-GB"/>
              </w:rPr>
              <w:t>€</w:t>
            </w:r>
            <w:r>
              <w:rPr>
                <w:color w:val="000000"/>
                <w:sz w:val="20"/>
                <w:lang w:val="en-GB"/>
              </w:rPr>
              <w:t>45.00</w:t>
            </w:r>
          </w:p>
        </w:tc>
      </w:tr>
    </w:tbl>
    <w:p w:rsidR="00000000" w:rsidRDefault="000B778E">
      <w:pPr>
        <w:pStyle w:val="Tekstpodstawowy"/>
        <w:spacing w:after="0" w:line="324" w:lineRule="auto"/>
        <w:jc w:val="both"/>
        <w:rPr>
          <w:color w:val="000000"/>
          <w:sz w:val="18"/>
          <w:lang w:val="en-GB"/>
        </w:rPr>
      </w:pPr>
      <w:r>
        <w:rPr>
          <w:color w:val="000000"/>
          <w:sz w:val="18"/>
          <w:lang w:val="en-GB"/>
        </w:rPr>
        <w:t xml:space="preserve">*Family ticket includes 2 grown-ups </w:t>
      </w:r>
      <w:r>
        <w:rPr>
          <w:color w:val="000000"/>
          <w:sz w:val="18"/>
          <w:lang w:val="en-GB"/>
        </w:rPr>
        <w:t>and 2 children</w:t>
      </w:r>
    </w:p>
    <w:p w:rsidR="00000000" w:rsidRDefault="000B778E">
      <w:pPr>
        <w:pStyle w:val="Tekstpodstawowy"/>
        <w:spacing w:after="0" w:line="324" w:lineRule="auto"/>
        <w:jc w:val="both"/>
        <w:rPr>
          <w:color w:val="000000"/>
          <w:sz w:val="18"/>
          <w:lang w:val="en-GB"/>
        </w:rPr>
      </w:pPr>
      <w:r>
        <w:rPr>
          <w:color w:val="000000"/>
          <w:sz w:val="18"/>
          <w:lang w:val="en-GB"/>
        </w:rPr>
        <w:t>**VIP pass grants access to the event for both days as well as a separate entrance in the event hall, a gift bag and an access to  special VIP relaxation zones.</w:t>
      </w:r>
    </w:p>
    <w:p w:rsidR="000B778E" w:rsidRDefault="000B778E">
      <w:pPr>
        <w:pStyle w:val="Tekstpodstawowy"/>
        <w:spacing w:after="0" w:line="324" w:lineRule="auto"/>
        <w:jc w:val="both"/>
      </w:pPr>
      <w:r>
        <w:rPr>
          <w:color w:val="000000"/>
          <w:sz w:val="18"/>
          <w:lang w:val="en-GB"/>
        </w:rPr>
        <w:t xml:space="preserve">***BYOC pass includes entrance in the event for both days, as well as access to </w:t>
      </w:r>
      <w:r>
        <w:rPr>
          <w:color w:val="000000"/>
          <w:sz w:val="18"/>
          <w:lang w:val="en-GB"/>
        </w:rPr>
        <w:t>BYOC zone for 3 days (You can start settling in on May 31, 2019)</w:t>
      </w:r>
    </w:p>
    <w:sectPr w:rsidR="000B77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B4"/>
    <w:rsid w:val="000B778E"/>
    <w:rsid w:val="0050749A"/>
    <w:rsid w:val="00A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FC1DDE"/>
  <w15:chartTrackingRefBased/>
  <w15:docId w15:val="{32CF1B66-337D-4891-8AC9-32990DE1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 Unicode MS"/>
      <w:kern w:val="1"/>
      <w:sz w:val="24"/>
      <w:szCs w:val="24"/>
      <w:lang w:val="lv-LV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ya@goexanimo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pertown.pro/" TargetMode="External"/><Relationship Id="rId5" Type="http://schemas.openxmlformats.org/officeDocument/2006/relationships/hyperlink" Target="http://www.besl.pro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Sennik</dc:creator>
  <cp:keywords/>
  <dc:description/>
  <cp:lastModifiedBy>Szymon Sennik</cp:lastModifiedBy>
  <cp:revision>2</cp:revision>
  <cp:lastPrinted>1601-01-01T00:00:00Z</cp:lastPrinted>
  <dcterms:created xsi:type="dcterms:W3CDTF">2019-02-19T08:56:00Z</dcterms:created>
  <dcterms:modified xsi:type="dcterms:W3CDTF">2019-02-19T08:56:00Z</dcterms:modified>
</cp:coreProperties>
</file>