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16 / 04 / 2019</w:t>
      </w:r>
    </w:p>
    <w:p w:rsidR="00000000" w:rsidDel="00000000" w:rsidP="00000000" w:rsidRDefault="00000000" w:rsidRPr="00000000" w14:paraId="00000002">
      <w:pPr>
        <w:widowControl w:val="0"/>
        <w:spacing w:line="240" w:lineRule="auto"/>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3">
      <w:pPr>
        <w:widowControl w:val="0"/>
        <w:spacing w:line="240" w:lineRule="auto"/>
        <w:rPr>
          <w:rFonts w:ascii="Calibri" w:cs="Calibri" w:eastAsia="Calibri" w:hAnsi="Calibri"/>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jc w:val="center"/>
        <w:rPr>
          <w:rFonts w:ascii="Calibri" w:cs="Calibri" w:eastAsia="Calibri" w:hAnsi="Calibri"/>
          <w:b w:val="1"/>
          <w:sz w:val="36"/>
          <w:szCs w:val="36"/>
        </w:rPr>
      </w:pPr>
      <w:r w:rsidDel="00000000" w:rsidR="00000000" w:rsidRPr="00000000">
        <w:rPr>
          <w:rFonts w:ascii="Calibri" w:cs="Calibri" w:eastAsia="Calibri" w:hAnsi="Calibri"/>
          <w:b w:val="1"/>
          <w:sz w:val="36"/>
          <w:szCs w:val="36"/>
          <w:rtl w:val="0"/>
        </w:rPr>
        <w:t xml:space="preserve">God’s Trigger zstępuje na ziemię - premiera już w ten czwartek</w:t>
      </w:r>
    </w:p>
    <w:p w:rsidR="00000000" w:rsidDel="00000000" w:rsidP="00000000" w:rsidRDefault="00000000" w:rsidRPr="00000000" w14:paraId="00000005">
      <w:pPr>
        <w:widowControl w:val="0"/>
        <w:spacing w:line="240" w:lineRule="auto"/>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6">
      <w:pPr>
        <w:widowControl w:val="0"/>
        <w:spacing w:line="240" w:lineRule="auto"/>
        <w:jc w:val="both"/>
        <w:rPr>
          <w:rFonts w:ascii="Calibri" w:cs="Calibri" w:eastAsia="Calibri" w:hAnsi="Calibri"/>
          <w:b w:val="1"/>
          <w:i w:val="1"/>
          <w:sz w:val="24"/>
          <w:szCs w:val="24"/>
        </w:rPr>
      </w:pPr>
      <w:r w:rsidDel="00000000" w:rsidR="00000000" w:rsidRPr="00000000">
        <w:rPr>
          <w:rFonts w:ascii="Calibri" w:cs="Calibri" w:eastAsia="Calibri" w:hAnsi="Calibri"/>
          <w:b w:val="1"/>
          <w:i w:val="1"/>
          <w:sz w:val="24"/>
          <w:szCs w:val="24"/>
          <w:rtl w:val="0"/>
        </w:rPr>
        <w:t xml:space="preserve">Szalona brutalność i akcja z widokiem z góry - już w ten czwartek na PC, Xbox One i PlayStation 4. A do tego niesamowite nagrody dla najbardziej skutecznych graczy. </w:t>
      </w:r>
    </w:p>
    <w:p w:rsidR="00000000" w:rsidDel="00000000" w:rsidP="00000000" w:rsidRDefault="00000000" w:rsidRPr="00000000" w14:paraId="00000007">
      <w:pPr>
        <w:widowControl w:val="0"/>
        <w:spacing w:line="240" w:lineRule="auto"/>
        <w:jc w:val="both"/>
        <w:rPr>
          <w:rFonts w:ascii="Calibri" w:cs="Calibri" w:eastAsia="Calibri" w:hAnsi="Calibri"/>
          <w:b w:val="1"/>
          <w:sz w:val="36"/>
          <w:szCs w:val="36"/>
        </w:rPr>
      </w:pPr>
      <w:r w:rsidDel="00000000" w:rsidR="00000000" w:rsidRPr="00000000">
        <w:rPr>
          <w:rtl w:val="0"/>
        </w:rPr>
      </w:r>
    </w:p>
    <w:p w:rsidR="00000000" w:rsidDel="00000000" w:rsidP="00000000" w:rsidRDefault="00000000" w:rsidRPr="00000000" w14:paraId="00000008">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tym tygodniu </w:t>
      </w:r>
      <w:r w:rsidDel="00000000" w:rsidR="00000000" w:rsidRPr="00000000">
        <w:rPr>
          <w:rFonts w:ascii="Calibri" w:cs="Calibri" w:eastAsia="Calibri" w:hAnsi="Calibri"/>
          <w:b w:val="1"/>
          <w:sz w:val="24"/>
          <w:szCs w:val="24"/>
          <w:rtl w:val="0"/>
        </w:rPr>
        <w:t xml:space="preserve">Techland Publishing </w:t>
      </w:r>
      <w:r w:rsidDel="00000000" w:rsidR="00000000" w:rsidRPr="00000000">
        <w:rPr>
          <w:rFonts w:ascii="Calibri" w:cs="Calibri" w:eastAsia="Calibri" w:hAnsi="Calibri"/>
          <w:sz w:val="24"/>
          <w:szCs w:val="24"/>
          <w:rtl w:val="0"/>
        </w:rPr>
        <w:t xml:space="preserve">ześle na świat </w:t>
      </w:r>
      <w:r w:rsidDel="00000000" w:rsidR="00000000" w:rsidRPr="00000000">
        <w:rPr>
          <w:rFonts w:ascii="Calibri" w:cs="Calibri" w:eastAsia="Calibri" w:hAnsi="Calibri"/>
          <w:b w:val="1"/>
          <w:i w:val="1"/>
          <w:sz w:val="24"/>
          <w:szCs w:val="24"/>
          <w:rtl w:val="0"/>
        </w:rPr>
        <w:t xml:space="preserve">God’s Trigger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nieziemską rozwałkę od studia</w:t>
      </w:r>
      <w:r w:rsidDel="00000000" w:rsidR="00000000" w:rsidRPr="00000000">
        <w:rPr>
          <w:rFonts w:ascii="Calibri" w:cs="Calibri" w:eastAsia="Calibri" w:hAnsi="Calibri"/>
          <w:b w:val="1"/>
          <w:sz w:val="24"/>
          <w:szCs w:val="24"/>
          <w:rtl w:val="0"/>
        </w:rPr>
        <w:t xml:space="preserve"> One More Level</w:t>
      </w:r>
      <w:r w:rsidDel="00000000" w:rsidR="00000000" w:rsidRPr="00000000">
        <w:rPr>
          <w:rFonts w:ascii="Calibri" w:cs="Calibri" w:eastAsia="Calibri" w:hAnsi="Calibri"/>
          <w:sz w:val="24"/>
          <w:szCs w:val="24"/>
          <w:rtl w:val="0"/>
        </w:rPr>
        <w:t xml:space="preserve">, która opęta konsole i PC już 18 kwietnia.</w:t>
      </w:r>
    </w:p>
    <w:p w:rsidR="00000000" w:rsidDel="00000000" w:rsidP="00000000" w:rsidRDefault="00000000" w:rsidRPr="00000000" w14:paraId="00000009">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A">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 zwiastunie premierowym, świeżo wykutym w ogniach piekielnych, gracze mogą zobaczyć przedsmak nadchodzącej akcji i poznać pierwsze szczegóły fabuły. Mówiąc wprost: aby powstrzymać Apokalipsę, muszą zniszczyć każdego na swej drodze tak szybko i tak stylowo, jak to tylko możliwe, korzystając z kombosów, zindywidualizowanych umiejętności specjalnych oraz pułapek.</w:t>
      </w:r>
    </w:p>
    <w:p w:rsidR="00000000" w:rsidDel="00000000" w:rsidP="00000000" w:rsidRDefault="00000000" w:rsidRPr="00000000" w14:paraId="0000000B">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C">
      <w:pPr>
        <w:widowControl w:val="0"/>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Podczas krwistej, ośmiogodzinnej kampanii - dostępnej w trybie solo i kooperacji - gracze będą musieli wykazać się zręcznością w wycinaniu opętanych śmiertelników, kultystów końca świata oraz nadprzyrodzonych stworzeń z piekła i nieba rodem. Dodatkowe mordercze umiejętności graczy okażą się niezbędne podczas konfrontacji z piątką epickich bossów, których głównym zadaniem jest powstrzymanie Harry’ego i Judy w ich misji ocalenia świata.</w:t>
      </w:r>
    </w:p>
    <w:p w:rsidR="00000000" w:rsidDel="00000000" w:rsidP="00000000" w:rsidRDefault="00000000" w:rsidRPr="00000000" w14:paraId="0000000D">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E">
      <w:pPr>
        <w:widowControl w:val="0"/>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0F">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5719763" cy="2279905"/>
            <wp:effectExtent b="0" l="0" r="0" t="0"/>
            <wp:docPr id="3"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719763" cy="2279905"/>
                    </a:xfrm>
                    <a:prstGeom prst="rect"/>
                    <a:ln/>
                  </pic:spPr>
                </pic:pic>
              </a:graphicData>
            </a:graphic>
          </wp:inline>
        </w:drawing>
      </w:r>
      <w:r w:rsidDel="00000000" w:rsidR="00000000" w:rsidRPr="00000000">
        <w:rPr>
          <w:rtl w:val="0"/>
        </w:rPr>
      </w:r>
    </w:p>
    <w:p w:rsidR="00000000" w:rsidDel="00000000" w:rsidP="00000000" w:rsidRDefault="00000000" w:rsidRPr="00000000" w14:paraId="00000010">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1">
      <w:pPr>
        <w:spacing w:line="240" w:lineRule="auto"/>
        <w:jc w:val="center"/>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Sprawdź nieziemską akcję </w:t>
      </w:r>
      <w:r w:rsidDel="00000000" w:rsidR="00000000" w:rsidRPr="00000000">
        <w:rPr>
          <w:rFonts w:ascii="Calibri" w:cs="Calibri" w:eastAsia="Calibri" w:hAnsi="Calibri"/>
          <w:b w:val="1"/>
          <w:i w:val="1"/>
          <w:sz w:val="24"/>
          <w:szCs w:val="24"/>
          <w:rtl w:val="0"/>
        </w:rPr>
        <w:t xml:space="preserve">w zwiastunie premierowym God’s Trigger, </w:t>
      </w:r>
      <w:hyperlink r:id="rId7">
        <w:r w:rsidDel="00000000" w:rsidR="00000000" w:rsidRPr="00000000">
          <w:rPr>
            <w:rFonts w:ascii="Calibri" w:cs="Calibri" w:eastAsia="Calibri" w:hAnsi="Calibri"/>
            <w:b w:val="1"/>
            <w:i w:val="1"/>
            <w:color w:val="1155cc"/>
            <w:sz w:val="24"/>
            <w:szCs w:val="24"/>
            <w:u w:val="single"/>
            <w:rtl w:val="0"/>
          </w:rPr>
          <w:t xml:space="preserve">dostępnym tutaj</w:t>
        </w:r>
      </w:hyperlink>
      <w:r w:rsidDel="00000000" w:rsidR="00000000" w:rsidRPr="00000000">
        <w:rPr>
          <w:rFonts w:ascii="Calibri" w:cs="Calibri" w:eastAsia="Calibri" w:hAnsi="Calibri"/>
          <w:b w:val="1"/>
          <w:i w:val="1"/>
          <w:sz w:val="24"/>
          <w:szCs w:val="24"/>
          <w:rtl w:val="0"/>
        </w:rPr>
        <w:t xml:space="preserve">.</w:t>
      </w:r>
      <w:r w:rsidDel="00000000" w:rsidR="00000000" w:rsidRPr="00000000">
        <w:rPr>
          <w:rtl w:val="0"/>
        </w:rPr>
      </w:r>
    </w:p>
    <w:p w:rsidR="00000000" w:rsidDel="00000000" w:rsidP="00000000" w:rsidRDefault="00000000" w:rsidRPr="00000000" w14:paraId="00000012">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3">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Z okazji premiery gry </w:t>
      </w:r>
      <w:r w:rsidDel="00000000" w:rsidR="00000000" w:rsidRPr="00000000">
        <w:rPr>
          <w:rFonts w:ascii="Calibri" w:cs="Calibri" w:eastAsia="Calibri" w:hAnsi="Calibri"/>
          <w:b w:val="1"/>
          <w:i w:val="1"/>
          <w:sz w:val="24"/>
          <w:szCs w:val="24"/>
          <w:rtl w:val="0"/>
        </w:rPr>
        <w:t xml:space="preserve">God’s Trigger</w:t>
      </w:r>
      <w:r w:rsidDel="00000000" w:rsidR="00000000" w:rsidRPr="00000000">
        <w:rPr>
          <w:rFonts w:ascii="Calibri" w:cs="Calibri" w:eastAsia="Calibri" w:hAnsi="Calibri"/>
          <w:sz w:val="24"/>
          <w:szCs w:val="24"/>
          <w:rtl w:val="0"/>
        </w:rPr>
        <w:t xml:space="preserve"> Techland Publishing przygotował piekielnie atrakcyjne nagrody dla jednego zwycięzcy w trybie solo oraz zwycięskiej dwójki w kooperacji, którzy dowiodą swych krwawych zdolności w walce. Gracze, którzy są gotowi siać zniszczenie w najbardziej widowiskowy sposób, powinni opublikować swoje nagrania z gry w serwisie YouTube, opatrzyć je tagiem #GodsTrigger i zawrzeć “God’s Trigger” w tytule materiału. W ten sposób wchodzą do gry o ultramocne laptopy dla graczy firmy Alienware. Więcej informacji o konkursie na stronie OneMoreLevel w serwisie Facebook:</w:t>
      </w:r>
      <w:r w:rsidDel="00000000" w:rsidR="00000000" w:rsidRPr="00000000">
        <w:rPr>
          <w:rFonts w:ascii="Calibri" w:cs="Calibri" w:eastAsia="Calibri" w:hAnsi="Calibri"/>
          <w:sz w:val="24"/>
          <w:szCs w:val="24"/>
          <w:rtl w:val="0"/>
        </w:rPr>
        <w:t xml:space="preserve"> </w:t>
      </w:r>
      <w:hyperlink r:id="rId8">
        <w:r w:rsidDel="00000000" w:rsidR="00000000" w:rsidRPr="00000000">
          <w:rPr>
            <w:rFonts w:ascii="Calibri" w:cs="Calibri" w:eastAsia="Calibri" w:hAnsi="Calibri"/>
            <w:color w:val="1155cc"/>
            <w:sz w:val="24"/>
            <w:szCs w:val="24"/>
            <w:u w:val="single"/>
            <w:rtl w:val="0"/>
          </w:rPr>
          <w:t xml:space="preserve">fb.com/omlgames.</w:t>
        </w:r>
      </w:hyperlink>
      <w:r w:rsidDel="00000000" w:rsidR="00000000" w:rsidRPr="00000000">
        <w:rPr>
          <w:rtl w:val="0"/>
        </w:rPr>
      </w:r>
    </w:p>
    <w:p w:rsidR="00000000" w:rsidDel="00000000" w:rsidP="00000000" w:rsidRDefault="00000000" w:rsidRPr="00000000" w14:paraId="00000014">
      <w:pPr>
        <w:spacing w:line="240" w:lineRule="auto"/>
        <w:jc w:val="both"/>
        <w:rPr>
          <w:rFonts w:ascii="Calibri" w:cs="Calibri" w:eastAsia="Calibri" w:hAnsi="Calibri"/>
          <w:sz w:val="24"/>
          <w:szCs w:val="24"/>
          <w:highlight w:val="yellow"/>
        </w:rPr>
      </w:pPr>
      <w:r w:rsidDel="00000000" w:rsidR="00000000" w:rsidRPr="00000000">
        <w:rPr>
          <w:rtl w:val="0"/>
        </w:rPr>
      </w:r>
    </w:p>
    <w:p w:rsidR="00000000" w:rsidDel="00000000" w:rsidP="00000000" w:rsidRDefault="00000000" w:rsidRPr="00000000" w14:paraId="00000015">
      <w:pPr>
        <w:spacing w:line="240" w:lineRule="auto"/>
        <w:jc w:val="center"/>
        <w:rPr>
          <w:rFonts w:ascii="Calibri" w:cs="Calibri" w:eastAsia="Calibri" w:hAnsi="Calibri"/>
          <w:sz w:val="24"/>
          <w:szCs w:val="24"/>
        </w:rPr>
      </w:pPr>
      <w:r w:rsidDel="00000000" w:rsidR="00000000" w:rsidRPr="00000000">
        <w:rPr>
          <w:rFonts w:ascii="Calibri" w:cs="Calibri" w:eastAsia="Calibri" w:hAnsi="Calibri"/>
          <w:sz w:val="24"/>
          <w:szCs w:val="24"/>
        </w:rPr>
        <w:drawing>
          <wp:inline distB="114300" distT="114300" distL="114300" distR="114300">
            <wp:extent cx="4876800" cy="2552700"/>
            <wp:effectExtent b="0" l="0" r="0" t="0"/>
            <wp:docPr id="2" name="image4.jpg"/>
            <a:graphic>
              <a:graphicData uri="http://schemas.openxmlformats.org/drawingml/2006/picture">
                <pic:pic>
                  <pic:nvPicPr>
                    <pic:cNvPr id="0" name="image4.jpg"/>
                    <pic:cNvPicPr preferRelativeResize="0"/>
                  </pic:nvPicPr>
                  <pic:blipFill>
                    <a:blip r:embed="rId9"/>
                    <a:srcRect b="0" l="0" r="0" t="0"/>
                    <a:stretch>
                      <a:fillRect/>
                    </a:stretch>
                  </pic:blipFill>
                  <pic:spPr>
                    <a:xfrm>
                      <a:off x="0" y="0"/>
                      <a:ext cx="4876800" cy="2552700"/>
                    </a:xfrm>
                    <a:prstGeom prst="rect"/>
                    <a:ln/>
                  </pic:spPr>
                </pic:pic>
              </a:graphicData>
            </a:graphic>
          </wp:inline>
        </w:drawing>
      </w:r>
      <w:r w:rsidDel="00000000" w:rsidR="00000000" w:rsidRPr="00000000">
        <w:rPr>
          <w:rtl w:val="0"/>
        </w:rPr>
      </w:r>
    </w:p>
    <w:p w:rsidR="00000000" w:rsidDel="00000000" w:rsidP="00000000" w:rsidRDefault="00000000" w:rsidRPr="00000000" w14:paraId="00000016">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7">
      <w:pPr>
        <w:spacing w:line="240" w:lineRule="auto"/>
        <w:jc w:val="both"/>
        <w:rPr>
          <w:rFonts w:ascii="Calibri" w:cs="Calibri" w:eastAsia="Calibri" w:hAnsi="Calibri"/>
          <w:sz w:val="24"/>
          <w:szCs w:val="24"/>
        </w:rPr>
      </w:pPr>
      <w:r w:rsidDel="00000000" w:rsidR="00000000" w:rsidRPr="00000000">
        <w:rPr>
          <w:rFonts w:ascii="Calibri" w:cs="Calibri" w:eastAsia="Calibri" w:hAnsi="Calibri"/>
          <w:b w:val="1"/>
          <w:i w:val="1"/>
          <w:sz w:val="24"/>
          <w:szCs w:val="24"/>
          <w:rtl w:val="0"/>
        </w:rPr>
        <w:t xml:space="preserve">God’s Trigger</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będzie dostępny cyfrowo na PC, urządzeniach z rodziny Xbox One, w tym Xbox One X, oraz PlayStation 4 już 18 kwietnia 2019.</w:t>
      </w:r>
    </w:p>
    <w:p w:rsidR="00000000" w:rsidDel="00000000" w:rsidP="00000000" w:rsidRDefault="00000000" w:rsidRPr="00000000" w14:paraId="00000018">
      <w:pPr>
        <w:spacing w:line="240" w:lineRule="auto"/>
        <w:jc w:val="both"/>
        <w:rPr>
          <w:rFonts w:ascii="Calibri" w:cs="Calibri" w:eastAsia="Calibri" w:hAnsi="Calibri"/>
          <w:sz w:val="24"/>
          <w:szCs w:val="24"/>
          <w:highlight w:val="yellow"/>
        </w:rPr>
      </w:pPr>
      <w:r w:rsidDel="00000000" w:rsidR="00000000" w:rsidRPr="00000000">
        <w:rPr>
          <w:rFonts w:ascii="Calibri" w:cs="Calibri" w:eastAsia="Calibri" w:hAnsi="Calibri"/>
          <w:sz w:val="24"/>
          <w:szCs w:val="24"/>
          <w:highlight w:val="yellow"/>
          <w:rtl w:val="0"/>
        </w:rPr>
        <w:t xml:space="preserve"> </w:t>
      </w:r>
    </w:p>
    <w:p w:rsidR="00000000" w:rsidDel="00000000" w:rsidP="00000000" w:rsidRDefault="00000000" w:rsidRPr="00000000" w14:paraId="00000019">
      <w:pPr>
        <w:spacing w:line="240" w:lineRule="auto"/>
        <w:jc w:val="both"/>
        <w:rPr>
          <w:rFonts w:ascii="Calibri" w:cs="Calibri" w:eastAsia="Calibri" w:hAnsi="Calibri"/>
          <w:b w:val="1"/>
          <w:sz w:val="24"/>
          <w:szCs w:val="24"/>
        </w:rPr>
      </w:pPr>
      <w:hyperlink r:id="rId10">
        <w:r w:rsidDel="00000000" w:rsidR="00000000" w:rsidRPr="00000000">
          <w:rPr>
            <w:rFonts w:ascii="Calibri" w:cs="Calibri" w:eastAsia="Calibri" w:hAnsi="Calibri"/>
            <w:b w:val="1"/>
            <w:color w:val="1155cc"/>
            <w:sz w:val="24"/>
            <w:szCs w:val="24"/>
            <w:u w:val="single"/>
            <w:rtl w:val="0"/>
          </w:rPr>
          <w:t xml:space="preserve">Pozostałe materiały z God’s Trigger dostępne TUTAJ </w:t>
        </w:r>
      </w:hyperlink>
      <w:r w:rsidDel="00000000" w:rsidR="00000000" w:rsidRPr="00000000">
        <w:rPr>
          <w:rtl w:val="0"/>
        </w:rPr>
      </w:r>
    </w:p>
    <w:p w:rsidR="00000000" w:rsidDel="00000000" w:rsidP="00000000" w:rsidRDefault="00000000" w:rsidRPr="00000000" w14:paraId="0000001A">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1B">
      <w:pP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14:paraId="0000001C">
      <w:pPr>
        <w:shd w:fill="ffffff" w:val="clear"/>
        <w:spacing w:line="240" w:lineRule="auto"/>
        <w:jc w:val="both"/>
        <w:rPr>
          <w:rFonts w:ascii="Calibri" w:cs="Calibri" w:eastAsia="Calibri" w:hAnsi="Calibri"/>
          <w:b w:val="1"/>
          <w:sz w:val="18"/>
          <w:szCs w:val="18"/>
        </w:rPr>
      </w:pPr>
      <w:r w:rsidDel="00000000" w:rsidR="00000000" w:rsidRPr="00000000">
        <w:rPr>
          <w:rFonts w:ascii="Calibri" w:cs="Calibri" w:eastAsia="Calibri" w:hAnsi="Calibri"/>
          <w:b w:val="1"/>
          <w:sz w:val="18"/>
          <w:szCs w:val="18"/>
          <w:rtl w:val="0"/>
        </w:rPr>
        <w:t xml:space="preserve">About </w:t>
      </w:r>
      <w:r w:rsidDel="00000000" w:rsidR="00000000" w:rsidRPr="00000000">
        <w:rPr>
          <w:rFonts w:ascii="Calibri" w:cs="Calibri" w:eastAsia="Calibri" w:hAnsi="Calibri"/>
          <w:b w:val="1"/>
          <w:sz w:val="18"/>
          <w:szCs w:val="18"/>
          <w:rtl w:val="0"/>
        </w:rPr>
        <w:t xml:space="preserve">Techland</w:t>
      </w:r>
    </w:p>
    <w:p w:rsidR="00000000" w:rsidDel="00000000" w:rsidP="00000000" w:rsidRDefault="00000000" w:rsidRPr="00000000" w14:paraId="0000001D">
      <w:pPr>
        <w:shd w:fill="ffffff" w:val="clea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Founded in 1991, Techland is a renowned independent game developer and publisher. The Poland-based company is best known for the original </w:t>
      </w:r>
      <w:r w:rsidDel="00000000" w:rsidR="00000000" w:rsidRPr="00000000">
        <w:rPr>
          <w:rFonts w:ascii="Calibri" w:cs="Calibri" w:eastAsia="Calibri" w:hAnsi="Calibri"/>
          <w:i w:val="1"/>
          <w:sz w:val="18"/>
          <w:szCs w:val="18"/>
          <w:rtl w:val="0"/>
        </w:rPr>
        <w:t xml:space="preserve">Dead Island</w:t>
      </w:r>
      <w:r w:rsidDel="00000000" w:rsidR="00000000" w:rsidRPr="00000000">
        <w:rPr>
          <w:rFonts w:ascii="Calibri" w:cs="Calibri" w:eastAsia="Calibri" w:hAnsi="Calibri"/>
          <w:sz w:val="18"/>
          <w:szCs w:val="18"/>
          <w:rtl w:val="0"/>
        </w:rPr>
        <w:t xml:space="preserve"> games, the </w:t>
      </w:r>
      <w:r w:rsidDel="00000000" w:rsidR="00000000" w:rsidRPr="00000000">
        <w:rPr>
          <w:rFonts w:ascii="Calibri" w:cs="Calibri" w:eastAsia="Calibri" w:hAnsi="Calibri"/>
          <w:i w:val="1"/>
          <w:sz w:val="18"/>
          <w:szCs w:val="18"/>
          <w:rtl w:val="0"/>
        </w:rPr>
        <w:t xml:space="preserve">Call of Juarez</w:t>
      </w:r>
      <w:r w:rsidDel="00000000" w:rsidR="00000000" w:rsidRPr="00000000">
        <w:rPr>
          <w:rFonts w:ascii="Calibri" w:cs="Calibri" w:eastAsia="Calibri" w:hAnsi="Calibri"/>
          <w:sz w:val="18"/>
          <w:szCs w:val="18"/>
          <w:rtl w:val="0"/>
        </w:rPr>
        <w:t xml:space="preserve"> series, and most recently for</w:t>
      </w:r>
      <w:r w:rsidDel="00000000" w:rsidR="00000000" w:rsidRPr="00000000">
        <w:rPr>
          <w:rFonts w:ascii="Calibri" w:cs="Calibri" w:eastAsia="Calibri" w:hAnsi="Calibri"/>
          <w:i w:val="1"/>
          <w:sz w:val="18"/>
          <w:szCs w:val="18"/>
          <w:rtl w:val="0"/>
        </w:rPr>
        <w:t xml:space="preserve"> Dying Light</w:t>
      </w:r>
      <w:r w:rsidDel="00000000" w:rsidR="00000000" w:rsidRPr="00000000">
        <w:rPr>
          <w:rFonts w:ascii="Calibri" w:cs="Calibri" w:eastAsia="Calibri" w:hAnsi="Calibri"/>
          <w:sz w:val="18"/>
          <w:szCs w:val="18"/>
          <w:rtl w:val="0"/>
        </w:rPr>
        <w:t xml:space="preserve"> and its expansion </w:t>
      </w:r>
      <w:r w:rsidDel="00000000" w:rsidR="00000000" w:rsidRPr="00000000">
        <w:rPr>
          <w:rFonts w:ascii="Calibri" w:cs="Calibri" w:eastAsia="Calibri" w:hAnsi="Calibri"/>
          <w:i w:val="1"/>
          <w:sz w:val="18"/>
          <w:szCs w:val="18"/>
          <w:rtl w:val="0"/>
        </w:rPr>
        <w:t xml:space="preserve">Dying Light: The Following</w:t>
      </w:r>
      <w:r w:rsidDel="00000000" w:rsidR="00000000" w:rsidRPr="00000000">
        <w:rPr>
          <w:rFonts w:ascii="Calibri" w:cs="Calibri" w:eastAsia="Calibri" w:hAnsi="Calibri"/>
          <w:sz w:val="18"/>
          <w:szCs w:val="18"/>
          <w:rtl w:val="0"/>
        </w:rPr>
        <w:t xml:space="preserve"> - the game has been played by over 16 million unique players to date. We are now developing two triple-A titles that are to be released within the next three years.</w:t>
      </w:r>
    </w:p>
    <w:p w:rsidR="00000000" w:rsidDel="00000000" w:rsidP="00000000" w:rsidRDefault="00000000" w:rsidRPr="00000000" w14:paraId="0000001E">
      <w:pPr>
        <w:spacing w:line="240" w:lineRule="auto"/>
        <w:jc w:val="both"/>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1F">
      <w:pPr>
        <w:shd w:fill="ffffff" w:val="clea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Techland develops and publishes top-tier entertainment content for all the leading platforms, including the PC, Sony PlayStation 4, and Microsoft Xbox One family of devices. Comprised of over 400 professionals across three offices in Poland, the company is committed to delivering unforgettable experiences and using the latest technology for innovative entertainment.</w:t>
      </w:r>
    </w:p>
    <w:p w:rsidR="00000000" w:rsidDel="00000000" w:rsidP="00000000" w:rsidRDefault="00000000" w:rsidRPr="00000000" w14:paraId="00000020">
      <w:pPr>
        <w:spacing w:line="240" w:lineRule="auto"/>
        <w:jc w:val="both"/>
        <w:rPr>
          <w:rFonts w:ascii="Calibri" w:cs="Calibri" w:eastAsia="Calibri" w:hAnsi="Calibri"/>
          <w:color w:val="222222"/>
          <w:sz w:val="18"/>
          <w:szCs w:val="18"/>
          <w:highlight w:val="white"/>
        </w:rPr>
      </w:pPr>
      <w:r w:rsidDel="00000000" w:rsidR="00000000" w:rsidRPr="00000000">
        <w:rPr>
          <w:rtl w:val="0"/>
        </w:rPr>
      </w:r>
    </w:p>
    <w:p w:rsidR="00000000" w:rsidDel="00000000" w:rsidP="00000000" w:rsidRDefault="00000000" w:rsidRPr="00000000" w14:paraId="00000021">
      <w:pPr>
        <w:shd w:fill="ffffff" w:val="clear"/>
        <w:spacing w:line="240" w:lineRule="auto"/>
        <w:jc w:val="both"/>
        <w:rPr>
          <w:rFonts w:ascii="Calibri" w:cs="Calibri" w:eastAsia="Calibri" w:hAnsi="Calibri"/>
          <w:color w:val="0000ff"/>
          <w:sz w:val="18"/>
          <w:szCs w:val="18"/>
          <w:u w:val="single"/>
        </w:rPr>
      </w:pPr>
      <w:r w:rsidDel="00000000" w:rsidR="00000000" w:rsidRPr="00000000">
        <w:rPr>
          <w:rFonts w:ascii="Calibri" w:cs="Calibri" w:eastAsia="Calibri" w:hAnsi="Calibri"/>
          <w:sz w:val="18"/>
          <w:szCs w:val="18"/>
          <w:rtl w:val="0"/>
        </w:rPr>
        <w:t xml:space="preserve">For more information about the company, visit the official website at: www.techland.net</w:t>
      </w:r>
      <w:r w:rsidDel="00000000" w:rsidR="00000000" w:rsidRPr="00000000">
        <w:fldChar w:fldCharType="begin"/>
        <w:instrText xml:space="preserve"> HYPERLINK "https://fortyseven-dot-yamm-track.appspot.com/Redirect?ukey=1fE4_zyOma1fS-kP10i5Zq8Qf3SFR2Qr6ixWgWAB27Oo-0&amp;key=YAMMID-97672485&amp;link=http%3A%2F%2Ftechland.pl%2F" </w:instrText>
        <w:fldChar w:fldCharType="separate"/>
      </w:r>
      <w:r w:rsidDel="00000000" w:rsidR="00000000" w:rsidRPr="00000000">
        <w:rPr>
          <w:rtl w:val="0"/>
        </w:rPr>
      </w:r>
    </w:p>
    <w:p w:rsidR="00000000" w:rsidDel="00000000" w:rsidP="00000000" w:rsidRDefault="00000000" w:rsidRPr="00000000" w14:paraId="00000022">
      <w:pPr>
        <w:spacing w:line="240" w:lineRule="auto"/>
        <w:jc w:val="both"/>
        <w:rPr>
          <w:rFonts w:ascii="Calibri" w:cs="Calibri" w:eastAsia="Calibri" w:hAnsi="Calibri"/>
          <w:color w:val="222222"/>
          <w:sz w:val="18"/>
          <w:szCs w:val="18"/>
          <w:highlight w:val="white"/>
        </w:rPr>
      </w:pPr>
      <w:r w:rsidDel="00000000" w:rsidR="00000000" w:rsidRPr="00000000">
        <w:fldChar w:fldCharType="end"/>
      </w:r>
      <w:r w:rsidDel="00000000" w:rsidR="00000000" w:rsidRPr="00000000">
        <w:rPr>
          <w:rtl w:val="0"/>
        </w:rPr>
      </w:r>
    </w:p>
    <w:p w:rsidR="00000000" w:rsidDel="00000000" w:rsidP="00000000" w:rsidRDefault="00000000" w:rsidRPr="00000000" w14:paraId="00000023">
      <w:pPr>
        <w:shd w:fill="ffffff" w:val="clear"/>
        <w:spacing w:line="240" w:lineRule="auto"/>
        <w:jc w:val="both"/>
        <w:rPr>
          <w:rFonts w:ascii="Calibri" w:cs="Calibri" w:eastAsia="Calibri" w:hAnsi="Calibri"/>
          <w:sz w:val="18"/>
          <w:szCs w:val="18"/>
        </w:rPr>
      </w:pPr>
      <w:r w:rsidDel="00000000" w:rsidR="00000000" w:rsidRPr="00000000">
        <w:rPr>
          <w:rFonts w:ascii="Calibri" w:cs="Calibri" w:eastAsia="Calibri" w:hAnsi="Calibri"/>
          <w:sz w:val="18"/>
          <w:szCs w:val="18"/>
          <w:rtl w:val="0"/>
        </w:rPr>
        <w:t xml:space="preserve">All product titles, publisher names, trademarks, artwork and associated imagery are trademarks, registered trademarks and/or copyright material of the respective owners. All rights reserved.</w:t>
      </w:r>
    </w:p>
    <w:p w:rsidR="00000000" w:rsidDel="00000000" w:rsidP="00000000" w:rsidRDefault="00000000" w:rsidRPr="00000000" w14:paraId="00000024">
      <w:pPr>
        <w:spacing w:line="240" w:lineRule="auto"/>
        <w:jc w:val="both"/>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5">
      <w:pPr>
        <w:shd w:fill="ffffff" w:val="clear"/>
        <w:spacing w:line="240" w:lineRule="auto"/>
        <w:jc w:val="both"/>
        <w:rPr>
          <w:rFonts w:ascii="Calibri" w:cs="Calibri" w:eastAsia="Calibri" w:hAnsi="Calibri"/>
          <w:b w:val="1"/>
          <w:sz w:val="24"/>
          <w:szCs w:val="24"/>
        </w:rPr>
      </w:pPr>
      <w:r w:rsidDel="00000000" w:rsidR="00000000" w:rsidRPr="00000000">
        <w:rPr>
          <w:rFonts w:ascii="Calibri" w:cs="Calibri" w:eastAsia="Calibri" w:hAnsi="Calibri"/>
          <w:b w:val="1"/>
          <w:sz w:val="24"/>
          <w:szCs w:val="24"/>
          <w:rtl w:val="0"/>
        </w:rPr>
        <w:t xml:space="preserve">Media Contacts:</w:t>
      </w:r>
    </w:p>
    <w:p w:rsidR="00000000" w:rsidDel="00000000" w:rsidP="00000000" w:rsidRDefault="00000000" w:rsidRPr="00000000" w14:paraId="00000026">
      <w:pPr>
        <w:shd w:fill="ffffff" w:val="clear"/>
        <w:spacing w:line="240" w:lineRule="auto"/>
        <w:jc w:val="both"/>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Ola Sondej | Anna Łada-Grodzicka</w:t>
      </w:r>
    </w:p>
    <w:p w:rsidR="00000000" w:rsidDel="00000000" w:rsidP="00000000" w:rsidRDefault="00000000" w:rsidRPr="00000000" w14:paraId="00000027">
      <w:pPr>
        <w:shd w:fill="ffffff" w:val="clear"/>
        <w:spacing w:line="240" w:lineRule="auto"/>
        <w:jc w:val="both"/>
        <w:rPr>
          <w:rFonts w:ascii="Calibri" w:cs="Calibri" w:eastAsia="Calibri" w:hAnsi="Calibri"/>
          <w:color w:val="1155cc"/>
          <w:sz w:val="24"/>
          <w:szCs w:val="24"/>
        </w:rPr>
      </w:pPr>
      <w:r w:rsidDel="00000000" w:rsidR="00000000" w:rsidRPr="00000000">
        <w:rPr>
          <w:rFonts w:ascii="Calibri" w:cs="Calibri" w:eastAsia="Calibri" w:hAnsi="Calibri"/>
          <w:color w:val="1155cc"/>
          <w:sz w:val="24"/>
          <w:szCs w:val="24"/>
          <w:rtl w:val="0"/>
        </w:rPr>
        <w:t xml:space="preserve">aleksandra.sondej@techland.pl</w:t>
      </w:r>
      <w:r w:rsidDel="00000000" w:rsidR="00000000" w:rsidRPr="00000000">
        <w:rPr>
          <w:rFonts w:ascii="Calibri" w:cs="Calibri" w:eastAsia="Calibri" w:hAnsi="Calibri"/>
          <w:sz w:val="24"/>
          <w:szCs w:val="24"/>
          <w:rtl w:val="0"/>
        </w:rPr>
        <w:t xml:space="preserve"> | </w:t>
      </w:r>
      <w:r w:rsidDel="00000000" w:rsidR="00000000" w:rsidRPr="00000000">
        <w:rPr>
          <w:rFonts w:ascii="Calibri" w:cs="Calibri" w:eastAsia="Calibri" w:hAnsi="Calibri"/>
          <w:color w:val="1155cc"/>
          <w:sz w:val="24"/>
          <w:szCs w:val="24"/>
          <w:rtl w:val="0"/>
        </w:rPr>
        <w:t xml:space="preserve">anna.lada.grodzicka@techland.pl</w:t>
      </w:r>
    </w:p>
    <w:p w:rsidR="00000000" w:rsidDel="00000000" w:rsidP="00000000" w:rsidRDefault="00000000" w:rsidRPr="00000000" w14:paraId="00000028">
      <w:pPr>
        <w:spacing w:line="240" w:lineRule="auto"/>
        <w:jc w:val="both"/>
        <w:rPr>
          <w:rFonts w:ascii="Calibri" w:cs="Calibri" w:eastAsia="Calibri" w:hAnsi="Calibri"/>
          <w:color w:val="222222"/>
          <w:sz w:val="24"/>
          <w:szCs w:val="24"/>
          <w:highlight w:val="white"/>
        </w:rPr>
      </w:pPr>
      <w:r w:rsidDel="00000000" w:rsidR="00000000" w:rsidRPr="00000000">
        <w:rPr>
          <w:rtl w:val="0"/>
        </w:rPr>
      </w:r>
    </w:p>
    <w:p w:rsidR="00000000" w:rsidDel="00000000" w:rsidP="00000000" w:rsidRDefault="00000000" w:rsidRPr="00000000" w14:paraId="00000029">
      <w:pPr>
        <w:shd w:fill="ffffff" w:val="clear"/>
        <w:spacing w:line="240" w:lineRule="auto"/>
        <w:jc w:val="both"/>
        <w:rPr>
          <w:rFonts w:ascii="Calibri" w:cs="Calibri" w:eastAsia="Calibri" w:hAnsi="Calibri"/>
          <w:b w:val="1"/>
          <w:sz w:val="28"/>
          <w:szCs w:val="28"/>
        </w:rPr>
      </w:pPr>
      <w:r w:rsidDel="00000000" w:rsidR="00000000" w:rsidRPr="00000000">
        <w:rPr>
          <w:rtl w:val="0"/>
        </w:rPr>
      </w:r>
    </w:p>
    <w:sectPr>
      <w:headerReference r:id="rId11" w:type="default"/>
      <w:footerReference r:id="rId12" w:type="default"/>
      <w:pgSz w:h="16834" w:w="11909"/>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B">
    <w:pPr>
      <w:spacing w:line="276" w:lineRule="auto"/>
      <w:rPr/>
    </w:pPr>
    <w:r w:rsidDel="00000000" w:rsidR="00000000" w:rsidRPr="00000000">
      <w:rPr/>
      <w:drawing>
        <wp:inline distB="114300" distT="114300" distL="114300" distR="114300">
          <wp:extent cx="5734050" cy="355600"/>
          <wp:effectExtent b="0" l="0" r="0" t="0"/>
          <wp:docPr id="4"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5734050" cy="355600"/>
                  </a:xfrm>
                  <a:prstGeom prst="rect"/>
                  <a:ln/>
                </pic:spPr>
              </pic:pic>
            </a:graphicData>
          </a:graphic>
        </wp:inline>
      </w:drawing>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A">
    <w:pPr>
      <w:spacing w:line="276" w:lineRule="auto"/>
      <w:rPr/>
    </w:pPr>
    <w:r w:rsidDel="00000000" w:rsidR="00000000" w:rsidRPr="00000000">
      <w:rPr/>
      <w:drawing>
        <wp:inline distB="114300" distT="114300" distL="114300" distR="114300">
          <wp:extent cx="5734050" cy="901700"/>
          <wp:effectExtent b="0" l="0" r="0" t="0"/>
          <wp:docPr id="1" name="image3.jpg"/>
          <a:graphic>
            <a:graphicData uri="http://schemas.openxmlformats.org/drawingml/2006/picture">
              <pic:pic>
                <pic:nvPicPr>
                  <pic:cNvPr id="0" name="image3.jpg"/>
                  <pic:cNvPicPr preferRelativeResize="0"/>
                </pic:nvPicPr>
                <pic:blipFill>
                  <a:blip r:embed="rId1"/>
                  <a:srcRect b="0" l="0" r="0" t="0"/>
                  <a:stretch>
                    <a:fillRect/>
                  </a:stretch>
                </pic:blipFill>
                <pic:spPr>
                  <a:xfrm>
                    <a:off x="0" y="0"/>
                    <a:ext cx="5734050" cy="9017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sz w:val="32"/>
      <w:szCs w:val="32"/>
    </w:rPr>
  </w:style>
  <w:style w:type="paragraph" w:styleId="Heading3">
    <w:name w:val="heading 3"/>
    <w:basedOn w:val="Normal"/>
    <w:next w:val="Normal"/>
    <w:pPr>
      <w:keepNext w:val="1"/>
      <w:keepLines w:val="1"/>
      <w:spacing w:after="80" w:before="320" w:lineRule="auto"/>
    </w:pPr>
    <w:rPr>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rPr>
  </w:style>
  <w:style w:type="paragraph" w:styleId="Heading6">
    <w:name w:val="heading 6"/>
    <w:basedOn w:val="Normal"/>
    <w:next w:val="Normal"/>
    <w:pPr>
      <w:keepNext w:val="1"/>
      <w:keepLines w:val="1"/>
      <w:spacing w:after="80" w:before="240" w:lineRule="auto"/>
    </w:pPr>
    <w:rPr>
      <w:i w:val="1"/>
      <w:color w:val="666666"/>
    </w:rPr>
  </w:style>
  <w:style w:type="paragraph" w:styleId="Title">
    <w:name w:val="Title"/>
    <w:basedOn w:val="Normal"/>
    <w:next w:val="Normal"/>
    <w:pPr>
      <w:keepNext w:val="1"/>
      <w:keepLines w:val="1"/>
      <w:spacing w:after="60" w:lineRule="auto"/>
    </w:pPr>
    <w:rPr>
      <w:sz w:val="52"/>
      <w:szCs w:val="52"/>
    </w:rPr>
  </w:style>
  <w:style w:type="paragraph" w:styleId="Subtitle">
    <w:name w:val="Subtitle"/>
    <w:basedOn w:val="Normal"/>
    <w:next w:val="Normal"/>
    <w:pPr>
      <w:keepNext w:val="1"/>
      <w:keepLines w:val="1"/>
      <w:spacing w:after="320" w:lineRule="auto"/>
    </w:pPr>
    <w:rPr>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hyperlink" Target="https://www.dropbox.com/sh/sexihg1frw4se6d/AADAryJbiZ_7xQ4lwOKADJmPa?dl=0" TargetMode="External"/><Relationship Id="rId12" Type="http://schemas.openxmlformats.org/officeDocument/2006/relationships/footer" Target="footer1.xml"/><Relationship Id="rId9" Type="http://schemas.openxmlformats.org/officeDocument/2006/relationships/image" Target="media/image4.jpg"/><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hyperlink" Target="https://www.youtube.com/watch?v=znw9S27I5jQ" TargetMode="External"/><Relationship Id="rId8" Type="http://schemas.openxmlformats.org/officeDocument/2006/relationships/hyperlink" Target="https://www.facebook.com/omlgam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