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Computex 2019: Plextor zaprezentował dyski z serii M10Pe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Plextor, wiodący producent napędów optycznych i urządzeń pamięci masowej, podczas targów Computex 2019, zaprezentował nadchodzącą linię dysków - M10Pe. Poznaliśmy szczegóły dotyczące specyfikacji technicznej nośników, które zadebiutują na rynku w trzecim kwartale 2019 roku. Producent zdecydował się na kilka zmian względem serii M9Pe.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Nowa seria M10Pe wykorzystywać będzie 96-warstwową pamięć 3D NAND, gwarantując najszybszą prędkość odczytu oraz zapisu sekwencyjnego dla interfejsu PCIe 3.0 x4 - odpowiednio 3400 MB/s i 2200 MB/s. Dyski SSD dostępne będą w dwóch wersjach: zabudowanym w adapterze PCI-Express z charakterystycznym radiatorem oraz w wersji M.2 2280 bez radiatora. W przeciwieństwie do serii M9Pe, tym razem zabraknie wersji M.2 z radiatorem.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Różnic w stosunku do linii M9Pe jest jednak więcej. Podczas Computex 2019 producent ujawnił, że nowa seria wyposażona zostanie w kontroler Marvell Eldora Plus, obsługujący pamięć podręczną DRAM do 8 GB. Dodatkowo będzie on wspierany najnowszą wersją autorskiej technologii producenta, PlexNitro II.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Ponadto będzie to pierwsza w historii marki linia dysków, zaprojektowana z wykorzystaniem 96-warstwowej pamięci 3D NAND. Dyski M10Pe wyposażone zostaną w kości Toshiba BiCS4 96L 3D TLC,  które zapewnią większą pojemność, mniejsze zużycie energii i wyższą wydajność sekwencyjną.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Nośniki pojawią się na rynku w trzecim kwartale 2019 roku.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Plextor M10Pe - specyfikacja techniczna: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Kontroler: Marvell Eldora+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NAND: Toshiba BiCS4 96L 3D TLC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Interfejs: PCIe 3.0 x4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Pojemność: od 256 GB do 1 TB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30.000000000002" w:type="dxa"/>
        <w:jc w:val="left"/>
        <w:tblInd w:w="16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79.741518578352"/>
        <w:gridCol w:w="1794.329563812601"/>
        <w:gridCol w:w="1808.91760904685"/>
        <w:gridCol w:w="1808.91760904685"/>
        <w:gridCol w:w="1838.0936995153475"/>
        <w:tblGridChange w:id="0">
          <w:tblGrid>
            <w:gridCol w:w="1779.741518578352"/>
            <w:gridCol w:w="1794.329563812601"/>
            <w:gridCol w:w="1808.91760904685"/>
            <w:gridCol w:w="1808.91760904685"/>
            <w:gridCol w:w="1838.0936995153475"/>
          </w:tblGrid>
        </w:tblGridChange>
      </w:tblGrid>
      <w:tr>
        <w:trPr>
          <w:trHeight w:val="880" w:hRule="atLeast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Pojemność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Odczyt sekwencyjny (MB/s)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Zapis sekwencyjny (MB/s)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Odczyt losowy (IOPS)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Zapis losowy (IOPS)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256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3400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1700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300 000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300 000</w:t>
            </w:r>
          </w:p>
        </w:tc>
      </w:tr>
      <w:tr>
        <w:trPr>
          <w:trHeight w:val="400" w:hRule="atLeast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512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3400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2200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340 000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320 000</w:t>
            </w:r>
          </w:p>
        </w:tc>
      </w:tr>
      <w:tr>
        <w:trPr>
          <w:trHeight w:val="400" w:hRule="atLeast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color w:val="242a33"/>
              </w:rPr>
            </w:pPr>
            <w:r w:rsidDel="00000000" w:rsidR="00000000" w:rsidRPr="00000000">
              <w:rPr>
                <w:b w:val="1"/>
                <w:color w:val="242a33"/>
                <w:rtl w:val="0"/>
              </w:rPr>
              <w:t xml:space="preserve">1 TB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3400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2200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340 000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color w:val="242a33"/>
              </w:rPr>
            </w:pPr>
            <w:r w:rsidDel="00000000" w:rsidR="00000000" w:rsidRPr="00000000">
              <w:rPr>
                <w:color w:val="242a33"/>
                <w:rtl w:val="0"/>
              </w:rPr>
              <w:t xml:space="preserve">Do 320 000</w:t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highlight w:val="white"/>
        <w:lang w:val="pl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