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C00BD21" w:rsidR="00656EF4" w:rsidRDefault="00C70713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Komentarz</w:t>
      </w:r>
    </w:p>
    <w:p w14:paraId="300C7FF1" w14:textId="1E3E6558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8D6160">
        <w:rPr>
          <w:rFonts w:asciiTheme="minorHAnsi" w:hAnsiTheme="minorHAnsi"/>
          <w:sz w:val="20"/>
          <w:szCs w:val="20"/>
        </w:rPr>
        <w:t>11</w:t>
      </w:r>
      <w:r>
        <w:rPr>
          <w:rFonts w:asciiTheme="minorHAnsi" w:hAnsiTheme="minorHAnsi"/>
          <w:sz w:val="20"/>
          <w:szCs w:val="20"/>
        </w:rPr>
        <w:t>.0</w:t>
      </w:r>
      <w:r w:rsidR="008D6160">
        <w:rPr>
          <w:rFonts w:asciiTheme="minorHAnsi" w:hAnsiTheme="minorHAnsi"/>
          <w:sz w:val="20"/>
          <w:szCs w:val="20"/>
        </w:rPr>
        <w:t>7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33C9F59C" w:rsidR="00207FBE" w:rsidRPr="00D67231" w:rsidRDefault="00D67231" w:rsidP="00D67231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 Joanna Uchańska, </w:t>
      </w:r>
      <w:r w:rsidR="00515A8A">
        <w:rPr>
          <w:rFonts w:asciiTheme="minorHAnsi" w:hAnsiTheme="minorHAnsi"/>
          <w:b/>
          <w:sz w:val="22"/>
          <w:szCs w:val="22"/>
        </w:rPr>
        <w:t>Partner</w:t>
      </w:r>
      <w:r w:rsidRPr="00D67231">
        <w:rPr>
          <w:rFonts w:asciiTheme="minorHAnsi" w:hAnsiTheme="minorHAnsi"/>
          <w:b/>
          <w:sz w:val="22"/>
          <w:szCs w:val="22"/>
        </w:rPr>
        <w:t>, Radca Prawny w Kancelarii Prawnej Chałas i Wspólnicy, Szef Praktyki Life Science and Healthcare</w:t>
      </w:r>
    </w:p>
    <w:p w14:paraId="3949627E" w14:textId="77777777" w:rsidR="00D67231" w:rsidRDefault="00D67231" w:rsidP="00F812E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776EBF" w14:textId="75D64CB3" w:rsidR="00F812E5" w:rsidRPr="00F812E5" w:rsidRDefault="00F812E5" w:rsidP="00F812E5">
      <w:pPr>
        <w:jc w:val="center"/>
        <w:rPr>
          <w:rFonts w:asciiTheme="minorHAnsi" w:hAnsiTheme="minorHAnsi"/>
          <w:b/>
          <w:sz w:val="22"/>
          <w:szCs w:val="22"/>
        </w:rPr>
      </w:pPr>
      <w:r w:rsidRPr="00F812E5">
        <w:rPr>
          <w:rFonts w:asciiTheme="minorHAnsi" w:hAnsiTheme="minorHAnsi"/>
          <w:b/>
          <w:sz w:val="22"/>
          <w:szCs w:val="22"/>
        </w:rPr>
        <w:t>Zmiany w maksymalnej ilości witamin i składników mineralnych w suplementach diety</w:t>
      </w:r>
      <w:r w:rsidR="00C70713">
        <w:rPr>
          <w:rFonts w:asciiTheme="minorHAnsi" w:hAnsiTheme="minorHAnsi"/>
          <w:b/>
          <w:sz w:val="22"/>
          <w:szCs w:val="22"/>
        </w:rPr>
        <w:t>. Czy są wiążące?</w:t>
      </w:r>
    </w:p>
    <w:p w14:paraId="78E08002" w14:textId="63B646D5" w:rsidR="00F812E5" w:rsidRPr="00F812E5" w:rsidRDefault="00F812E5" w:rsidP="00F812E5">
      <w:pPr>
        <w:jc w:val="both"/>
        <w:rPr>
          <w:rFonts w:asciiTheme="minorHAnsi" w:hAnsiTheme="minorHAnsi"/>
          <w:b/>
          <w:sz w:val="22"/>
          <w:szCs w:val="22"/>
        </w:rPr>
      </w:pPr>
      <w:r w:rsidRPr="00F812E5">
        <w:rPr>
          <w:rFonts w:asciiTheme="minorHAnsi" w:hAnsiTheme="minorHAnsi"/>
          <w:b/>
          <w:sz w:val="22"/>
          <w:szCs w:val="22"/>
        </w:rPr>
        <w:t xml:space="preserve">Główny Inspektorat Sanitarny </w:t>
      </w:r>
      <w:r w:rsidRPr="00B86E60">
        <w:rPr>
          <w:rFonts w:asciiTheme="minorHAnsi" w:hAnsiTheme="minorHAnsi"/>
          <w:b/>
          <w:sz w:val="22"/>
          <w:szCs w:val="22"/>
        </w:rPr>
        <w:t>określ</w:t>
      </w:r>
      <w:r w:rsidR="00A45D25" w:rsidRPr="00B86E60">
        <w:rPr>
          <w:rFonts w:asciiTheme="minorHAnsi" w:hAnsiTheme="minorHAnsi"/>
          <w:b/>
          <w:sz w:val="22"/>
          <w:szCs w:val="22"/>
        </w:rPr>
        <w:t>ił</w:t>
      </w:r>
      <w:r w:rsidRPr="00F812E5">
        <w:rPr>
          <w:rFonts w:asciiTheme="minorHAnsi" w:hAnsiTheme="minorHAnsi"/>
          <w:b/>
          <w:sz w:val="22"/>
          <w:szCs w:val="22"/>
        </w:rPr>
        <w:t xml:space="preserve"> maksymalne ilości witamin i składników mineralnych w suplementach dla osób dorosłych. Na zebraniu Zespołu ds. Suplementów Diety, działającym przy </w:t>
      </w:r>
      <w:r w:rsidR="00A45D25">
        <w:rPr>
          <w:rFonts w:asciiTheme="minorHAnsi" w:hAnsiTheme="minorHAnsi"/>
          <w:b/>
          <w:sz w:val="22"/>
          <w:szCs w:val="22"/>
        </w:rPr>
        <w:t>GIS</w:t>
      </w:r>
      <w:r w:rsidRPr="00F812E5">
        <w:rPr>
          <w:rFonts w:asciiTheme="minorHAnsi" w:hAnsiTheme="minorHAnsi"/>
          <w:b/>
          <w:sz w:val="22"/>
          <w:szCs w:val="22"/>
        </w:rPr>
        <w:t xml:space="preserve"> </w:t>
      </w:r>
      <w:r w:rsidR="00A45D25">
        <w:rPr>
          <w:rFonts w:asciiTheme="minorHAnsi" w:hAnsiTheme="minorHAnsi"/>
          <w:b/>
          <w:sz w:val="22"/>
          <w:szCs w:val="22"/>
        </w:rPr>
        <w:t xml:space="preserve">wskazano </w:t>
      </w:r>
      <w:r w:rsidRPr="00F812E5">
        <w:rPr>
          <w:rFonts w:asciiTheme="minorHAnsi" w:hAnsiTheme="minorHAnsi"/>
          <w:b/>
          <w:sz w:val="22"/>
          <w:szCs w:val="22"/>
        </w:rPr>
        <w:t xml:space="preserve">maksymalną ilość witaminy C, witaminy A, kwasu foliowego, niacyny, manganu oraz cynku w zalecanej dziennej porcji w suplementach diety. Nowe uchwały </w:t>
      </w:r>
      <w:r w:rsidR="00A45D25">
        <w:rPr>
          <w:rFonts w:asciiTheme="minorHAnsi" w:hAnsiTheme="minorHAnsi"/>
          <w:b/>
          <w:sz w:val="22"/>
          <w:szCs w:val="22"/>
        </w:rPr>
        <w:t>spowodowały</w:t>
      </w:r>
      <w:r w:rsidR="00A45D25" w:rsidRPr="00F812E5">
        <w:rPr>
          <w:rFonts w:asciiTheme="minorHAnsi" w:hAnsiTheme="minorHAnsi"/>
          <w:b/>
          <w:sz w:val="22"/>
          <w:szCs w:val="22"/>
        </w:rPr>
        <w:t xml:space="preserve"> </w:t>
      </w:r>
      <w:r w:rsidRPr="00F812E5">
        <w:rPr>
          <w:rFonts w:asciiTheme="minorHAnsi" w:hAnsiTheme="minorHAnsi"/>
          <w:b/>
          <w:sz w:val="22"/>
          <w:szCs w:val="22"/>
        </w:rPr>
        <w:t xml:space="preserve">wiele wątpliwości </w:t>
      </w:r>
      <w:r w:rsidR="003B4096">
        <w:rPr>
          <w:rFonts w:asciiTheme="minorHAnsi" w:hAnsiTheme="minorHAnsi"/>
          <w:b/>
          <w:sz w:val="22"/>
          <w:szCs w:val="22"/>
        </w:rPr>
        <w:t xml:space="preserve">wśród producentów </w:t>
      </w:r>
      <w:r w:rsidR="00A45D25">
        <w:rPr>
          <w:rFonts w:asciiTheme="minorHAnsi" w:hAnsiTheme="minorHAnsi"/>
          <w:b/>
          <w:sz w:val="22"/>
          <w:szCs w:val="22"/>
        </w:rPr>
        <w:t>na rynku</w:t>
      </w:r>
      <w:r w:rsidRPr="00F812E5">
        <w:rPr>
          <w:rFonts w:asciiTheme="minorHAnsi" w:hAnsiTheme="minorHAnsi"/>
          <w:b/>
          <w:sz w:val="22"/>
          <w:szCs w:val="22"/>
        </w:rPr>
        <w:t>. W jaki sposób należy się do nich stosować i czy w ogóle</w:t>
      </w:r>
      <w:r w:rsidR="002E4736">
        <w:rPr>
          <w:rFonts w:asciiTheme="minorHAnsi" w:hAnsiTheme="minorHAnsi"/>
          <w:b/>
          <w:sz w:val="22"/>
          <w:szCs w:val="22"/>
        </w:rPr>
        <w:t xml:space="preserve"> należy</w:t>
      </w:r>
      <w:r w:rsidRPr="00F812E5">
        <w:rPr>
          <w:rFonts w:asciiTheme="minorHAnsi" w:hAnsiTheme="minorHAnsi"/>
          <w:b/>
          <w:sz w:val="22"/>
          <w:szCs w:val="22"/>
        </w:rPr>
        <w:t xml:space="preserve"> to </w:t>
      </w:r>
      <w:r w:rsidR="002E4736">
        <w:rPr>
          <w:rFonts w:asciiTheme="minorHAnsi" w:hAnsiTheme="minorHAnsi"/>
          <w:b/>
          <w:sz w:val="22"/>
          <w:szCs w:val="22"/>
        </w:rPr>
        <w:t>z</w:t>
      </w:r>
      <w:r w:rsidRPr="00F812E5">
        <w:rPr>
          <w:rFonts w:asciiTheme="minorHAnsi" w:hAnsiTheme="minorHAnsi"/>
          <w:b/>
          <w:sz w:val="22"/>
          <w:szCs w:val="22"/>
        </w:rPr>
        <w:t>robić? Co oznaczają one dla branży? Komentuje dr Joanna Uchańska, Szef Praktyki Life Science and Healthcare w Kancelarii Prawnej Chałas i Wspólnicy.</w:t>
      </w:r>
    </w:p>
    <w:p w14:paraId="39D8B97D" w14:textId="7926E428" w:rsidR="00F812E5" w:rsidRPr="00F812E5" w:rsidRDefault="00F812E5" w:rsidP="00F812E5">
      <w:pPr>
        <w:jc w:val="both"/>
        <w:rPr>
          <w:rFonts w:asciiTheme="minorHAnsi" w:hAnsiTheme="minorHAnsi"/>
          <w:bCs/>
          <w:sz w:val="22"/>
          <w:szCs w:val="22"/>
        </w:rPr>
      </w:pPr>
      <w:r w:rsidRPr="00F812E5">
        <w:rPr>
          <w:rFonts w:asciiTheme="minorHAnsi" w:hAnsiTheme="minorHAnsi"/>
          <w:bCs/>
          <w:sz w:val="22"/>
          <w:szCs w:val="22"/>
        </w:rPr>
        <w:t>Zespół ds. Suplementów Diety jest organem opiniodawczo-doradczym GIS działającym na podstawie art. 9 ust. 2a ustawy z dnia 14 marca 1985 r. o Państwowej Inspekcji Sanitarnej</w:t>
      </w:r>
      <w:r w:rsidR="003B4096">
        <w:rPr>
          <w:rStyle w:val="Odwoanieprzypisudolnego"/>
          <w:rFonts w:asciiTheme="minorHAnsi" w:hAnsiTheme="minorHAnsi"/>
          <w:bCs/>
          <w:sz w:val="22"/>
          <w:szCs w:val="22"/>
        </w:rPr>
        <w:footnoteReference w:id="1"/>
      </w:r>
      <w:r w:rsidRPr="00F812E5">
        <w:rPr>
          <w:rFonts w:asciiTheme="minorHAnsi" w:hAnsiTheme="minorHAnsi"/>
          <w:bCs/>
          <w:sz w:val="22"/>
          <w:szCs w:val="22"/>
        </w:rPr>
        <w:t xml:space="preserve">. </w:t>
      </w:r>
      <w:r w:rsidR="002E4736">
        <w:rPr>
          <w:rFonts w:asciiTheme="minorHAnsi" w:hAnsiTheme="minorHAnsi"/>
          <w:bCs/>
          <w:sz w:val="22"/>
          <w:szCs w:val="22"/>
        </w:rPr>
        <w:t>U</w:t>
      </w:r>
      <w:r w:rsidRPr="00F812E5">
        <w:rPr>
          <w:rFonts w:asciiTheme="minorHAnsi" w:hAnsiTheme="minorHAnsi"/>
          <w:bCs/>
          <w:sz w:val="22"/>
          <w:szCs w:val="22"/>
        </w:rPr>
        <w:t>tworzony jest w ramach</w:t>
      </w:r>
      <w:r w:rsidR="008D6160">
        <w:rPr>
          <w:rFonts w:asciiTheme="minorHAnsi" w:hAnsiTheme="minorHAnsi"/>
          <w:bCs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sz w:val="22"/>
          <w:szCs w:val="22"/>
        </w:rPr>
        <w:t>Rady Sanitarno-Epidemiologicznej.</w:t>
      </w:r>
      <w:r w:rsidR="00C95D31">
        <w:rPr>
          <w:rFonts w:asciiTheme="minorHAnsi" w:hAnsiTheme="minorHAnsi"/>
          <w:bCs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Do podstawowych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jego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obowiązków należy wsparcie merytoryczne i naukowe Głównego Inspektora Sanitarnego przy wyjaśnianiu okoliczności dotyczących produktów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, zwłaszcza suplementów diety,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objętych powiadomieniem</w:t>
      </w:r>
      <w:r w:rsidR="003B4096">
        <w:rPr>
          <w:rFonts w:asciiTheme="minorHAnsi" w:hAnsiTheme="minorHAnsi"/>
          <w:bCs/>
          <w:i/>
          <w:iCs/>
          <w:sz w:val="22"/>
          <w:szCs w:val="22"/>
        </w:rPr>
        <w:t xml:space="preserve"> o pierwszym wprowadzaniu do obrotu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, o których mowa w art.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29 ust. 1 i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30 ust.1 z dnia 25 sierpnia 2006 roku o bezpieczeństwie żywności i żywienia, poprzez opracowywanie pisemnych opinii w formie uchwał podejmowanych większością głosów członków Zespołu</w:t>
      </w:r>
      <w:r w:rsidRPr="00F812E5">
        <w:rPr>
          <w:rFonts w:asciiTheme="minorHAnsi" w:hAnsiTheme="minorHAnsi"/>
          <w:bCs/>
          <w:sz w:val="22"/>
          <w:szCs w:val="22"/>
        </w:rPr>
        <w:t xml:space="preserve"> – wyjaśnia dr Joanna Uchańska, Partner w Kancelarii Prawnej Chałas i Wspólnicy.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Oznacza to, że Zespół ten zajmuje się m.in. przygotowywaniem  listy  składników  roślinnych  z uwzględnieniem ich maksymalnych dawek w suplementach diety, monitorowaniem interakcji i działań niepożądanych suplementów diety, a także – o czym głośno w ostatnim czasie – określaniem maksymalnych dawek witamin i składników mineralnych w zalecanej dziennej porcji w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lastRenderedPageBreak/>
        <w:t>suplementach diety, powyżej których wykazują one działanie lecznicze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, a przez to mogłyby być, co do zasady, w oparciu o konkretne przypadki, jako inne produkty </w:t>
      </w:r>
      <w:r w:rsidRPr="00F812E5">
        <w:rPr>
          <w:rFonts w:asciiTheme="minorHAnsi" w:hAnsiTheme="minorHAnsi"/>
          <w:bCs/>
          <w:sz w:val="22"/>
          <w:szCs w:val="22"/>
        </w:rPr>
        <w:t>– dodaje.</w:t>
      </w:r>
    </w:p>
    <w:p w14:paraId="04350026" w14:textId="46A67FB5" w:rsidR="00F812E5" w:rsidRPr="00F812E5" w:rsidRDefault="00F812E5" w:rsidP="00F812E5">
      <w:pPr>
        <w:jc w:val="both"/>
        <w:rPr>
          <w:rFonts w:asciiTheme="minorHAnsi" w:hAnsiTheme="minorHAnsi"/>
          <w:bCs/>
          <w:sz w:val="22"/>
          <w:szCs w:val="22"/>
        </w:rPr>
      </w:pPr>
      <w:r w:rsidRPr="00F812E5">
        <w:rPr>
          <w:rFonts w:asciiTheme="minorHAnsi" w:hAnsiTheme="minorHAnsi"/>
          <w:bCs/>
          <w:sz w:val="22"/>
          <w:szCs w:val="22"/>
        </w:rPr>
        <w:t xml:space="preserve">GIS prowadzi </w:t>
      </w:r>
      <w:r w:rsidR="00E125F9">
        <w:rPr>
          <w:rFonts w:asciiTheme="minorHAnsi" w:hAnsiTheme="minorHAnsi"/>
          <w:bCs/>
          <w:sz w:val="22"/>
          <w:szCs w:val="22"/>
        </w:rPr>
        <w:t xml:space="preserve">aktualnie </w:t>
      </w:r>
      <w:r w:rsidR="00331ABD">
        <w:rPr>
          <w:rFonts w:asciiTheme="minorHAnsi" w:hAnsiTheme="minorHAnsi"/>
          <w:bCs/>
          <w:sz w:val="22"/>
          <w:szCs w:val="22"/>
        </w:rPr>
        <w:t>gigantyczną liczbę</w:t>
      </w:r>
      <w:r w:rsidRPr="00F812E5">
        <w:rPr>
          <w:rFonts w:asciiTheme="minorHAnsi" w:hAnsiTheme="minorHAnsi"/>
          <w:bCs/>
          <w:sz w:val="22"/>
          <w:szCs w:val="22"/>
        </w:rPr>
        <w:t xml:space="preserve"> postępowań w spraw</w:t>
      </w:r>
      <w:r w:rsidR="00E125F9">
        <w:rPr>
          <w:rFonts w:asciiTheme="minorHAnsi" w:hAnsiTheme="minorHAnsi"/>
          <w:bCs/>
          <w:sz w:val="22"/>
          <w:szCs w:val="22"/>
        </w:rPr>
        <w:t>ach związanych z</w:t>
      </w:r>
      <w:r w:rsidRPr="00F812E5">
        <w:rPr>
          <w:rFonts w:asciiTheme="minorHAnsi" w:hAnsiTheme="minorHAnsi"/>
          <w:bCs/>
          <w:sz w:val="22"/>
          <w:szCs w:val="22"/>
        </w:rPr>
        <w:t xml:space="preserve"> notyfikowany</w:t>
      </w:r>
      <w:r w:rsidR="00E125F9">
        <w:rPr>
          <w:rFonts w:asciiTheme="minorHAnsi" w:hAnsiTheme="minorHAnsi"/>
          <w:bCs/>
          <w:sz w:val="22"/>
          <w:szCs w:val="22"/>
        </w:rPr>
        <w:t>mi</w:t>
      </w:r>
      <w:r w:rsidRPr="00F812E5">
        <w:rPr>
          <w:rFonts w:asciiTheme="minorHAnsi" w:hAnsiTheme="minorHAnsi"/>
          <w:bCs/>
          <w:sz w:val="22"/>
          <w:szCs w:val="22"/>
        </w:rPr>
        <w:t xml:space="preserve"> suplement</w:t>
      </w:r>
      <w:r w:rsidR="00E125F9">
        <w:rPr>
          <w:rFonts w:asciiTheme="minorHAnsi" w:hAnsiTheme="minorHAnsi"/>
          <w:bCs/>
          <w:sz w:val="22"/>
          <w:szCs w:val="22"/>
        </w:rPr>
        <w:t>ami</w:t>
      </w:r>
      <w:r w:rsidRPr="00F812E5">
        <w:rPr>
          <w:rFonts w:asciiTheme="minorHAnsi" w:hAnsiTheme="minorHAnsi"/>
          <w:bCs/>
          <w:sz w:val="22"/>
          <w:szCs w:val="22"/>
        </w:rPr>
        <w:t xml:space="preserve"> diety zawierających </w:t>
      </w:r>
      <w:r w:rsidR="00E125F9" w:rsidRPr="00F812E5">
        <w:rPr>
          <w:rFonts w:asciiTheme="minorHAnsi" w:hAnsiTheme="minorHAnsi"/>
          <w:bCs/>
          <w:sz w:val="22"/>
          <w:szCs w:val="22"/>
        </w:rPr>
        <w:t>t</w:t>
      </w:r>
      <w:r w:rsidR="00E125F9">
        <w:rPr>
          <w:rFonts w:asciiTheme="minorHAnsi" w:hAnsiTheme="minorHAnsi"/>
          <w:bCs/>
          <w:sz w:val="22"/>
          <w:szCs w:val="22"/>
        </w:rPr>
        <w:t>akie</w:t>
      </w:r>
      <w:r w:rsidR="00E125F9" w:rsidRPr="00F812E5">
        <w:rPr>
          <w:rFonts w:asciiTheme="minorHAnsi" w:hAnsiTheme="minorHAnsi"/>
          <w:bCs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sz w:val="22"/>
          <w:szCs w:val="22"/>
        </w:rPr>
        <w:t xml:space="preserve">popularne składniki </w:t>
      </w:r>
      <w:r w:rsidR="00E125F9">
        <w:rPr>
          <w:rFonts w:asciiTheme="minorHAnsi" w:hAnsiTheme="minorHAnsi"/>
          <w:bCs/>
          <w:sz w:val="22"/>
          <w:szCs w:val="22"/>
        </w:rPr>
        <w:t>jak</w:t>
      </w:r>
      <w:r w:rsidRPr="00F812E5">
        <w:rPr>
          <w:rFonts w:asciiTheme="minorHAnsi" w:hAnsiTheme="minorHAnsi"/>
          <w:bCs/>
          <w:sz w:val="22"/>
          <w:szCs w:val="22"/>
        </w:rPr>
        <w:t>: witamina A, cynk, niacyna</w:t>
      </w:r>
      <w:r w:rsidR="00E125F9">
        <w:rPr>
          <w:rFonts w:asciiTheme="minorHAnsi" w:hAnsiTheme="minorHAnsi"/>
          <w:bCs/>
          <w:sz w:val="22"/>
          <w:szCs w:val="22"/>
        </w:rPr>
        <w:t xml:space="preserve"> czy </w:t>
      </w:r>
      <w:r w:rsidRPr="00F812E5">
        <w:rPr>
          <w:rFonts w:asciiTheme="minorHAnsi" w:hAnsiTheme="minorHAnsi"/>
          <w:bCs/>
          <w:sz w:val="22"/>
          <w:szCs w:val="22"/>
        </w:rPr>
        <w:t>witamina D</w:t>
      </w:r>
      <w:r w:rsidR="00331ABD">
        <w:rPr>
          <w:rFonts w:asciiTheme="minorHAnsi" w:hAnsiTheme="minorHAnsi"/>
          <w:bCs/>
          <w:sz w:val="22"/>
          <w:szCs w:val="22"/>
        </w:rPr>
        <w:t>, czy w końcu witamina C</w:t>
      </w:r>
      <w:r w:rsidR="00E125F9">
        <w:rPr>
          <w:rFonts w:asciiTheme="minorHAnsi" w:hAnsiTheme="minorHAnsi"/>
          <w:bCs/>
          <w:sz w:val="22"/>
          <w:szCs w:val="22"/>
        </w:rPr>
        <w:t>.</w:t>
      </w:r>
      <w:r w:rsidRPr="00F812E5">
        <w:rPr>
          <w:rFonts w:asciiTheme="minorHAnsi" w:hAnsiTheme="minorHAnsi"/>
          <w:bCs/>
          <w:sz w:val="22"/>
          <w:szCs w:val="22"/>
        </w:rPr>
        <w:t xml:space="preserve"> Postępowania wyjaśniające na podstawie ustawy o bezpieczeństwie żywności i żywienia (art. 30) dotyczą konkretnych, </w:t>
      </w:r>
      <w:r w:rsidR="00331ABD">
        <w:rPr>
          <w:rFonts w:asciiTheme="minorHAnsi" w:hAnsiTheme="minorHAnsi"/>
          <w:bCs/>
          <w:sz w:val="22"/>
          <w:szCs w:val="22"/>
        </w:rPr>
        <w:t xml:space="preserve">obecnych w rejestrze </w:t>
      </w:r>
      <w:proofErr w:type="spellStart"/>
      <w:r w:rsidR="00331ABD">
        <w:rPr>
          <w:rFonts w:asciiTheme="minorHAnsi" w:hAnsiTheme="minorHAnsi"/>
          <w:bCs/>
          <w:sz w:val="22"/>
          <w:szCs w:val="22"/>
        </w:rPr>
        <w:t>GiS</w:t>
      </w:r>
      <w:proofErr w:type="spellEnd"/>
      <w:r w:rsidR="00331ABD">
        <w:rPr>
          <w:rFonts w:asciiTheme="minorHAnsi" w:hAnsiTheme="minorHAnsi"/>
          <w:bCs/>
          <w:sz w:val="22"/>
          <w:szCs w:val="22"/>
        </w:rPr>
        <w:t xml:space="preserve">, a przede wszystkim dostępnych </w:t>
      </w:r>
      <w:r w:rsidRPr="00F812E5">
        <w:rPr>
          <w:rFonts w:asciiTheme="minorHAnsi" w:hAnsiTheme="minorHAnsi"/>
          <w:bCs/>
          <w:sz w:val="22"/>
          <w:szCs w:val="22"/>
        </w:rPr>
        <w:t>na rynku suplementów diety</w:t>
      </w:r>
      <w:r w:rsidR="00331ABD">
        <w:rPr>
          <w:rFonts w:asciiTheme="minorHAnsi" w:hAnsiTheme="minorHAnsi"/>
          <w:bCs/>
          <w:sz w:val="22"/>
          <w:szCs w:val="22"/>
        </w:rPr>
        <w:t>, zwłaszcza dotyczące tak popularnych witamin jak wspomniana witamin D, czy C</w:t>
      </w:r>
      <w:r w:rsidRPr="00F812E5">
        <w:rPr>
          <w:rFonts w:asciiTheme="minorHAnsi" w:hAnsiTheme="minorHAnsi"/>
          <w:bCs/>
          <w:sz w:val="22"/>
          <w:szCs w:val="22"/>
        </w:rPr>
        <w:t>.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P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rowadzone postępowanie wyjaśniające m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oże mieć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konkretne reperkusje dla wszczęcia kontroli i prowadzenia postępowania przez powiatowych inspektorów sanitarnych (art. 31 </w:t>
      </w:r>
      <w:proofErr w:type="spellStart"/>
      <w:r w:rsidRPr="00F812E5">
        <w:rPr>
          <w:rFonts w:asciiTheme="minorHAnsi" w:hAnsiTheme="minorHAnsi"/>
          <w:bCs/>
          <w:i/>
          <w:iCs/>
          <w:sz w:val="22"/>
          <w:szCs w:val="22"/>
        </w:rPr>
        <w:t>u.b.ż.ż</w:t>
      </w:r>
      <w:proofErr w:type="spellEnd"/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.).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Z doświadczenia Kancelarii wynika, że pierwsze pytanie, jakie zadaje sobie branża po lekturze tychże uchwał Zespołu, to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jak przekładają się one na ich produkty i </w:t>
      </w:r>
      <w:proofErr w:type="spellStart"/>
      <w:r w:rsidR="00331ABD">
        <w:rPr>
          <w:rFonts w:asciiTheme="minorHAnsi" w:hAnsiTheme="minorHAnsi"/>
          <w:bCs/>
          <w:i/>
          <w:iCs/>
          <w:sz w:val="22"/>
          <w:szCs w:val="22"/>
        </w:rPr>
        <w:t>formulacje</w:t>
      </w:r>
      <w:proofErr w:type="spellEnd"/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. Niewątpliwie to pytanie związane jest z 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moc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ą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obowiązując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ą tychże uchwał, które jednak nie powinny być k</w:t>
      </w:r>
      <w:r w:rsidR="00515A8A">
        <w:rPr>
          <w:rFonts w:asciiTheme="minorHAnsi" w:hAnsiTheme="minorHAnsi"/>
          <w:bCs/>
          <w:i/>
          <w:iCs/>
          <w:sz w:val="22"/>
          <w:szCs w:val="22"/>
        </w:rPr>
        <w:t>lasyfikowane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 jako źródło powszechnego prawa, bo do takiej kategorii nie należą.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Niemniej, pozostaje wątpliwoś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>ć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, jakie będzie faktyczne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oddziaływanie tychże uchwał na konkretne prowadzone postępowania wyjaśniające oraz postępowania przed pionem sanitarnym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>, mając na względzie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>,</w:t>
      </w:r>
      <w:r w:rsidR="00331ABD">
        <w:rPr>
          <w:rFonts w:asciiTheme="minorHAnsi" w:hAnsiTheme="minorHAnsi"/>
          <w:bCs/>
          <w:i/>
          <w:iCs/>
          <w:sz w:val="22"/>
          <w:szCs w:val="22"/>
        </w:rPr>
        <w:t xml:space="preserve"> że Zespół działa w ramach </w:t>
      </w:r>
      <w:r w:rsidR="000D09AB">
        <w:rPr>
          <w:rFonts w:asciiTheme="minorHAnsi" w:hAnsiTheme="minorHAnsi"/>
          <w:bCs/>
          <w:i/>
          <w:iCs/>
          <w:sz w:val="22"/>
          <w:szCs w:val="22"/>
        </w:rPr>
        <w:t>GIS</w:t>
      </w:r>
      <w:r w:rsidRPr="00F812E5">
        <w:rPr>
          <w:rFonts w:asciiTheme="minorHAnsi" w:hAnsiTheme="minorHAnsi"/>
          <w:bCs/>
          <w:sz w:val="22"/>
          <w:szCs w:val="22"/>
        </w:rPr>
        <w:t xml:space="preserve"> – mówi dr Joanna Uchańska, Partner w Kancelarii Prawnej Chałas i Wspólnicy.</w:t>
      </w:r>
      <w:bookmarkStart w:id="0" w:name="_GoBack"/>
      <w:bookmarkEnd w:id="0"/>
    </w:p>
    <w:p w14:paraId="0A4FE8B0" w14:textId="1A09C3B4" w:rsidR="00FB539B" w:rsidRPr="00F812E5" w:rsidRDefault="000D09AB" w:rsidP="00F812E5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Wynika stąd, że u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chwały </w:t>
      </w:r>
      <w:r w:rsidR="00E125F9">
        <w:rPr>
          <w:rFonts w:asciiTheme="minorHAnsi" w:hAnsiTheme="minorHAnsi"/>
          <w:bCs/>
          <w:sz w:val="22"/>
          <w:szCs w:val="22"/>
        </w:rPr>
        <w:t xml:space="preserve">GIS 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nie mają mocy powszechnie obowiązującej, są dokumentami wewnętrznymi. </w:t>
      </w:r>
      <w:r w:rsidR="00E125F9">
        <w:rPr>
          <w:rFonts w:asciiTheme="minorHAnsi" w:hAnsiTheme="minorHAnsi"/>
          <w:bCs/>
          <w:sz w:val="22"/>
          <w:szCs w:val="22"/>
        </w:rPr>
        <w:t>Nie można jednak zapominać, że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 Zespołowi ustawowo gwarantuje się pozycję opiniodawczą w ramach GIS, który </w:t>
      </w:r>
      <w:r w:rsidR="00E125F9">
        <w:rPr>
          <w:rFonts w:asciiTheme="minorHAnsi" w:hAnsiTheme="minorHAnsi"/>
          <w:bCs/>
          <w:sz w:val="22"/>
          <w:szCs w:val="22"/>
        </w:rPr>
        <w:t xml:space="preserve">może i 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prowadzi konkretne postępowanie. </w:t>
      </w:r>
      <w:r w:rsidR="00E125F9">
        <w:rPr>
          <w:rFonts w:asciiTheme="minorHAnsi" w:hAnsiTheme="minorHAnsi"/>
          <w:bCs/>
          <w:sz w:val="22"/>
          <w:szCs w:val="22"/>
        </w:rPr>
        <w:t xml:space="preserve">Ze względu na </w:t>
      </w:r>
      <w:r w:rsidR="00FB539B">
        <w:rPr>
          <w:rFonts w:asciiTheme="minorHAnsi" w:hAnsiTheme="minorHAnsi"/>
          <w:bCs/>
          <w:sz w:val="22"/>
          <w:szCs w:val="22"/>
        </w:rPr>
        <w:t xml:space="preserve">to </w:t>
      </w:r>
      <w:r w:rsidR="008D6160">
        <w:rPr>
          <w:rFonts w:asciiTheme="minorHAnsi" w:hAnsiTheme="minorHAnsi"/>
          <w:bCs/>
          <w:sz w:val="22"/>
          <w:szCs w:val="22"/>
        </w:rPr>
        <w:t xml:space="preserve">istnieje wysokie ryzyko, że 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uchwały </w:t>
      </w:r>
      <w:r w:rsidR="00E125F9">
        <w:rPr>
          <w:rFonts w:asciiTheme="minorHAnsi" w:hAnsiTheme="minorHAnsi"/>
          <w:bCs/>
          <w:sz w:val="22"/>
          <w:szCs w:val="22"/>
        </w:rPr>
        <w:t xml:space="preserve">dotyczące </w:t>
      </w:r>
      <w:r w:rsidR="00E125F9" w:rsidRPr="00EB45F9">
        <w:rPr>
          <w:rFonts w:asciiTheme="minorHAnsi" w:hAnsiTheme="minorHAnsi"/>
          <w:sz w:val="22"/>
          <w:szCs w:val="22"/>
        </w:rPr>
        <w:t>maksymalnych ilości witamin i składników mineralnych w suplementach dla osób dorosłych</w:t>
      </w:r>
      <w:r w:rsidR="00E125F9" w:rsidRPr="00E125F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będą mieć</w:t>
      </w:r>
      <w:r w:rsidR="00E125F9">
        <w:rPr>
          <w:rFonts w:asciiTheme="minorHAnsi" w:hAnsiTheme="minorHAnsi"/>
          <w:bCs/>
          <w:sz w:val="22"/>
          <w:szCs w:val="22"/>
        </w:rPr>
        <w:t xml:space="preserve"> wpływ</w:t>
      </w:r>
      <w:r w:rsidR="00F812E5" w:rsidRPr="00F812E5">
        <w:rPr>
          <w:rFonts w:asciiTheme="minorHAnsi" w:hAnsiTheme="minorHAnsi"/>
          <w:bCs/>
          <w:sz w:val="22"/>
          <w:szCs w:val="22"/>
        </w:rPr>
        <w:t xml:space="preserve"> na konkretne wyniki prowadzonych przez GIS postępowań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E4DE3A8" w14:textId="358B4365" w:rsidR="00806977" w:rsidRPr="000D09AB" w:rsidRDefault="00F812E5" w:rsidP="00F812E5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F812E5">
        <w:rPr>
          <w:rFonts w:asciiTheme="minorHAnsi" w:hAnsiTheme="minorHAnsi"/>
          <w:bCs/>
          <w:i/>
          <w:iCs/>
          <w:sz w:val="22"/>
          <w:szCs w:val="22"/>
        </w:rPr>
        <w:t>Bardzo prawdopodobn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>e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jest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 xml:space="preserve"> to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, że wiele podmiotów może spotkać się na etapie postępowania administracyjnego z powoływaniem się na </w:t>
      </w:r>
      <w:r w:rsidR="000D09AB">
        <w:rPr>
          <w:rFonts w:asciiTheme="minorHAnsi" w:hAnsiTheme="minorHAnsi"/>
          <w:bCs/>
          <w:i/>
          <w:iCs/>
          <w:sz w:val="22"/>
          <w:szCs w:val="22"/>
        </w:rPr>
        <w:t xml:space="preserve">najnowsze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uchwały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 xml:space="preserve"> GIS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. Pozostaje jednak dodatkowe pytanie, czy przedsiębiorca, który ma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świadomość</w:t>
      </w:r>
      <w:r w:rsidR="00806977">
        <w:rPr>
          <w:rFonts w:asciiTheme="minorHAnsi" w:hAnsiTheme="minorHAnsi"/>
          <w:bCs/>
          <w:i/>
          <w:iCs/>
          <w:sz w:val="22"/>
          <w:szCs w:val="22"/>
        </w:rPr>
        <w:t xml:space="preserve"> treści tychże uchwał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, powinien podejmować działania 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 xml:space="preserve">z 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>własne</w:t>
      </w:r>
      <w:r w:rsidR="00FB539B">
        <w:rPr>
          <w:rFonts w:asciiTheme="minorHAnsi" w:hAnsiTheme="minorHAnsi"/>
          <w:bCs/>
          <w:i/>
          <w:iCs/>
          <w:sz w:val="22"/>
          <w:szCs w:val="22"/>
        </w:rPr>
        <w:t>j inicjatywy</w:t>
      </w:r>
      <w:r w:rsidRPr="00F812E5">
        <w:rPr>
          <w:rFonts w:asciiTheme="minorHAnsi" w:hAnsiTheme="minorHAnsi"/>
          <w:bCs/>
          <w:i/>
          <w:iCs/>
          <w:sz w:val="22"/>
          <w:szCs w:val="22"/>
        </w:rPr>
        <w:t xml:space="preserve"> w myśl zasad prawa żywnościowego</w:t>
      </w:r>
      <w:r w:rsidRPr="00F812E5">
        <w:rPr>
          <w:rFonts w:asciiTheme="minorHAnsi" w:hAnsiTheme="minorHAnsi"/>
          <w:b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sz w:val="22"/>
          <w:szCs w:val="22"/>
        </w:rPr>
        <w:t>–</w:t>
      </w:r>
      <w:r w:rsidRPr="00F812E5">
        <w:rPr>
          <w:rFonts w:asciiTheme="minorHAnsi" w:hAnsiTheme="minorHAnsi"/>
          <w:b/>
          <w:sz w:val="22"/>
          <w:szCs w:val="22"/>
        </w:rPr>
        <w:t xml:space="preserve"> </w:t>
      </w:r>
      <w:r w:rsidRPr="00F812E5">
        <w:rPr>
          <w:rFonts w:asciiTheme="minorHAnsi" w:hAnsiTheme="minorHAnsi"/>
          <w:bCs/>
          <w:sz w:val="22"/>
          <w:szCs w:val="22"/>
        </w:rPr>
        <w:t>podsumowuje dr Joanna Uchańska, Partner w Kancelarii Prawnej Chałas i Wspólnicy</w:t>
      </w:r>
      <w:r w:rsidR="000D09AB">
        <w:rPr>
          <w:rFonts w:asciiTheme="minorHAnsi" w:hAnsiTheme="minorHAnsi"/>
          <w:bCs/>
          <w:sz w:val="22"/>
          <w:szCs w:val="22"/>
        </w:rPr>
        <w:t xml:space="preserve"> – </w:t>
      </w:r>
      <w:r w:rsidR="000D09AB">
        <w:rPr>
          <w:rFonts w:asciiTheme="minorHAnsi" w:hAnsiTheme="minorHAnsi"/>
          <w:bCs/>
          <w:i/>
          <w:iCs/>
          <w:sz w:val="22"/>
          <w:szCs w:val="22"/>
        </w:rPr>
        <w:t>Z dużym prawdopodobieństwem należy zakładać, że nie są to ostatnie uchwały tegoż Zespołu, a kolejnych można spodziewać się wkrótce</w:t>
      </w:r>
      <w:r w:rsidR="00806977">
        <w:rPr>
          <w:rFonts w:asciiTheme="minorHAnsi" w:hAnsiTheme="minorHAnsi"/>
          <w:bCs/>
          <w:i/>
          <w:iCs/>
          <w:sz w:val="22"/>
          <w:szCs w:val="22"/>
        </w:rPr>
        <w:t xml:space="preserve"> (jesienią), dla kolejnych witamin i składników mineralnych</w:t>
      </w:r>
      <w:r w:rsidR="000D09AB">
        <w:rPr>
          <w:rFonts w:asciiTheme="minorHAnsi" w:hAnsiTheme="minorHAnsi"/>
          <w:bCs/>
          <w:i/>
          <w:iCs/>
          <w:sz w:val="22"/>
          <w:szCs w:val="22"/>
        </w:rPr>
        <w:t>. Z pełnym przekonaniem stwierdzam, że</w:t>
      </w:r>
      <w:r w:rsidR="00764FC8">
        <w:rPr>
          <w:rFonts w:asciiTheme="minorHAnsi" w:hAnsiTheme="minorHAnsi"/>
          <w:bCs/>
          <w:i/>
          <w:iCs/>
          <w:sz w:val="22"/>
          <w:szCs w:val="22"/>
        </w:rPr>
        <w:t xml:space="preserve"> branża, podchodząc odpowiedzialnie do projektowania swoich produktów, powinna zwrócić na te uchwały uwagę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 xml:space="preserve"> – </w:t>
      </w:r>
      <w:r w:rsidR="00764FC8">
        <w:rPr>
          <w:rFonts w:asciiTheme="minorHAnsi" w:hAnsiTheme="minorHAnsi"/>
          <w:bCs/>
          <w:i/>
          <w:iCs/>
          <w:sz w:val="22"/>
          <w:szCs w:val="22"/>
        </w:rPr>
        <w:t>także na ich treść. Należy jednak pamiętać, że podstawową zasad</w:t>
      </w:r>
      <w:r w:rsidR="00806977">
        <w:rPr>
          <w:rFonts w:asciiTheme="minorHAnsi" w:hAnsiTheme="minorHAnsi"/>
          <w:bCs/>
          <w:i/>
          <w:iCs/>
          <w:sz w:val="22"/>
          <w:szCs w:val="22"/>
        </w:rPr>
        <w:t>ą</w:t>
      </w:r>
      <w:r w:rsidR="00764FC8">
        <w:rPr>
          <w:rFonts w:asciiTheme="minorHAnsi" w:hAnsiTheme="minorHAnsi"/>
          <w:bCs/>
          <w:i/>
          <w:iCs/>
          <w:sz w:val="22"/>
          <w:szCs w:val="22"/>
        </w:rPr>
        <w:t xml:space="preserve"> tworzenia składu suplementów diety, jest oparcie się o najnowsze wyniki badań</w:t>
      </w:r>
      <w:r w:rsidR="00806977">
        <w:rPr>
          <w:rFonts w:asciiTheme="minorHAnsi" w:hAnsiTheme="minorHAnsi"/>
          <w:bCs/>
          <w:i/>
          <w:iCs/>
          <w:sz w:val="22"/>
          <w:szCs w:val="22"/>
        </w:rPr>
        <w:t xml:space="preserve"> i stan wiedzy, a także szalenie ważne bezpieczeństwo konsumentów – te okoliczności powinny być podstawą wewnętrznych prowadzonych ocen suplementów diety. Podejście ostrożnościowe jest dobre</w:t>
      </w:r>
      <w:r w:rsidR="001838F8">
        <w:rPr>
          <w:rFonts w:asciiTheme="minorHAnsi" w:hAnsiTheme="minorHAnsi"/>
          <w:bCs/>
          <w:i/>
          <w:iCs/>
          <w:sz w:val="22"/>
          <w:szCs w:val="22"/>
        </w:rPr>
        <w:t>. Niemniej może okazać się, w świetle kolejnych wyników badań,</w:t>
      </w:r>
      <w:r w:rsidR="00806977">
        <w:rPr>
          <w:rFonts w:asciiTheme="minorHAnsi" w:hAnsiTheme="minorHAnsi"/>
          <w:bCs/>
          <w:i/>
          <w:iCs/>
          <w:sz w:val="22"/>
          <w:szCs w:val="22"/>
        </w:rPr>
        <w:t xml:space="preserve"> że konkretna substancja z uwagi na niskie stężenie może nie oddziaływać na konkretny organizm człowieka. Wskazane uchwały wydane są w oparciu o określone, wybrane źródła naukowe przywołane w samych uchwałach – cechą nauki jest jednak dynamika, zmienność i nieskończoność, co powinno być brane pod uwagę także przez organy na etapie kolejnych postępowań, które prowadzą obecnie, ale i będą prowadzić w przyszłości</w:t>
      </w:r>
      <w:r w:rsidR="008D6160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4C407C3A" w14:textId="5C8EBC7B" w:rsidR="00F812E5" w:rsidRPr="00F812E5" w:rsidRDefault="00D67231" w:rsidP="00F812E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A5FB" wp14:editId="48FE7C5A">
                <wp:simplePos x="0" y="0"/>
                <wp:positionH relativeFrom="column">
                  <wp:posOffset>-12458</wp:posOffset>
                </wp:positionH>
                <wp:positionV relativeFrom="paragraph">
                  <wp:posOffset>88694</wp:posOffset>
                </wp:positionV>
                <wp:extent cx="5983242" cy="15857"/>
                <wp:effectExtent l="0" t="0" r="3683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42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F289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pt" to="47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" strokecolor="black [3040]"/>
            </w:pict>
          </mc:Fallback>
        </mc:AlternateContent>
      </w:r>
    </w:p>
    <w:p w14:paraId="149513A1" w14:textId="3B3B4630" w:rsidR="00D67231" w:rsidRPr="00D67231" w:rsidRDefault="00D67231" w:rsidP="00D67231">
      <w:pPr>
        <w:jc w:val="both"/>
        <w:rPr>
          <w:rFonts w:asciiTheme="minorHAnsi" w:hAnsiTheme="minorHAnsi"/>
          <w:sz w:val="20"/>
          <w:szCs w:val="20"/>
        </w:rPr>
      </w:pPr>
      <w:r w:rsidRPr="00D67231">
        <w:rPr>
          <w:rFonts w:asciiTheme="minorHAnsi" w:hAnsiTheme="minorHAnsi"/>
          <w:b/>
          <w:bCs/>
          <w:sz w:val="20"/>
          <w:szCs w:val="20"/>
        </w:rPr>
        <w:t xml:space="preserve">dr Joanna Uchańska – </w:t>
      </w:r>
      <w:r w:rsidRPr="00D67231">
        <w:rPr>
          <w:rFonts w:asciiTheme="minorHAnsi" w:hAnsiTheme="minorHAnsi"/>
          <w:sz w:val="20"/>
          <w:szCs w:val="20"/>
        </w:rPr>
        <w:t xml:space="preserve">Managing Associate, Radca Prawny w Kancelarii Prawnej Chałas i Wspólnicy, Szef Praktyki Life Science and Healthcare oraz wykładowca Uniwersytetu Jagiellońskiego. Zajmuje się prawnymi aspektami life </w:t>
      </w:r>
      <w:r w:rsidRPr="00D67231">
        <w:rPr>
          <w:rFonts w:asciiTheme="minorHAnsi" w:hAnsiTheme="minorHAnsi"/>
          <w:sz w:val="20"/>
          <w:szCs w:val="20"/>
        </w:rPr>
        <w:lastRenderedPageBreak/>
        <w:t xml:space="preserve">science, przede wszystkim w branżach biotechnologicznej, farmaceutycznej, medycznej, spożywczej i beauty. W obszarze jej zainteresowań jest także prawo własności przemysłowej, prawo cywilne i ochrona dóbr osobistych. Doradza zarówno podmiotom gospodarczym, jaki i klientom indywidualnym. Członek organizacji branżowych, w tym Krajowej Rady Suplementów i Odżywek (członek zarządu). Napisała kilkadziesiąt artykułów naukowych i branżowych m.in. na temat prawa medycznego, farmaceutycznego i spożywczego. Współautorka drugiego wydania „Prawa patentowego” M. </w:t>
      </w:r>
      <w:proofErr w:type="spellStart"/>
      <w:r w:rsidRPr="00D67231">
        <w:rPr>
          <w:rFonts w:asciiTheme="minorHAnsi" w:hAnsiTheme="minorHAnsi"/>
          <w:sz w:val="20"/>
          <w:szCs w:val="20"/>
        </w:rPr>
        <w:t>du</w:t>
      </w:r>
      <w:proofErr w:type="spellEnd"/>
      <w:r w:rsidRPr="00D67231">
        <w:rPr>
          <w:rFonts w:asciiTheme="minorHAnsi" w:hAnsiTheme="minorHAnsi"/>
          <w:sz w:val="20"/>
          <w:szCs w:val="20"/>
        </w:rPr>
        <w:t xml:space="preserve"> Valla pod red. E. </w:t>
      </w:r>
      <w:proofErr w:type="spellStart"/>
      <w:r w:rsidRPr="00D67231">
        <w:rPr>
          <w:rFonts w:asciiTheme="minorHAnsi" w:hAnsiTheme="minorHAnsi"/>
          <w:sz w:val="20"/>
          <w:szCs w:val="20"/>
        </w:rPr>
        <w:t>Traple</w:t>
      </w:r>
      <w:proofErr w:type="spellEnd"/>
      <w:r w:rsidRPr="00D67231">
        <w:rPr>
          <w:rFonts w:asciiTheme="minorHAnsi" w:hAnsiTheme="minorHAnsi"/>
          <w:sz w:val="20"/>
          <w:szCs w:val="20"/>
        </w:rPr>
        <w:t>.</w:t>
      </w:r>
    </w:p>
    <w:p w14:paraId="6AE2D753" w14:textId="77777777" w:rsidR="00D67231" w:rsidRDefault="00D67231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A950FE6" w14:textId="6C00845D" w:rsidR="007D4853" w:rsidRPr="007D4853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3C4BA5AB" w:rsidR="00BF2913" w:rsidRPr="002139E0" w:rsidRDefault="00E87101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2139E0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2139E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44F0C6AB" w14:textId="3A3628AD" w:rsidR="0002416D" w:rsidRPr="00714502" w:rsidRDefault="0002416D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714502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Milena Małyszek</w:t>
      </w:r>
    </w:p>
    <w:p w14:paraId="5AD0AD38" w14:textId="2A8BE930" w:rsidR="002139E0" w:rsidRPr="00E47BF3" w:rsidRDefault="00E87101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GB"/>
        </w:rPr>
      </w:pPr>
      <w:hyperlink r:id="rId12" w:history="1">
        <w:r w:rsidR="00BD4DCA" w:rsidRPr="00E47BF3">
          <w:rPr>
            <w:rStyle w:val="Hipercze"/>
            <w:rFonts w:asciiTheme="minorHAnsi" w:hAnsiTheme="minorHAnsi"/>
            <w:sz w:val="20"/>
            <w:szCs w:val="20"/>
            <w:lang w:val="en-GB"/>
          </w:rPr>
          <w:t>milena.malyszek@triplepr.pl</w:t>
        </w:r>
      </w:hyperlink>
    </w:p>
    <w:p w14:paraId="629A32B2" w14:textId="77777777" w:rsidR="00BD4DCA" w:rsidRPr="00BD4DCA" w:rsidRDefault="00BD4DCA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987E73B" w14:textId="77777777" w:rsidR="00BF2913" w:rsidRPr="00714502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BF2913" w:rsidRPr="00714502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0637" w14:textId="77777777" w:rsidR="00E87101" w:rsidRDefault="00E87101">
      <w:r>
        <w:separator/>
      </w:r>
    </w:p>
  </w:endnote>
  <w:endnote w:type="continuationSeparator" w:id="0">
    <w:p w14:paraId="682CC1D1" w14:textId="77777777" w:rsidR="00E87101" w:rsidRDefault="00E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FB539B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04EA" w14:textId="77777777" w:rsidR="00E87101" w:rsidRDefault="00E87101">
      <w:r>
        <w:separator/>
      </w:r>
    </w:p>
  </w:footnote>
  <w:footnote w:type="continuationSeparator" w:id="0">
    <w:p w14:paraId="597C0050" w14:textId="77777777" w:rsidR="00E87101" w:rsidRDefault="00E87101">
      <w:r>
        <w:continuationSeparator/>
      </w:r>
    </w:p>
  </w:footnote>
  <w:footnote w:id="1">
    <w:p w14:paraId="2A12DB65" w14:textId="6EC1258A" w:rsidR="003B4096" w:rsidRDefault="003B40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12E5">
        <w:rPr>
          <w:rFonts w:asciiTheme="minorHAnsi" w:hAnsiTheme="minorHAnsi"/>
          <w:bCs/>
          <w:sz w:val="22"/>
          <w:szCs w:val="22"/>
        </w:rPr>
        <w:t>Dz. U. z 2019 r, poz. 59</w:t>
      </w:r>
      <w:r w:rsidR="00521AFC">
        <w:rPr>
          <w:rFonts w:asciiTheme="minorHAnsi" w:hAnsiTheme="minorHAnsi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A29"/>
    <w:multiLevelType w:val="hybridMultilevel"/>
    <w:tmpl w:val="C6D8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3400A"/>
    <w:multiLevelType w:val="hybridMultilevel"/>
    <w:tmpl w:val="AB742DD2"/>
    <w:lvl w:ilvl="0" w:tplc="8942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93948"/>
    <w:multiLevelType w:val="hybridMultilevel"/>
    <w:tmpl w:val="F2F078A8"/>
    <w:lvl w:ilvl="0" w:tplc="82AA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0"/>
  </w:num>
  <w:num w:numId="5">
    <w:abstractNumId w:val="24"/>
  </w:num>
  <w:num w:numId="6">
    <w:abstractNumId w:val="3"/>
  </w:num>
  <w:num w:numId="7">
    <w:abstractNumId w:val="11"/>
  </w:num>
  <w:num w:numId="8">
    <w:abstractNumId w:val="17"/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4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12"/>
  </w:num>
  <w:num w:numId="20">
    <w:abstractNumId w:val="7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25"/>
  </w:num>
  <w:num w:numId="26">
    <w:abstractNumId w:val="16"/>
  </w:num>
  <w:num w:numId="27">
    <w:abstractNumId w:val="22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2416D"/>
    <w:rsid w:val="00034DB0"/>
    <w:rsid w:val="00040DD0"/>
    <w:rsid w:val="00041506"/>
    <w:rsid w:val="000444B0"/>
    <w:rsid w:val="000470BA"/>
    <w:rsid w:val="00047832"/>
    <w:rsid w:val="00050FDC"/>
    <w:rsid w:val="00052EFE"/>
    <w:rsid w:val="0005326F"/>
    <w:rsid w:val="00054FCD"/>
    <w:rsid w:val="00067938"/>
    <w:rsid w:val="0008647A"/>
    <w:rsid w:val="000A28F8"/>
    <w:rsid w:val="000A3E19"/>
    <w:rsid w:val="000A4093"/>
    <w:rsid w:val="000A5D6E"/>
    <w:rsid w:val="000B42E5"/>
    <w:rsid w:val="000B7453"/>
    <w:rsid w:val="000C5454"/>
    <w:rsid w:val="000D09AB"/>
    <w:rsid w:val="000D0AF5"/>
    <w:rsid w:val="000D27F4"/>
    <w:rsid w:val="000D3432"/>
    <w:rsid w:val="000E6333"/>
    <w:rsid w:val="000F7428"/>
    <w:rsid w:val="000F74B1"/>
    <w:rsid w:val="00103371"/>
    <w:rsid w:val="00126C0F"/>
    <w:rsid w:val="0013417D"/>
    <w:rsid w:val="001437B7"/>
    <w:rsid w:val="00143E4B"/>
    <w:rsid w:val="00147978"/>
    <w:rsid w:val="001539E0"/>
    <w:rsid w:val="001652C8"/>
    <w:rsid w:val="00167E1E"/>
    <w:rsid w:val="00176371"/>
    <w:rsid w:val="001807B9"/>
    <w:rsid w:val="00181058"/>
    <w:rsid w:val="001838F8"/>
    <w:rsid w:val="00187432"/>
    <w:rsid w:val="00187751"/>
    <w:rsid w:val="001A129C"/>
    <w:rsid w:val="001A143B"/>
    <w:rsid w:val="001A6B67"/>
    <w:rsid w:val="001B23DE"/>
    <w:rsid w:val="001D0F38"/>
    <w:rsid w:val="001D530A"/>
    <w:rsid w:val="001E62F3"/>
    <w:rsid w:val="001E78FC"/>
    <w:rsid w:val="00207FBE"/>
    <w:rsid w:val="002139E0"/>
    <w:rsid w:val="0021580F"/>
    <w:rsid w:val="002160F4"/>
    <w:rsid w:val="002170CB"/>
    <w:rsid w:val="0021717B"/>
    <w:rsid w:val="002221ED"/>
    <w:rsid w:val="00225BAA"/>
    <w:rsid w:val="00230B62"/>
    <w:rsid w:val="00245460"/>
    <w:rsid w:val="00257835"/>
    <w:rsid w:val="0027289D"/>
    <w:rsid w:val="00274054"/>
    <w:rsid w:val="0027539E"/>
    <w:rsid w:val="002833ED"/>
    <w:rsid w:val="00287CBB"/>
    <w:rsid w:val="00294AFA"/>
    <w:rsid w:val="002959C2"/>
    <w:rsid w:val="002A090D"/>
    <w:rsid w:val="002A1F19"/>
    <w:rsid w:val="002A4098"/>
    <w:rsid w:val="002B5DA0"/>
    <w:rsid w:val="002D4590"/>
    <w:rsid w:val="002D4834"/>
    <w:rsid w:val="002D73DD"/>
    <w:rsid w:val="002D7578"/>
    <w:rsid w:val="002E4736"/>
    <w:rsid w:val="002E50BF"/>
    <w:rsid w:val="002E5D71"/>
    <w:rsid w:val="002F55CB"/>
    <w:rsid w:val="002F5B8A"/>
    <w:rsid w:val="00303451"/>
    <w:rsid w:val="00310620"/>
    <w:rsid w:val="00311DBC"/>
    <w:rsid w:val="003170C7"/>
    <w:rsid w:val="00323A65"/>
    <w:rsid w:val="0032715A"/>
    <w:rsid w:val="003314B1"/>
    <w:rsid w:val="003317C7"/>
    <w:rsid w:val="00331ABD"/>
    <w:rsid w:val="00341E43"/>
    <w:rsid w:val="003424C7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A4EFE"/>
    <w:rsid w:val="003B3531"/>
    <w:rsid w:val="003B4096"/>
    <w:rsid w:val="003B46A0"/>
    <w:rsid w:val="003B6E64"/>
    <w:rsid w:val="003C5E32"/>
    <w:rsid w:val="003D51B8"/>
    <w:rsid w:val="003D65DF"/>
    <w:rsid w:val="003E2BB1"/>
    <w:rsid w:val="003E3606"/>
    <w:rsid w:val="003E5AE3"/>
    <w:rsid w:val="003F17BE"/>
    <w:rsid w:val="003F51EE"/>
    <w:rsid w:val="00401AF2"/>
    <w:rsid w:val="00407CCF"/>
    <w:rsid w:val="00410547"/>
    <w:rsid w:val="0042351B"/>
    <w:rsid w:val="0043234A"/>
    <w:rsid w:val="00434DA8"/>
    <w:rsid w:val="004352E2"/>
    <w:rsid w:val="004406C7"/>
    <w:rsid w:val="00457904"/>
    <w:rsid w:val="004716D7"/>
    <w:rsid w:val="00472892"/>
    <w:rsid w:val="00475A9D"/>
    <w:rsid w:val="00482C6D"/>
    <w:rsid w:val="00492E3A"/>
    <w:rsid w:val="00492EC4"/>
    <w:rsid w:val="0049315C"/>
    <w:rsid w:val="004A3B32"/>
    <w:rsid w:val="004B0B57"/>
    <w:rsid w:val="004B26F2"/>
    <w:rsid w:val="004B3E54"/>
    <w:rsid w:val="004B6A8A"/>
    <w:rsid w:val="004C2451"/>
    <w:rsid w:val="004D014A"/>
    <w:rsid w:val="004D09D8"/>
    <w:rsid w:val="004D63A6"/>
    <w:rsid w:val="004D6C5C"/>
    <w:rsid w:val="004F363E"/>
    <w:rsid w:val="0050046B"/>
    <w:rsid w:val="00500F1E"/>
    <w:rsid w:val="00515A8A"/>
    <w:rsid w:val="0051658E"/>
    <w:rsid w:val="00516F93"/>
    <w:rsid w:val="005217F9"/>
    <w:rsid w:val="00521AFC"/>
    <w:rsid w:val="00524895"/>
    <w:rsid w:val="00526E39"/>
    <w:rsid w:val="005305D4"/>
    <w:rsid w:val="0053625A"/>
    <w:rsid w:val="00540247"/>
    <w:rsid w:val="00540588"/>
    <w:rsid w:val="00543110"/>
    <w:rsid w:val="00551967"/>
    <w:rsid w:val="005534DE"/>
    <w:rsid w:val="00557667"/>
    <w:rsid w:val="005617B4"/>
    <w:rsid w:val="00562431"/>
    <w:rsid w:val="005709F4"/>
    <w:rsid w:val="00581B60"/>
    <w:rsid w:val="005830E9"/>
    <w:rsid w:val="005835A6"/>
    <w:rsid w:val="00584446"/>
    <w:rsid w:val="00587D89"/>
    <w:rsid w:val="005965E2"/>
    <w:rsid w:val="005A3249"/>
    <w:rsid w:val="005A7DD5"/>
    <w:rsid w:val="005B20E0"/>
    <w:rsid w:val="005C0CF8"/>
    <w:rsid w:val="005D178F"/>
    <w:rsid w:val="005D57F5"/>
    <w:rsid w:val="005D5D81"/>
    <w:rsid w:val="005D6C09"/>
    <w:rsid w:val="005F0147"/>
    <w:rsid w:val="005F5577"/>
    <w:rsid w:val="005F6E9A"/>
    <w:rsid w:val="00605D7B"/>
    <w:rsid w:val="00610ADA"/>
    <w:rsid w:val="00613576"/>
    <w:rsid w:val="00614128"/>
    <w:rsid w:val="006262DF"/>
    <w:rsid w:val="00634945"/>
    <w:rsid w:val="00637BD8"/>
    <w:rsid w:val="00642ADF"/>
    <w:rsid w:val="006454C6"/>
    <w:rsid w:val="00646C63"/>
    <w:rsid w:val="00647A5E"/>
    <w:rsid w:val="0065147A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450E"/>
    <w:rsid w:val="006A07A2"/>
    <w:rsid w:val="006A31AB"/>
    <w:rsid w:val="006A4693"/>
    <w:rsid w:val="006A6F24"/>
    <w:rsid w:val="006B02D3"/>
    <w:rsid w:val="006B4A4F"/>
    <w:rsid w:val="006B5799"/>
    <w:rsid w:val="006B7867"/>
    <w:rsid w:val="006C2011"/>
    <w:rsid w:val="006C5FF9"/>
    <w:rsid w:val="006C7DF8"/>
    <w:rsid w:val="006D0275"/>
    <w:rsid w:val="006D0C44"/>
    <w:rsid w:val="006D1987"/>
    <w:rsid w:val="006D36B5"/>
    <w:rsid w:val="006D46D9"/>
    <w:rsid w:val="006D5120"/>
    <w:rsid w:val="006E4F32"/>
    <w:rsid w:val="006F18D6"/>
    <w:rsid w:val="006F328E"/>
    <w:rsid w:val="00701E80"/>
    <w:rsid w:val="00702C54"/>
    <w:rsid w:val="00706424"/>
    <w:rsid w:val="00707F8B"/>
    <w:rsid w:val="007109FE"/>
    <w:rsid w:val="00714502"/>
    <w:rsid w:val="00714F05"/>
    <w:rsid w:val="00720960"/>
    <w:rsid w:val="007340E7"/>
    <w:rsid w:val="00734868"/>
    <w:rsid w:val="00734D42"/>
    <w:rsid w:val="00736EBF"/>
    <w:rsid w:val="00737FC0"/>
    <w:rsid w:val="007438E8"/>
    <w:rsid w:val="00743DA6"/>
    <w:rsid w:val="007603E6"/>
    <w:rsid w:val="00764FC8"/>
    <w:rsid w:val="0076521D"/>
    <w:rsid w:val="00777C03"/>
    <w:rsid w:val="007869D8"/>
    <w:rsid w:val="0079526F"/>
    <w:rsid w:val="007A1DC5"/>
    <w:rsid w:val="007A49CC"/>
    <w:rsid w:val="007B338F"/>
    <w:rsid w:val="007B6339"/>
    <w:rsid w:val="007C29FB"/>
    <w:rsid w:val="007C4581"/>
    <w:rsid w:val="007C5641"/>
    <w:rsid w:val="007C7EB6"/>
    <w:rsid w:val="007D3F95"/>
    <w:rsid w:val="007D4853"/>
    <w:rsid w:val="007E1793"/>
    <w:rsid w:val="007E193D"/>
    <w:rsid w:val="007E6283"/>
    <w:rsid w:val="007F355C"/>
    <w:rsid w:val="00806977"/>
    <w:rsid w:val="0081485A"/>
    <w:rsid w:val="00814970"/>
    <w:rsid w:val="0081796E"/>
    <w:rsid w:val="00822EEA"/>
    <w:rsid w:val="00831CB7"/>
    <w:rsid w:val="00833AAE"/>
    <w:rsid w:val="008348FE"/>
    <w:rsid w:val="00841A3B"/>
    <w:rsid w:val="0084253F"/>
    <w:rsid w:val="00846258"/>
    <w:rsid w:val="008523F2"/>
    <w:rsid w:val="00857046"/>
    <w:rsid w:val="00857946"/>
    <w:rsid w:val="00866D49"/>
    <w:rsid w:val="008718B6"/>
    <w:rsid w:val="00875ED7"/>
    <w:rsid w:val="00877032"/>
    <w:rsid w:val="00895438"/>
    <w:rsid w:val="008A71DD"/>
    <w:rsid w:val="008C0599"/>
    <w:rsid w:val="008C2D20"/>
    <w:rsid w:val="008D1581"/>
    <w:rsid w:val="008D51BD"/>
    <w:rsid w:val="008D6160"/>
    <w:rsid w:val="008E178B"/>
    <w:rsid w:val="008E2463"/>
    <w:rsid w:val="008E60C7"/>
    <w:rsid w:val="008F6560"/>
    <w:rsid w:val="009011C3"/>
    <w:rsid w:val="009043F2"/>
    <w:rsid w:val="00916304"/>
    <w:rsid w:val="00916916"/>
    <w:rsid w:val="009203B7"/>
    <w:rsid w:val="00920436"/>
    <w:rsid w:val="00923849"/>
    <w:rsid w:val="0092409D"/>
    <w:rsid w:val="00927E14"/>
    <w:rsid w:val="00932830"/>
    <w:rsid w:val="009545A0"/>
    <w:rsid w:val="0095591A"/>
    <w:rsid w:val="00957BF9"/>
    <w:rsid w:val="00963DA5"/>
    <w:rsid w:val="0096437C"/>
    <w:rsid w:val="00972033"/>
    <w:rsid w:val="009723CD"/>
    <w:rsid w:val="009745DF"/>
    <w:rsid w:val="00981EED"/>
    <w:rsid w:val="009857E4"/>
    <w:rsid w:val="00990F53"/>
    <w:rsid w:val="009933E1"/>
    <w:rsid w:val="009A1CE7"/>
    <w:rsid w:val="009B0479"/>
    <w:rsid w:val="009B47DA"/>
    <w:rsid w:val="009B72A9"/>
    <w:rsid w:val="009C20A7"/>
    <w:rsid w:val="009C4DDF"/>
    <w:rsid w:val="009D188E"/>
    <w:rsid w:val="009E05D8"/>
    <w:rsid w:val="009E244F"/>
    <w:rsid w:val="009E7794"/>
    <w:rsid w:val="009F2D04"/>
    <w:rsid w:val="009F7FD0"/>
    <w:rsid w:val="00A00CC6"/>
    <w:rsid w:val="00A10F34"/>
    <w:rsid w:val="00A33091"/>
    <w:rsid w:val="00A434B6"/>
    <w:rsid w:val="00A45D25"/>
    <w:rsid w:val="00A4608A"/>
    <w:rsid w:val="00A47410"/>
    <w:rsid w:val="00A532D8"/>
    <w:rsid w:val="00A5584B"/>
    <w:rsid w:val="00A577C2"/>
    <w:rsid w:val="00A61837"/>
    <w:rsid w:val="00A62200"/>
    <w:rsid w:val="00A63324"/>
    <w:rsid w:val="00A668B1"/>
    <w:rsid w:val="00A75184"/>
    <w:rsid w:val="00A8468C"/>
    <w:rsid w:val="00A94D6F"/>
    <w:rsid w:val="00A9758E"/>
    <w:rsid w:val="00AC01F7"/>
    <w:rsid w:val="00AC3F7A"/>
    <w:rsid w:val="00AC48B8"/>
    <w:rsid w:val="00AC54F0"/>
    <w:rsid w:val="00AD5049"/>
    <w:rsid w:val="00AE12A6"/>
    <w:rsid w:val="00AF7987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40F13"/>
    <w:rsid w:val="00B443E9"/>
    <w:rsid w:val="00B52D35"/>
    <w:rsid w:val="00B52EEB"/>
    <w:rsid w:val="00B5776E"/>
    <w:rsid w:val="00B6482C"/>
    <w:rsid w:val="00B66BF8"/>
    <w:rsid w:val="00B70A47"/>
    <w:rsid w:val="00B712EA"/>
    <w:rsid w:val="00B7318D"/>
    <w:rsid w:val="00B75F53"/>
    <w:rsid w:val="00B801A3"/>
    <w:rsid w:val="00B81049"/>
    <w:rsid w:val="00B86E60"/>
    <w:rsid w:val="00B97B29"/>
    <w:rsid w:val="00BA2A88"/>
    <w:rsid w:val="00BB4D0A"/>
    <w:rsid w:val="00BC62D2"/>
    <w:rsid w:val="00BD3F7A"/>
    <w:rsid w:val="00BD4DCA"/>
    <w:rsid w:val="00BE1722"/>
    <w:rsid w:val="00BF0369"/>
    <w:rsid w:val="00BF14C6"/>
    <w:rsid w:val="00BF2913"/>
    <w:rsid w:val="00C21239"/>
    <w:rsid w:val="00C21DE4"/>
    <w:rsid w:val="00C256F6"/>
    <w:rsid w:val="00C34A5B"/>
    <w:rsid w:val="00C36331"/>
    <w:rsid w:val="00C37706"/>
    <w:rsid w:val="00C43E34"/>
    <w:rsid w:val="00C44944"/>
    <w:rsid w:val="00C45505"/>
    <w:rsid w:val="00C4578C"/>
    <w:rsid w:val="00C45CF1"/>
    <w:rsid w:val="00C50B0F"/>
    <w:rsid w:val="00C621EE"/>
    <w:rsid w:val="00C630B8"/>
    <w:rsid w:val="00C667FE"/>
    <w:rsid w:val="00C70713"/>
    <w:rsid w:val="00C7332A"/>
    <w:rsid w:val="00C77086"/>
    <w:rsid w:val="00C90CB8"/>
    <w:rsid w:val="00C925C8"/>
    <w:rsid w:val="00C93930"/>
    <w:rsid w:val="00C9407E"/>
    <w:rsid w:val="00C95D31"/>
    <w:rsid w:val="00CA53B2"/>
    <w:rsid w:val="00CA7DB9"/>
    <w:rsid w:val="00CB6F6D"/>
    <w:rsid w:val="00CB7B49"/>
    <w:rsid w:val="00CC23D3"/>
    <w:rsid w:val="00CC46AE"/>
    <w:rsid w:val="00CC77D2"/>
    <w:rsid w:val="00CD1A21"/>
    <w:rsid w:val="00CE0DBB"/>
    <w:rsid w:val="00CE0E2A"/>
    <w:rsid w:val="00CE2030"/>
    <w:rsid w:val="00CF0FB2"/>
    <w:rsid w:val="00CF18CF"/>
    <w:rsid w:val="00CF30C1"/>
    <w:rsid w:val="00CF4DF2"/>
    <w:rsid w:val="00D0049D"/>
    <w:rsid w:val="00D04826"/>
    <w:rsid w:val="00D15660"/>
    <w:rsid w:val="00D20DB9"/>
    <w:rsid w:val="00D20FC4"/>
    <w:rsid w:val="00D24478"/>
    <w:rsid w:val="00D26BBB"/>
    <w:rsid w:val="00D31C53"/>
    <w:rsid w:val="00D32640"/>
    <w:rsid w:val="00D358BF"/>
    <w:rsid w:val="00D35D3C"/>
    <w:rsid w:val="00D41591"/>
    <w:rsid w:val="00D52962"/>
    <w:rsid w:val="00D532B5"/>
    <w:rsid w:val="00D53F73"/>
    <w:rsid w:val="00D62614"/>
    <w:rsid w:val="00D64843"/>
    <w:rsid w:val="00D67231"/>
    <w:rsid w:val="00D673BF"/>
    <w:rsid w:val="00D75DD6"/>
    <w:rsid w:val="00D77329"/>
    <w:rsid w:val="00D820E9"/>
    <w:rsid w:val="00D82638"/>
    <w:rsid w:val="00D91AEC"/>
    <w:rsid w:val="00DA3242"/>
    <w:rsid w:val="00DA5E19"/>
    <w:rsid w:val="00DB32DF"/>
    <w:rsid w:val="00DB4675"/>
    <w:rsid w:val="00DB57D2"/>
    <w:rsid w:val="00DD0711"/>
    <w:rsid w:val="00DD0DCB"/>
    <w:rsid w:val="00DD1C82"/>
    <w:rsid w:val="00DD4201"/>
    <w:rsid w:val="00DE0BAE"/>
    <w:rsid w:val="00DE5885"/>
    <w:rsid w:val="00DE6D85"/>
    <w:rsid w:val="00DE7795"/>
    <w:rsid w:val="00DF01CA"/>
    <w:rsid w:val="00E125F9"/>
    <w:rsid w:val="00E17682"/>
    <w:rsid w:val="00E21ADD"/>
    <w:rsid w:val="00E25F76"/>
    <w:rsid w:val="00E36C71"/>
    <w:rsid w:val="00E40932"/>
    <w:rsid w:val="00E44838"/>
    <w:rsid w:val="00E47BF3"/>
    <w:rsid w:val="00E54002"/>
    <w:rsid w:val="00E746E4"/>
    <w:rsid w:val="00E81656"/>
    <w:rsid w:val="00E86507"/>
    <w:rsid w:val="00E87101"/>
    <w:rsid w:val="00E918C0"/>
    <w:rsid w:val="00E91C8A"/>
    <w:rsid w:val="00E932D8"/>
    <w:rsid w:val="00E93AD5"/>
    <w:rsid w:val="00EA0D0F"/>
    <w:rsid w:val="00EA3CAF"/>
    <w:rsid w:val="00EB45F9"/>
    <w:rsid w:val="00EC7D7B"/>
    <w:rsid w:val="00ED2FF9"/>
    <w:rsid w:val="00ED443B"/>
    <w:rsid w:val="00ED7E84"/>
    <w:rsid w:val="00ED7FE1"/>
    <w:rsid w:val="00EE34CD"/>
    <w:rsid w:val="00EF34A4"/>
    <w:rsid w:val="00F17731"/>
    <w:rsid w:val="00F3695A"/>
    <w:rsid w:val="00F4514D"/>
    <w:rsid w:val="00F57868"/>
    <w:rsid w:val="00F60D02"/>
    <w:rsid w:val="00F77249"/>
    <w:rsid w:val="00F77DB2"/>
    <w:rsid w:val="00F812E5"/>
    <w:rsid w:val="00F87181"/>
    <w:rsid w:val="00F87A6F"/>
    <w:rsid w:val="00F92A92"/>
    <w:rsid w:val="00FA1A5E"/>
    <w:rsid w:val="00FA1E1B"/>
    <w:rsid w:val="00FA2D43"/>
    <w:rsid w:val="00FB45AE"/>
    <w:rsid w:val="00FB48F3"/>
    <w:rsid w:val="00FB539B"/>
    <w:rsid w:val="00FC2846"/>
    <w:rsid w:val="00FC3EA7"/>
    <w:rsid w:val="00FE20EE"/>
    <w:rsid w:val="00FF041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2C9D33A6-04A7-4FE5-9B81-9D27693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9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ena.malyszek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7DD11-1E8E-4A43-9436-2967CF0E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2019-07-11T14:25:00Z</dcterms:created>
  <dcterms:modified xsi:type="dcterms:W3CDTF">2019-07-11T14:25:00Z</dcterms:modified>
  <cp:category>Szablon Dokumentu</cp:category>
</cp:coreProperties>
</file>