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840" w:line="240" w:lineRule="auto"/>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48"/>
          <w:szCs w:val="48"/>
          <w:rtl w:val="0"/>
        </w:rPr>
        <w:t xml:space="preserve">Nowe monitory Acer serii Nitro XV3 z częstotliwością odświeżania do 240 Hz  i wysoką jakością obrazu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before="240" w:line="360" w:lineRule="auto"/>
        <w:jc w:val="both"/>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Acer zaprezentował dziś nową serię monitorów gamingowych Nitro, zaprojektowanych z myślą o zwiększeniu dynamiki i realizmu rozgrywki. Nowa seria Acer Nitro XV3 to cztery nowe monitory przeznaczone specjalnie dla graczy, które charakteryzują się dużymi częstotliwościami odświeżania i wysoką rozdzielczością.</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before="240" w:line="360" w:lineRule="auto"/>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Nowe monitory Nitro są zgodne z technologią NVIDIA G-SYNC, a po podłączeniu kart graficznych z serii NVIDIA GeForce GTX 10 i RTX 20 domyślnie obsługują zmienne częstotliwości odświeżania (VRR), eliminując efekt „rwania się” obrazu na ekranie i minimalizując opóźnienia.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before="240" w:line="360" w:lineRule="auto"/>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Te nowe monitory z matrycami IPS wykorzystują również technologię Adaptive-Sync,</w:t>
      </w:r>
      <w:r w:rsidDel="00000000" w:rsidR="00000000" w:rsidRPr="00000000">
        <w:rPr>
          <w:rFonts w:ascii="Trebuchet MS" w:cs="Trebuchet MS" w:eastAsia="Trebuchet MS" w:hAnsi="Trebuchet MS"/>
          <w:color w:val="000000"/>
          <w:sz w:val="22"/>
          <w:szCs w:val="22"/>
          <w:vertAlign w:val="superscript"/>
          <w:rtl w:val="0"/>
        </w:rPr>
        <w:t xml:space="preserve"> </w:t>
      </w:r>
      <w:r w:rsidDel="00000000" w:rsidR="00000000" w:rsidRPr="00000000">
        <w:rPr>
          <w:rFonts w:ascii="Trebuchet MS" w:cs="Trebuchet MS" w:eastAsia="Trebuchet MS" w:hAnsi="Trebuchet MS"/>
          <w:color w:val="000000"/>
          <w:sz w:val="22"/>
          <w:szCs w:val="22"/>
          <w:rtl w:val="0"/>
        </w:rPr>
        <w:t xml:space="preserve">zaspokajając potrzeby graczy w zakresie wysokiej rozdzielczości: niezwykle szybki czas reakcji tych urządzeń nie przekracza</w:t>
      </w:r>
      <w:r w:rsidDel="00000000" w:rsidR="00000000" w:rsidRPr="00000000">
        <w:rPr>
          <w:rFonts w:ascii="Trebuchet MS" w:cs="Trebuchet MS" w:eastAsia="Trebuchet MS" w:hAnsi="Trebuchet MS"/>
          <w:color w:val="000000"/>
          <w:sz w:val="22"/>
          <w:szCs w:val="22"/>
          <w:vertAlign w:val="superscript"/>
          <w:rtl w:val="0"/>
        </w:rPr>
        <w:t xml:space="preserve"> </w:t>
      </w:r>
      <w:r w:rsidDel="00000000" w:rsidR="00000000" w:rsidRPr="00000000">
        <w:rPr>
          <w:rFonts w:ascii="Trebuchet MS" w:cs="Trebuchet MS" w:eastAsia="Trebuchet MS" w:hAnsi="Trebuchet MS"/>
          <w:color w:val="000000"/>
          <w:sz w:val="22"/>
          <w:szCs w:val="22"/>
          <w:rtl w:val="0"/>
        </w:rPr>
        <w:t xml:space="preserve">1 ms, a funkcja przyspieszenia reakcji ekranu (Visual Response Boost, VRB) zapewnia płynność wyświetlania obrazu i całej rozgrywki.</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before="240" w:line="360" w:lineRule="auto"/>
        <w:jc w:val="both"/>
        <w:rPr>
          <w:rFonts w:ascii="Trebuchet MS" w:cs="Trebuchet MS" w:eastAsia="Trebuchet MS" w:hAnsi="Trebuchet MS"/>
          <w:color w:val="000000"/>
          <w:sz w:val="22"/>
          <w:szCs w:val="22"/>
        </w:rPr>
      </w:pPr>
      <w:bookmarkStart w:colFirst="0" w:colLast="0" w:name="_heading=h.gjdgxs" w:id="0"/>
      <w:bookmarkEnd w:id="0"/>
      <w:r w:rsidDel="00000000" w:rsidR="00000000" w:rsidRPr="00000000">
        <w:rPr>
          <w:rFonts w:ascii="Trebuchet MS" w:cs="Trebuchet MS" w:eastAsia="Trebuchet MS" w:hAnsi="Trebuchet MS"/>
          <w:color w:val="000000"/>
          <w:sz w:val="22"/>
          <w:szCs w:val="22"/>
          <w:rtl w:val="0"/>
        </w:rPr>
        <w:t xml:space="preserve">Seria Nitro XV3 wykorzystuje opracowaną przez firmę Acer, najnowszą technologię Agile-Splendor, bazującą na szybkich panelach ciekłokrystalicznych, i obsługuje szeroką gamę kolorów obejmującą 99% spektrum sRGB.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240" w:line="360" w:lineRule="auto"/>
        <w:jc w:val="both"/>
        <w:rPr>
          <w:rFonts w:ascii="Trebuchet MS" w:cs="Trebuchet MS" w:eastAsia="Trebuchet MS" w:hAnsi="Trebuchet MS"/>
          <w:color w:val="000000"/>
          <w:sz w:val="22"/>
          <w:szCs w:val="22"/>
        </w:rPr>
      </w:pPr>
      <w:bookmarkStart w:colFirst="0" w:colLast="0" w:name="_heading=h.ydz076em609f" w:id="1"/>
      <w:bookmarkEnd w:id="1"/>
      <w:r w:rsidDel="00000000" w:rsidR="00000000" w:rsidRPr="00000000">
        <w:rPr>
          <w:rFonts w:ascii="Trebuchet MS" w:cs="Trebuchet MS" w:eastAsia="Trebuchet MS" w:hAnsi="Trebuchet MS"/>
          <w:color w:val="000000"/>
          <w:sz w:val="22"/>
          <w:szCs w:val="22"/>
          <w:rtl w:val="0"/>
        </w:rPr>
        <w:t xml:space="preserve">Monitory z certyfikatem DisplayHDR 400 charakteryzują się ultraszybkim czasem reakcji (do 1 ms w trybie VRB), co zapewnia wyraźny, pozbawiony rozmyć obraz, odwzorowanie kolorów oraz zwiększony realizm i naturalność obrazu. Częstotliwość odświeżania do 240 Hz pozwala na gwarancję płynności obrazu.</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240" w:line="360" w:lineRule="auto"/>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Monitory gamingowe Acer Nitro są dostępne w czterech konfiguracjach, dwóch wersjach 27-calowych i dwóch 24,5-calowych: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240" w:line="360" w:lineRule="auto"/>
        <w:jc w:val="both"/>
        <w:rPr>
          <w:rFonts w:ascii="Trebuchet MS" w:cs="Trebuchet MS" w:eastAsia="Trebuchet MS" w:hAnsi="Trebuchet MS"/>
          <w:color w:val="000000"/>
          <w:sz w:val="22"/>
          <w:szCs w:val="22"/>
        </w:rPr>
      </w:pPr>
      <w:r w:rsidDel="00000000" w:rsidR="00000000" w:rsidRPr="00000000">
        <w:rPr>
          <w:rtl w:val="0"/>
        </w:rPr>
      </w:r>
    </w:p>
    <w:p w:rsidR="00000000" w:rsidDel="00000000" w:rsidP="00000000" w:rsidRDefault="00000000" w:rsidRPr="00000000" w14:paraId="00000009">
      <w:pPr>
        <w:numPr>
          <w:ilvl w:val="0"/>
          <w:numId w:val="2"/>
        </w:numPr>
        <w:spacing w:after="0" w:before="240" w:line="360" w:lineRule="auto"/>
        <w:ind w:left="720" w:hanging="360"/>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Acer Nitro XV273U S 27-calowy WQHD 165 Hz</w:t>
      </w:r>
    </w:p>
    <w:p w:rsidR="00000000" w:rsidDel="00000000" w:rsidP="00000000" w:rsidRDefault="00000000" w:rsidRPr="00000000" w14:paraId="0000000A">
      <w:pPr>
        <w:numPr>
          <w:ilvl w:val="0"/>
          <w:numId w:val="2"/>
        </w:numPr>
        <w:spacing w:after="0" w:before="240" w:line="360" w:lineRule="auto"/>
        <w:ind w:left="720" w:hanging="360"/>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Acer Nitro XV273 X 27-calowy Full HD 240 Hz</w:t>
      </w:r>
    </w:p>
    <w:p w:rsidR="00000000" w:rsidDel="00000000" w:rsidP="00000000" w:rsidRDefault="00000000" w:rsidRPr="00000000" w14:paraId="0000000B">
      <w:pPr>
        <w:numPr>
          <w:ilvl w:val="0"/>
          <w:numId w:val="2"/>
        </w:numPr>
        <w:spacing w:after="0" w:before="240" w:line="360" w:lineRule="auto"/>
        <w:ind w:left="720" w:hanging="360"/>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Acer Nitro XV253Q X 24,5-calowy Full HD 240 Hz</w:t>
      </w:r>
    </w:p>
    <w:p w:rsidR="00000000" w:rsidDel="00000000" w:rsidP="00000000" w:rsidRDefault="00000000" w:rsidRPr="00000000" w14:paraId="0000000C">
      <w:pPr>
        <w:numPr>
          <w:ilvl w:val="0"/>
          <w:numId w:val="2"/>
        </w:numPr>
        <w:spacing w:after="0" w:before="240" w:line="360" w:lineRule="auto"/>
        <w:ind w:left="720" w:hanging="360"/>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Acer Nitro XV253Q P 24,5-calowy Full HD 144 Hz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before="240" w:line="360" w:lineRule="auto"/>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Wszystkie monitory oferują funkcję Acer Game Mode: osiem predefiniowanych trybów wyświetlania pozwalających optymalnie dostosować obraz na ekranie do różnych rodzajów treści: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afterAutospacing="0" w:before="240" w:line="360" w:lineRule="auto"/>
        <w:ind w:left="720" w:hanging="360"/>
        <w:jc w:val="both"/>
        <w:rPr>
          <w:rFonts w:ascii="Trebuchet MS" w:cs="Trebuchet MS" w:eastAsia="Trebuchet MS" w:hAnsi="Trebuchet MS"/>
          <w:color w:val="000000"/>
          <w:sz w:val="22"/>
          <w:szCs w:val="22"/>
          <w:u w:val="none"/>
        </w:rPr>
      </w:pPr>
      <w:r w:rsidDel="00000000" w:rsidR="00000000" w:rsidRPr="00000000">
        <w:rPr>
          <w:rFonts w:ascii="Trebuchet MS" w:cs="Trebuchet MS" w:eastAsia="Trebuchet MS" w:hAnsi="Trebuchet MS"/>
          <w:color w:val="000000"/>
          <w:sz w:val="22"/>
          <w:szCs w:val="22"/>
          <w:rtl w:val="0"/>
        </w:rPr>
        <w:t xml:space="preserve">Action,</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afterAutospacing="0" w:before="0" w:beforeAutospacing="0" w:line="360" w:lineRule="auto"/>
        <w:ind w:left="720" w:hanging="360"/>
        <w:jc w:val="both"/>
        <w:rPr>
          <w:rFonts w:ascii="Trebuchet MS" w:cs="Trebuchet MS" w:eastAsia="Trebuchet MS" w:hAnsi="Trebuchet MS"/>
          <w:color w:val="000000"/>
          <w:sz w:val="22"/>
          <w:szCs w:val="22"/>
          <w:u w:val="none"/>
        </w:rPr>
      </w:pPr>
      <w:r w:rsidDel="00000000" w:rsidR="00000000" w:rsidRPr="00000000">
        <w:rPr>
          <w:rFonts w:ascii="Trebuchet MS" w:cs="Trebuchet MS" w:eastAsia="Trebuchet MS" w:hAnsi="Trebuchet MS"/>
          <w:color w:val="000000"/>
          <w:sz w:val="22"/>
          <w:szCs w:val="22"/>
          <w:rtl w:val="0"/>
        </w:rPr>
        <w:t xml:space="preserve">Racing,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afterAutospacing="0" w:before="0" w:beforeAutospacing="0" w:line="360" w:lineRule="auto"/>
        <w:ind w:left="720" w:hanging="360"/>
        <w:jc w:val="both"/>
        <w:rPr>
          <w:rFonts w:ascii="Trebuchet MS" w:cs="Trebuchet MS" w:eastAsia="Trebuchet MS" w:hAnsi="Trebuchet MS"/>
          <w:color w:val="000000"/>
          <w:sz w:val="22"/>
          <w:szCs w:val="22"/>
          <w:u w:val="none"/>
        </w:rPr>
      </w:pPr>
      <w:r w:rsidDel="00000000" w:rsidR="00000000" w:rsidRPr="00000000">
        <w:rPr>
          <w:rFonts w:ascii="Trebuchet MS" w:cs="Trebuchet MS" w:eastAsia="Trebuchet MS" w:hAnsi="Trebuchet MS"/>
          <w:color w:val="000000"/>
          <w:sz w:val="22"/>
          <w:szCs w:val="22"/>
          <w:rtl w:val="0"/>
        </w:rPr>
        <w:t xml:space="preserve">Sport,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afterAutospacing="0" w:before="0" w:beforeAutospacing="0" w:line="360" w:lineRule="auto"/>
        <w:ind w:left="720" w:hanging="360"/>
        <w:jc w:val="both"/>
        <w:rPr>
          <w:rFonts w:ascii="Trebuchet MS" w:cs="Trebuchet MS" w:eastAsia="Trebuchet MS" w:hAnsi="Trebuchet MS"/>
          <w:color w:val="000000"/>
          <w:sz w:val="22"/>
          <w:szCs w:val="22"/>
          <w:u w:val="none"/>
        </w:rPr>
      </w:pPr>
      <w:r w:rsidDel="00000000" w:rsidR="00000000" w:rsidRPr="00000000">
        <w:rPr>
          <w:rFonts w:ascii="Trebuchet MS" w:cs="Trebuchet MS" w:eastAsia="Trebuchet MS" w:hAnsi="Trebuchet MS"/>
          <w:color w:val="000000"/>
          <w:sz w:val="22"/>
          <w:szCs w:val="22"/>
          <w:rtl w:val="0"/>
        </w:rPr>
        <w:t xml:space="preserve">User,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afterAutospacing="0" w:before="0" w:beforeAutospacing="0" w:line="360" w:lineRule="auto"/>
        <w:ind w:left="720" w:hanging="360"/>
        <w:jc w:val="both"/>
        <w:rPr>
          <w:rFonts w:ascii="Trebuchet MS" w:cs="Trebuchet MS" w:eastAsia="Trebuchet MS" w:hAnsi="Trebuchet MS"/>
          <w:color w:val="000000"/>
          <w:sz w:val="22"/>
          <w:szCs w:val="22"/>
          <w:u w:val="none"/>
        </w:rPr>
      </w:pPr>
      <w:r w:rsidDel="00000000" w:rsidR="00000000" w:rsidRPr="00000000">
        <w:rPr>
          <w:rFonts w:ascii="Trebuchet MS" w:cs="Trebuchet MS" w:eastAsia="Trebuchet MS" w:hAnsi="Trebuchet MS"/>
          <w:color w:val="000000"/>
          <w:sz w:val="22"/>
          <w:szCs w:val="22"/>
          <w:rtl w:val="0"/>
        </w:rPr>
        <w:t xml:space="preserve">Standard,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afterAutospacing="0" w:before="0" w:beforeAutospacing="0" w:line="360" w:lineRule="auto"/>
        <w:ind w:left="720" w:hanging="360"/>
        <w:jc w:val="both"/>
        <w:rPr>
          <w:rFonts w:ascii="Trebuchet MS" w:cs="Trebuchet MS" w:eastAsia="Trebuchet MS" w:hAnsi="Trebuchet MS"/>
          <w:color w:val="000000"/>
          <w:sz w:val="22"/>
          <w:szCs w:val="22"/>
          <w:u w:val="none"/>
        </w:rPr>
      </w:pPr>
      <w:r w:rsidDel="00000000" w:rsidR="00000000" w:rsidRPr="00000000">
        <w:rPr>
          <w:rFonts w:ascii="Trebuchet MS" w:cs="Trebuchet MS" w:eastAsia="Trebuchet MS" w:hAnsi="Trebuchet MS"/>
          <w:color w:val="000000"/>
          <w:sz w:val="22"/>
          <w:szCs w:val="22"/>
          <w:rtl w:val="0"/>
        </w:rPr>
        <w:t xml:space="preserve">ECO,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afterAutospacing="0" w:before="0" w:beforeAutospacing="0" w:line="360" w:lineRule="auto"/>
        <w:ind w:left="720" w:hanging="360"/>
        <w:jc w:val="both"/>
        <w:rPr>
          <w:rFonts w:ascii="Trebuchet MS" w:cs="Trebuchet MS" w:eastAsia="Trebuchet MS" w:hAnsi="Trebuchet MS"/>
          <w:color w:val="000000"/>
          <w:sz w:val="22"/>
          <w:szCs w:val="22"/>
          <w:u w:val="none"/>
        </w:rPr>
      </w:pPr>
      <w:r w:rsidDel="00000000" w:rsidR="00000000" w:rsidRPr="00000000">
        <w:rPr>
          <w:rFonts w:ascii="Trebuchet MS" w:cs="Trebuchet MS" w:eastAsia="Trebuchet MS" w:hAnsi="Trebuchet MS"/>
          <w:color w:val="000000"/>
          <w:sz w:val="22"/>
          <w:szCs w:val="22"/>
          <w:rtl w:val="0"/>
        </w:rPr>
        <w:t xml:space="preserve">Graphic,</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before="0" w:beforeAutospacing="0" w:line="360" w:lineRule="auto"/>
        <w:ind w:left="720" w:hanging="360"/>
        <w:jc w:val="both"/>
        <w:rPr>
          <w:rFonts w:ascii="Trebuchet MS" w:cs="Trebuchet MS" w:eastAsia="Trebuchet MS" w:hAnsi="Trebuchet MS"/>
          <w:color w:val="000000"/>
          <w:sz w:val="22"/>
          <w:szCs w:val="22"/>
          <w:u w:val="none"/>
        </w:rPr>
      </w:pPr>
      <w:r w:rsidDel="00000000" w:rsidR="00000000" w:rsidRPr="00000000">
        <w:rPr>
          <w:rFonts w:ascii="Trebuchet MS" w:cs="Trebuchet MS" w:eastAsia="Trebuchet MS" w:hAnsi="Trebuchet MS"/>
          <w:color w:val="000000"/>
          <w:sz w:val="22"/>
          <w:szCs w:val="22"/>
          <w:rtl w:val="0"/>
        </w:rPr>
        <w:t xml:space="preserve">Movie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before="240" w:line="360" w:lineRule="auto"/>
        <w:ind w:left="0" w:firstLine="0"/>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Ta unikatowa funkcja jest łatwo dostępna za pomocą klawisza skrótu lub ekranowego menu ustawień (OSD). Wbudowana funkcja wzmocnienia czerni pozwala zaś  wybierać graczom spośród 11 różnych poziomów czerni. Mogą oni dzięki temu zwiększyć swoją przewagę podczas rozgrywki: wyraźniej widzieć otoczenie i przeciwników, skuteczniej unikać ciosów lub sprawniej pokonywać zakręty na torze wyścigowym.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before="240" w:line="360" w:lineRule="auto"/>
        <w:jc w:val="both"/>
        <w:rPr>
          <w:rFonts w:ascii="Trebuchet MS" w:cs="Trebuchet MS" w:eastAsia="Trebuchet MS" w:hAnsi="Trebuchet MS"/>
          <w:color w:val="000000"/>
          <w:sz w:val="22"/>
          <w:szCs w:val="22"/>
        </w:rPr>
      </w:pPr>
      <w:bookmarkStart w:colFirst="0" w:colLast="0" w:name="_heading=h.30j0zll" w:id="2"/>
      <w:bookmarkEnd w:id="2"/>
      <w:r w:rsidDel="00000000" w:rsidR="00000000" w:rsidRPr="00000000">
        <w:rPr>
          <w:rFonts w:ascii="Trebuchet MS" w:cs="Trebuchet MS" w:eastAsia="Trebuchet MS" w:hAnsi="Trebuchet MS"/>
          <w:color w:val="000000"/>
          <w:sz w:val="22"/>
          <w:szCs w:val="22"/>
          <w:rtl w:val="0"/>
        </w:rPr>
        <w:t xml:space="preserve">Technologia Acer VisionCare wykorzystująca funkcje Flickerless, BlueLight Shield, ComfyView i redukcji przyciemnienia zwiększa komfort wzrokowy podczas długich rozgrywek.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before="240" w:line="360" w:lineRule="auto"/>
        <w:jc w:val="both"/>
        <w:rPr>
          <w:rFonts w:ascii="Trebuchet MS" w:cs="Trebuchet MS" w:eastAsia="Trebuchet MS" w:hAnsi="Trebuchet MS"/>
          <w:color w:val="000000"/>
          <w:sz w:val="22"/>
          <w:szCs w:val="22"/>
        </w:rPr>
      </w:pPr>
      <w:bookmarkStart w:colFirst="0" w:colLast="0" w:name="_heading=h.9de3cppfhy20" w:id="3"/>
      <w:bookmarkEnd w:id="3"/>
      <w:r w:rsidDel="00000000" w:rsidR="00000000" w:rsidRPr="00000000">
        <w:rPr>
          <w:rFonts w:ascii="Trebuchet MS" w:cs="Trebuchet MS" w:eastAsia="Trebuchet MS" w:hAnsi="Trebuchet MS"/>
          <w:color w:val="000000"/>
          <w:sz w:val="22"/>
          <w:szCs w:val="22"/>
          <w:rtl w:val="0"/>
        </w:rPr>
        <w:t xml:space="preserve">Monitory z serii Acer Nitro XV3 mają również ergonomicznie zaprojektowaną podstawę z możliwością obrotu i pochylenia o 20°, gracz może więc zawsze znaleźć idealne dla siebie ustawienie. Specjalna konstrukcja zatrzaskowa pozwala odpiąć monitor od podstawy i zamontować go na ścianie w uchwycie VESA, aby zyskać więcej miejsca na biurku.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before="240" w:line="360" w:lineRule="auto"/>
        <w:jc w:val="both"/>
        <w:rPr>
          <w:rFonts w:ascii="Trebuchet MS" w:cs="Trebuchet MS" w:eastAsia="Trebuchet MS" w:hAnsi="Trebuchet MS"/>
          <w:b w:val="1"/>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before="240" w:line="360" w:lineRule="auto"/>
        <w:jc w:val="both"/>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Ceny i dostępność w Polsce</w:t>
      </w:r>
    </w:p>
    <w:p w:rsidR="00000000" w:rsidDel="00000000" w:rsidP="00000000" w:rsidRDefault="00000000" w:rsidRPr="00000000" w14:paraId="0000001B">
      <w:pPr>
        <w:spacing w:after="0" w:lineRule="auto"/>
        <w:jc w:val="both"/>
        <w:rPr>
          <w:rFonts w:ascii="Trebuchet MS" w:cs="Trebuchet MS" w:eastAsia="Trebuchet MS" w:hAnsi="Trebuchet MS"/>
          <w:color w:val="000000"/>
          <w:sz w:val="18"/>
          <w:szCs w:val="18"/>
        </w:rPr>
      </w:pPr>
      <w:r w:rsidDel="00000000" w:rsidR="00000000" w:rsidRPr="00000000">
        <w:rPr>
          <w:rtl w:val="0"/>
        </w:rPr>
      </w:r>
    </w:p>
    <w:p w:rsidR="00000000" w:rsidDel="00000000" w:rsidP="00000000" w:rsidRDefault="00000000" w:rsidRPr="00000000" w14:paraId="0000001C">
      <w:pPr>
        <w:spacing w:after="0" w:lineRule="auto"/>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Monitor Nitro XV273 X będzie dostępny w Polsce na przełomie września i października 2019 roku w cenie od 1999 zł.</w:t>
      </w:r>
    </w:p>
    <w:p w:rsidR="00000000" w:rsidDel="00000000" w:rsidP="00000000" w:rsidRDefault="00000000" w:rsidRPr="00000000" w14:paraId="0000001D">
      <w:pPr>
        <w:spacing w:after="0" w:lineRule="auto"/>
        <w:jc w:val="both"/>
        <w:rPr>
          <w:rFonts w:ascii="Trebuchet MS" w:cs="Trebuchet MS" w:eastAsia="Trebuchet MS" w:hAnsi="Trebuchet MS"/>
          <w:color w:val="000000"/>
          <w:sz w:val="22"/>
          <w:szCs w:val="22"/>
        </w:rPr>
      </w:pPr>
      <w:r w:rsidDel="00000000" w:rsidR="00000000" w:rsidRPr="00000000">
        <w:rPr>
          <w:rtl w:val="0"/>
        </w:rPr>
      </w:r>
    </w:p>
    <w:p w:rsidR="00000000" w:rsidDel="00000000" w:rsidP="00000000" w:rsidRDefault="00000000" w:rsidRPr="00000000" w14:paraId="0000001E">
      <w:pPr>
        <w:spacing w:after="0" w:lineRule="auto"/>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Monitor Nitro XV253Q X będzie dostępny w Polsce od pierwszego kwartału 2020 roku w cenie od 1399 zł</w:t>
      </w:r>
    </w:p>
    <w:p w:rsidR="00000000" w:rsidDel="00000000" w:rsidP="00000000" w:rsidRDefault="00000000" w:rsidRPr="00000000" w14:paraId="0000001F">
      <w:pPr>
        <w:spacing w:after="0" w:lineRule="auto"/>
        <w:jc w:val="both"/>
        <w:rPr>
          <w:rFonts w:ascii="Trebuchet MS" w:cs="Trebuchet MS" w:eastAsia="Trebuchet MS" w:hAnsi="Trebuchet MS"/>
          <w:color w:val="000000"/>
          <w:sz w:val="22"/>
          <w:szCs w:val="22"/>
        </w:rPr>
      </w:pPr>
      <w:r w:rsidDel="00000000" w:rsidR="00000000" w:rsidRPr="00000000">
        <w:rPr>
          <w:rtl w:val="0"/>
        </w:rPr>
      </w:r>
    </w:p>
    <w:p w:rsidR="00000000" w:rsidDel="00000000" w:rsidP="00000000" w:rsidRDefault="00000000" w:rsidRPr="00000000" w14:paraId="00000020">
      <w:pPr>
        <w:spacing w:after="0" w:lineRule="auto"/>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Monitor NItro XV253Q P będzie dostępny w Polsce na przełomie listopada i grudnia 2019 roku w cenie od 1099 zł</w:t>
      </w:r>
    </w:p>
    <w:p w:rsidR="00000000" w:rsidDel="00000000" w:rsidP="00000000" w:rsidRDefault="00000000" w:rsidRPr="00000000" w14:paraId="00000021">
      <w:pPr>
        <w:spacing w:after="0" w:lineRule="auto"/>
        <w:jc w:val="both"/>
        <w:rPr>
          <w:rFonts w:ascii="Trebuchet MS" w:cs="Trebuchet MS" w:eastAsia="Trebuchet MS" w:hAnsi="Trebuchet MS"/>
          <w:color w:val="000000"/>
          <w:sz w:val="22"/>
          <w:szCs w:val="22"/>
        </w:rPr>
      </w:pPr>
      <w:r w:rsidDel="00000000" w:rsidR="00000000" w:rsidRPr="00000000">
        <w:rPr>
          <w:rtl w:val="0"/>
        </w:rPr>
      </w:r>
    </w:p>
    <w:p w:rsidR="00000000" w:rsidDel="00000000" w:rsidP="00000000" w:rsidRDefault="00000000" w:rsidRPr="00000000" w14:paraId="00000022">
      <w:pPr>
        <w:spacing w:after="0" w:lineRule="auto"/>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Cena oraz dostępność monitora Nitro XV273U S zostaną podane w późniejszym terminie.</w:t>
      </w:r>
    </w:p>
    <w:sectPr>
      <w:headerReference r:id="rId7" w:type="first"/>
      <w:footerReference r:id="rId8" w:type="default"/>
      <w:footerReference r:id="rId9" w:type="even"/>
      <w:pgSz w:h="16839" w:w="11907"/>
      <w:pgMar w:bottom="1152" w:top="2448" w:left="1152" w:right="1152" w:header="86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cer Foco"/>
  <w:font w:name="Acer Foco Semibold"/>
  <w:font w:name="Acer Foco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spacing w:after="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spacing w:after="0" w:lineRule="auto"/>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spacing w:after="0" w:lineRule="auto"/>
      <w:jc w:val="right"/>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680"/>
        <w:tab w:val="right" w:pos="9360"/>
      </w:tabs>
      <w:spacing w:after="0" w:lineRule="auto"/>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jc w:val="both"/>
      <w:rPr>
        <w:rFonts w:ascii="Trebuchet MS" w:cs="Trebuchet MS" w:eastAsia="Trebuchet MS" w:hAnsi="Trebuchet MS"/>
        <w:b w:val="1"/>
        <w:sz w:val="15"/>
        <w:szCs w:val="15"/>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-90167</wp:posOffset>
          </wp:positionV>
          <wp:extent cx="1181100" cy="387350"/>
          <wp:effectExtent b="0" l="0" r="0" t="0"/>
          <wp:wrapSquare wrapText="bothSides" distB="0" distT="0" distL="114300" distR="114300"/>
          <wp:docPr descr="Macintosh HD:Users:jcho:Desktop:Acer:acer_logo_4c.jpg" id="4" name="image1.png"/>
          <a:graphic>
            <a:graphicData uri="http://schemas.openxmlformats.org/drawingml/2006/picture">
              <pic:pic>
                <pic:nvPicPr>
                  <pic:cNvPr descr="Macintosh HD:Users:jcho:Desktop:Acer:acer_logo_4c.jpg" id="0" name="image1.png"/>
                  <pic:cNvPicPr preferRelativeResize="0"/>
                </pic:nvPicPr>
                <pic:blipFill>
                  <a:blip r:embed="rId1"/>
                  <a:srcRect b="0" l="0" r="0" t="0"/>
                  <a:stretch>
                    <a:fillRect/>
                  </a:stretch>
                </pic:blipFill>
                <pic:spPr>
                  <a:xfrm>
                    <a:off x="0" y="0"/>
                    <a:ext cx="1181100" cy="387350"/>
                  </a:xfrm>
                  <a:prstGeom prst="rect"/>
                  <a:ln/>
                </pic:spPr>
              </pic:pic>
            </a:graphicData>
          </a:graphic>
        </wp:anchor>
      </w:drawing>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jc w:val="both"/>
      <w:rPr>
        <w:rFonts w:ascii="Trebuchet MS" w:cs="Trebuchet MS" w:eastAsia="Trebuchet MS" w:hAnsi="Trebuchet MS"/>
        <w:b w:val="1"/>
        <w:sz w:val="15"/>
        <w:szCs w:val="15"/>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jc w:val="both"/>
      <w:rPr>
        <w:rFonts w:ascii="Acer Foco" w:cs="Acer Foco" w:eastAsia="Acer Foco" w:hAnsi="Acer Foco"/>
        <w:color w:val="000000"/>
        <w:sz w:val="15"/>
        <w:szCs w:val="1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127000</wp:posOffset>
              </wp:positionV>
              <wp:extent cx="2657475" cy="358140"/>
              <wp:effectExtent b="0" l="0" r="0" t="0"/>
              <wp:wrapNone/>
              <wp:docPr id="3" name=""/>
              <a:graphic>
                <a:graphicData uri="http://schemas.microsoft.com/office/word/2010/wordprocessingShape">
                  <wps:wsp>
                    <wps:cNvSpPr/>
                    <wps:cNvPr id="2" name="Shape 2"/>
                    <wps:spPr>
                      <a:xfrm>
                        <a:off x="4031550" y="3615218"/>
                        <a:ext cx="2628900" cy="3295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t xml:space="preserve">Informacja prasowa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127000</wp:posOffset>
              </wp:positionV>
              <wp:extent cx="2657475" cy="358140"/>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657475" cy="35814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cer Foco Light" w:cs="Acer Foco Light" w:eastAsia="Acer Foco Light" w:hAnsi="Acer Foco Light"/>
        <w:color w:val="414042"/>
        <w:sz w:val="19"/>
        <w:szCs w:val="19"/>
        <w:lang w:val="pl-PL"/>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rFonts w:ascii="Acer Foco" w:cs="Acer Foco" w:eastAsia="Acer Foco" w:hAnsi="Acer Foco"/>
      <w:i w:val="1"/>
      <w:color w:val="83b81a"/>
      <w:sz w:val="66"/>
      <w:szCs w:val="66"/>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480" w:before="1520" w:line="276" w:lineRule="auto"/>
    </w:pPr>
    <w:rPr>
      <w:color w:val="83b81a"/>
      <w:sz w:val="42"/>
      <w:szCs w:val="42"/>
    </w:rPr>
  </w:style>
  <w:style w:type="paragraph" w:styleId="Heading3">
    <w:name w:val="heading 3"/>
    <w:basedOn w:val="Normal"/>
    <w:next w:val="Normal"/>
    <w:pPr>
      <w:keepNext w:val="1"/>
      <w:keepLines w:val="1"/>
      <w:spacing w:after="0" w:before="200" w:lineRule="auto"/>
    </w:pPr>
    <w:rPr>
      <w:rFonts w:ascii="Acer Foco Semibold" w:cs="Acer Foco Semibold" w:eastAsia="Acer Foco Semibold" w:hAnsi="Acer Foco Semibold"/>
    </w:rPr>
  </w:style>
  <w:style w:type="paragraph" w:styleId="Heading4">
    <w:name w:val="heading 4"/>
    <w:basedOn w:val="Normal"/>
    <w:next w:val="Normal"/>
    <w:pPr>
      <w:keepNext w:val="1"/>
      <w:keepLines w:val="1"/>
      <w:spacing w:after="0" w:before="200" w:lineRule="auto"/>
    </w:pPr>
    <w:rPr>
      <w:rFonts w:ascii="Acer Foco Semibold" w:cs="Acer Foco Semibold" w:eastAsia="Acer Foco Semibold" w:hAnsi="Acer Foco Semibold"/>
      <w:i w:val="1"/>
      <w:color w:val="83b81a"/>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83b81a" w:space="4" w:sz="8" w:val="single"/>
      </w:pBdr>
      <w:spacing w:after="300" w:lineRule="auto"/>
    </w:pPr>
    <w:rPr>
      <w:color w:val="464f54"/>
      <w:sz w:val="52"/>
      <w:szCs w:val="52"/>
    </w:rPr>
  </w:style>
  <w:style w:type="paragraph" w:styleId="Normalny" w:default="1">
    <w:name w:val="Normal"/>
  </w:style>
  <w:style w:type="paragraph" w:styleId="Nagwek1">
    <w:name w:val="heading 1"/>
    <w:basedOn w:val="Normalny"/>
    <w:next w:val="Normalny"/>
    <w:pPr>
      <w:spacing w:after="0"/>
      <w:outlineLvl w:val="0"/>
    </w:pPr>
    <w:rPr>
      <w:rFonts w:ascii="Acer Foco" w:cs="Acer Foco" w:eastAsia="Acer Foco" w:hAnsi="Acer Foco"/>
      <w:i w:val="1"/>
      <w:color w:val="83b81a"/>
      <w:sz w:val="66"/>
      <w:szCs w:val="66"/>
    </w:rPr>
  </w:style>
  <w:style w:type="paragraph" w:styleId="Nagwek2">
    <w:name w:val="heading 2"/>
    <w:basedOn w:val="Normalny"/>
    <w:next w:val="Normalny"/>
    <w:pPr>
      <w:pBdr>
        <w:top w:space="0" w:sz="0" w:val="nil"/>
        <w:left w:space="0" w:sz="0" w:val="nil"/>
        <w:bottom w:space="0" w:sz="0" w:val="nil"/>
        <w:right w:space="0" w:sz="0" w:val="nil"/>
        <w:between w:space="0" w:sz="0" w:val="nil"/>
      </w:pBdr>
      <w:spacing w:after="480" w:before="1520" w:line="276" w:lineRule="auto"/>
      <w:outlineLvl w:val="1"/>
    </w:pPr>
    <w:rPr>
      <w:color w:val="83b81a"/>
      <w:sz w:val="42"/>
      <w:szCs w:val="42"/>
    </w:rPr>
  </w:style>
  <w:style w:type="paragraph" w:styleId="Nagwek3">
    <w:name w:val="heading 3"/>
    <w:basedOn w:val="Normalny"/>
    <w:next w:val="Normalny"/>
    <w:pPr>
      <w:keepNext w:val="1"/>
      <w:keepLines w:val="1"/>
      <w:spacing w:after="0" w:before="200"/>
      <w:outlineLvl w:val="2"/>
    </w:pPr>
    <w:rPr>
      <w:rFonts w:ascii="Acer Foco Semibold" w:cs="Acer Foco Semibold" w:eastAsia="Acer Foco Semibold" w:hAnsi="Acer Foco Semibold"/>
    </w:rPr>
  </w:style>
  <w:style w:type="paragraph" w:styleId="Nagwek4">
    <w:name w:val="heading 4"/>
    <w:basedOn w:val="Normalny"/>
    <w:next w:val="Normalny"/>
    <w:pPr>
      <w:keepNext w:val="1"/>
      <w:keepLines w:val="1"/>
      <w:spacing w:after="0" w:before="200"/>
      <w:outlineLvl w:val="3"/>
    </w:pPr>
    <w:rPr>
      <w:rFonts w:ascii="Acer Foco Semibold" w:cs="Acer Foco Semibold" w:eastAsia="Acer Foco Semibold" w:hAnsi="Acer Foco Semibold"/>
      <w:i w:val="1"/>
      <w:color w:val="83b81a"/>
    </w:rPr>
  </w:style>
  <w:style w:type="paragraph" w:styleId="Nagwek5">
    <w:name w:val="heading 5"/>
    <w:basedOn w:val="Normalny"/>
    <w:next w:val="Normalny"/>
    <w:pPr>
      <w:keepNext w:val="1"/>
      <w:keepLines w:val="1"/>
      <w:spacing w:after="40" w:before="220"/>
      <w:outlineLvl w:val="4"/>
    </w:pPr>
    <w:rPr>
      <w:b w:val="1"/>
      <w:sz w:val="22"/>
      <w:szCs w:val="22"/>
    </w:rPr>
  </w:style>
  <w:style w:type="paragraph" w:styleId="Nagwek6">
    <w:name w:val="heading 6"/>
    <w:basedOn w:val="Normalny"/>
    <w:next w:val="Normalny"/>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pPr>
      <w:pBdr>
        <w:bottom w:color="83b81a" w:space="4" w:sz="8" w:val="single"/>
      </w:pBdr>
      <w:spacing w:after="300"/>
    </w:pPr>
    <w:rPr>
      <w:color w:val="464f54"/>
      <w:sz w:val="52"/>
      <w:szCs w:val="52"/>
    </w:rPr>
  </w:style>
  <w:style w:type="paragraph" w:styleId="Podtytu">
    <w:name w:val="Subtitle"/>
    <w:basedOn w:val="Normalny"/>
    <w:next w:val="Normalny"/>
    <w:pPr>
      <w:keepNext w:val="1"/>
      <w:keepLines w:val="1"/>
      <w:spacing w:after="80" w:before="360"/>
    </w:pPr>
    <w:rPr>
      <w:rFonts w:ascii="Georgia" w:cs="Georgia" w:eastAsia="Georgia" w:hAnsi="Georgia"/>
      <w:i w:val="1"/>
      <w:color w:val="666666"/>
      <w:sz w:val="48"/>
      <w:szCs w:val="48"/>
    </w:rPr>
  </w:style>
  <w:style w:type="paragraph" w:styleId="Tekstdymka">
    <w:name w:val="Balloon Text"/>
    <w:basedOn w:val="Normalny"/>
    <w:link w:val="TekstdymkaZnak"/>
    <w:uiPriority w:val="99"/>
    <w:semiHidden w:val="1"/>
    <w:unhideWhenUsed w:val="1"/>
    <w:rsid w:val="00223953"/>
    <w:pPr>
      <w:spacing w:after="0"/>
    </w:pPr>
    <w:rPr>
      <w:rFonts w:asciiTheme="majorHAnsi" w:cstheme="majorBidi" w:eastAsiaTheme="majorEastAsia" w:hAnsiTheme="majorHAnsi"/>
      <w:sz w:val="18"/>
      <w:szCs w:val="18"/>
    </w:rPr>
  </w:style>
  <w:style w:type="character" w:styleId="TekstdymkaZnak" w:customStyle="1">
    <w:name w:val="Tekst dymka Znak"/>
    <w:basedOn w:val="Domylnaczcionkaakapitu"/>
    <w:link w:val="Tekstdymka"/>
    <w:uiPriority w:val="99"/>
    <w:semiHidden w:val="1"/>
    <w:rsid w:val="00223953"/>
    <w:rPr>
      <w:rFonts w:asciiTheme="majorHAnsi" w:cstheme="majorBidi" w:eastAsiaTheme="majorEastAsia" w:hAnsiTheme="majorHAnsi"/>
      <w:sz w:val="18"/>
      <w:szCs w:val="18"/>
    </w:rPr>
  </w:style>
  <w:style w:type="character" w:styleId="Odwoaniedokomentarza">
    <w:name w:val="annotation reference"/>
    <w:basedOn w:val="Domylnaczcionkaakapitu"/>
    <w:uiPriority w:val="99"/>
    <w:semiHidden w:val="1"/>
    <w:unhideWhenUsed w:val="1"/>
    <w:rsid w:val="00223953"/>
    <w:rPr>
      <w:sz w:val="18"/>
      <w:szCs w:val="18"/>
    </w:rPr>
  </w:style>
  <w:style w:type="paragraph" w:styleId="Tekstkomentarza">
    <w:name w:val="annotation text"/>
    <w:basedOn w:val="Normalny"/>
    <w:link w:val="TekstkomentarzaZnak"/>
    <w:uiPriority w:val="99"/>
    <w:semiHidden w:val="1"/>
    <w:unhideWhenUsed w:val="1"/>
    <w:rsid w:val="00223953"/>
  </w:style>
  <w:style w:type="character" w:styleId="TekstkomentarzaZnak" w:customStyle="1">
    <w:name w:val="Tekst komentarza Znak"/>
    <w:basedOn w:val="Domylnaczcionkaakapitu"/>
    <w:link w:val="Tekstkomentarza"/>
    <w:uiPriority w:val="99"/>
    <w:semiHidden w:val="1"/>
    <w:rsid w:val="00223953"/>
  </w:style>
  <w:style w:type="paragraph" w:styleId="Tematkomentarza">
    <w:name w:val="annotation subject"/>
    <w:basedOn w:val="Tekstkomentarza"/>
    <w:next w:val="Tekstkomentarza"/>
    <w:link w:val="TematkomentarzaZnak"/>
    <w:uiPriority w:val="99"/>
    <w:semiHidden w:val="1"/>
    <w:unhideWhenUsed w:val="1"/>
    <w:rsid w:val="00223953"/>
    <w:rPr>
      <w:b w:val="1"/>
      <w:bCs w:val="1"/>
    </w:rPr>
  </w:style>
  <w:style w:type="character" w:styleId="TematkomentarzaZnak" w:customStyle="1">
    <w:name w:val="Temat komentarza Znak"/>
    <w:basedOn w:val="TekstkomentarzaZnak"/>
    <w:link w:val="Tematkomentarza"/>
    <w:uiPriority w:val="99"/>
    <w:semiHidden w:val="1"/>
    <w:rsid w:val="00223953"/>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qXo0YqivgPY/lk46eE4oVr4BTQ==">AMUW2mWjc8NR6vzC515qa1CH4TCR59hJcCKyojrzoR2R9vdPGdHuk+3Ly+tkGfLL0qxRlZy19+RifYgsrnjV7q88n3C+UtS0HG9HhUfU+UiMvFE6RDcTsUJXD/pUIXIc6kLZnYgrYXXKGnxxJW68XnULh0w1NvC96cb9s6UXlqLk6ZJKoW3mqg5WVh7ih1NNKKQXvquWb6lF5od9AHdRxt5g8NV9cVAOIyckmli2oQqpvVPkb1IBb5XVEeefGPvgAzNp4Z6kAYbD3YAgK1OkQhxekhwK2znsU+TZHjbvE3TYCLHtsMJscCs0bxphT/MMfYE6q+mWLtpNMLJIwS88pqp63tOvkcR65OE0YXdbDRAFdg0ehKbQTMmWEkVZ/nXgDhP1N60FiHZXn7cGYM5B65zVvurBjd+eMcWrkTnyuV+NYwTPCM3WTKaCtsEccjEa5/vSuec3hLrxTIxVZ9XBs4Xg5AnLQmva73cN98a183/5cXQa2U2SXAQkE96cPauA8kuX6W9ew4hqqVgR0YQDm5FDL7HwB8PNMB2iesFBAKCZgf5HwGkMojpp41SNQD6wrUz61JzO18lkBjwEtay6DU+Gcsj8p2xiUy3DGdXc4kRvjrWmOrqcPP/ZRj+tDJuq6aZa1C9toU88+OAidi1LF7fi0AriT3xugBUSbf3xZQwa+wOdSVTpwWCgb0+gmh1QidQ0IhonfQIpfkPEZEj9FS5m0ZFRm7qP+0h1G7XsCe3r+uzaCSIZ/zRIc9yz8kEt9YxZbgEORH6vsbjWWU2BZRGymzn13ucElC0ayzi5SFijwKwEZKae2i7lTHPj/k7d8m3GSAnmx54EH2I/EB1gGR8GWq9iyhVJ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2019-08-02T03:13:00Z</dcterms:created>
  <dc:creator>Chou, Stella TH</dc:creator>
</cp:coreProperties>
</file>