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C197" w14:textId="5DF0539A" w:rsidR="004174BB" w:rsidRPr="004174BB" w:rsidRDefault="004174BB" w:rsidP="004174BB">
      <w:pPr>
        <w:jc w:val="right"/>
        <w:rPr>
          <w:bCs/>
          <w:sz w:val="22"/>
          <w:szCs w:val="28"/>
          <w:lang w:val="pl"/>
        </w:rPr>
      </w:pPr>
      <w:r w:rsidRPr="004174BB">
        <w:rPr>
          <w:bCs/>
          <w:sz w:val="22"/>
          <w:szCs w:val="28"/>
          <w:lang w:val="pl"/>
        </w:rPr>
        <w:t xml:space="preserve">Warszawa, </w:t>
      </w:r>
      <w:r w:rsidR="00C47D8D">
        <w:rPr>
          <w:bCs/>
          <w:sz w:val="22"/>
          <w:szCs w:val="28"/>
          <w:lang w:val="pl"/>
        </w:rPr>
        <w:t>20</w:t>
      </w:r>
      <w:r w:rsidRPr="004174BB">
        <w:rPr>
          <w:bCs/>
          <w:sz w:val="22"/>
          <w:szCs w:val="28"/>
          <w:lang w:val="pl"/>
        </w:rPr>
        <w:t xml:space="preserve"> września</w:t>
      </w:r>
    </w:p>
    <w:p w14:paraId="4B7D6EB5" w14:textId="77777777" w:rsidR="004174BB" w:rsidRDefault="004174BB" w:rsidP="00BF25BA">
      <w:pPr>
        <w:rPr>
          <w:b/>
          <w:bCs/>
          <w:sz w:val="28"/>
          <w:szCs w:val="28"/>
          <w:lang w:val="pl"/>
        </w:rPr>
      </w:pPr>
    </w:p>
    <w:p w14:paraId="260D0014" w14:textId="77777777" w:rsidR="00494A94" w:rsidRPr="00DF0360" w:rsidRDefault="00DF0360" w:rsidP="00BF25BA">
      <w:pPr>
        <w:rPr>
          <w:b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"/>
        </w:rPr>
        <w:t>Komisja Europejska zatwierdziła pierwszy schemat immunoterapii nowotw</w:t>
      </w:r>
      <w:r w:rsidR="00BF25BA">
        <w:rPr>
          <w:b/>
          <w:bCs/>
          <w:sz w:val="28"/>
          <w:szCs w:val="28"/>
          <w:lang w:val="pl"/>
        </w:rPr>
        <w:t>o</w:t>
      </w:r>
      <w:r>
        <w:rPr>
          <w:b/>
          <w:bCs/>
          <w:sz w:val="28"/>
          <w:szCs w:val="28"/>
          <w:lang w:val="pl"/>
        </w:rPr>
        <w:t xml:space="preserve">rów </w:t>
      </w:r>
      <w:r w:rsidRPr="00DF0360">
        <w:rPr>
          <w:b/>
          <w:bCs/>
          <w:sz w:val="28"/>
          <w:szCs w:val="22"/>
          <w:lang w:val="pl"/>
        </w:rPr>
        <w:t>dostępny w Europie w </w:t>
      </w:r>
      <w:r w:rsidR="00BF25BA">
        <w:rPr>
          <w:b/>
          <w:bCs/>
          <w:sz w:val="28"/>
          <w:szCs w:val="22"/>
          <w:lang w:val="pl"/>
        </w:rPr>
        <w:t>leczeniu</w:t>
      </w:r>
      <w:r w:rsidRPr="00DF0360">
        <w:rPr>
          <w:b/>
          <w:bCs/>
          <w:sz w:val="28"/>
          <w:szCs w:val="22"/>
          <w:lang w:val="pl"/>
        </w:rPr>
        <w:t xml:space="preserve"> potrójnie ujemnego raka </w:t>
      </w:r>
      <w:r w:rsidR="00BF25BA">
        <w:rPr>
          <w:b/>
          <w:bCs/>
          <w:sz w:val="28"/>
          <w:szCs w:val="22"/>
          <w:lang w:val="pl"/>
        </w:rPr>
        <w:t xml:space="preserve">piersi </w:t>
      </w:r>
      <w:r w:rsidR="00494A94">
        <w:rPr>
          <w:b/>
          <w:bCs/>
          <w:sz w:val="28"/>
          <w:szCs w:val="28"/>
          <w:lang w:val="pl"/>
        </w:rPr>
        <w:t xml:space="preserve">z obecnością ekspresji PD-L1 </w:t>
      </w:r>
    </w:p>
    <w:p w14:paraId="5BC8CF70" w14:textId="4AAD60ED" w:rsidR="00494A94" w:rsidRPr="00347185" w:rsidRDefault="00DF0360" w:rsidP="007E1180">
      <w:pPr>
        <w:pStyle w:val="Akapitzlist"/>
        <w:numPr>
          <w:ilvl w:val="0"/>
          <w:numId w:val="24"/>
        </w:numPr>
        <w:rPr>
          <w:b/>
          <w:sz w:val="22"/>
          <w:szCs w:val="22"/>
          <w:lang w:val="pl-PL"/>
        </w:rPr>
      </w:pPr>
      <w:r w:rsidRPr="00347185">
        <w:rPr>
          <w:b/>
          <w:bCs/>
          <w:sz w:val="22"/>
          <w:szCs w:val="22"/>
          <w:lang w:val="pl"/>
        </w:rPr>
        <w:t>Atezolizumab</w:t>
      </w:r>
      <w:r w:rsidR="00494A94" w:rsidRPr="00347185">
        <w:rPr>
          <w:b/>
          <w:bCs/>
          <w:sz w:val="22"/>
          <w:szCs w:val="22"/>
          <w:lang w:val="pl"/>
        </w:rPr>
        <w:t xml:space="preserve"> </w:t>
      </w:r>
      <w:r w:rsidR="007E1180" w:rsidRPr="00347185">
        <w:rPr>
          <w:b/>
          <w:bCs/>
          <w:sz w:val="22"/>
          <w:szCs w:val="22"/>
          <w:lang w:val="pl"/>
        </w:rPr>
        <w:t xml:space="preserve">firmy Roche </w:t>
      </w:r>
      <w:r w:rsidR="00494A94" w:rsidRPr="00347185">
        <w:rPr>
          <w:b/>
          <w:bCs/>
          <w:sz w:val="22"/>
          <w:szCs w:val="22"/>
          <w:lang w:val="pl"/>
        </w:rPr>
        <w:t>stosowany w skojarzeniu</w:t>
      </w:r>
      <w:r w:rsidR="007E1180" w:rsidRPr="00347185">
        <w:rPr>
          <w:b/>
          <w:bCs/>
          <w:sz w:val="22"/>
          <w:szCs w:val="22"/>
          <w:lang w:val="pl"/>
        </w:rPr>
        <w:t xml:space="preserve"> z</w:t>
      </w:r>
      <w:r w:rsidR="00BF25BA" w:rsidRPr="00347185">
        <w:rPr>
          <w:b/>
          <w:bCs/>
          <w:sz w:val="22"/>
          <w:szCs w:val="22"/>
          <w:lang w:val="pl"/>
        </w:rPr>
        <w:t xml:space="preserve"> </w:t>
      </w:r>
      <w:r w:rsidR="00563E82" w:rsidRPr="00347185">
        <w:rPr>
          <w:b/>
          <w:bCs/>
          <w:sz w:val="22"/>
          <w:szCs w:val="22"/>
          <w:lang w:val="pl"/>
        </w:rPr>
        <w:t>nab-</w:t>
      </w:r>
      <w:r w:rsidR="00BF25BA" w:rsidRPr="00347185">
        <w:rPr>
          <w:b/>
          <w:bCs/>
          <w:sz w:val="22"/>
          <w:szCs w:val="22"/>
          <w:lang w:val="pl"/>
        </w:rPr>
        <w:t>paklitakselem</w:t>
      </w:r>
      <w:r w:rsidR="00494A94" w:rsidRPr="00347185">
        <w:rPr>
          <w:b/>
          <w:bCs/>
          <w:sz w:val="22"/>
          <w:szCs w:val="22"/>
          <w:lang w:val="pl"/>
        </w:rPr>
        <w:t xml:space="preserve"> </w:t>
      </w:r>
      <w:r w:rsidR="007E1180" w:rsidRPr="00347185">
        <w:rPr>
          <w:b/>
          <w:bCs/>
          <w:sz w:val="22"/>
          <w:szCs w:val="22"/>
          <w:lang w:val="pl"/>
        </w:rPr>
        <w:t>został zatwierdzony przez Komisję Europejską w leczeniu przerzutowego</w:t>
      </w:r>
      <w:r w:rsidR="00283C6D" w:rsidRPr="00347185">
        <w:rPr>
          <w:b/>
          <w:bCs/>
          <w:sz w:val="22"/>
          <w:szCs w:val="22"/>
          <w:lang w:val="pl"/>
        </w:rPr>
        <w:t xml:space="preserve">, potrójnie ujemnego raka </w:t>
      </w:r>
      <w:r w:rsidR="009F09BF" w:rsidRPr="00347185">
        <w:rPr>
          <w:b/>
          <w:bCs/>
          <w:sz w:val="22"/>
          <w:szCs w:val="22"/>
          <w:lang w:val="pl"/>
        </w:rPr>
        <w:t>piersi</w:t>
      </w:r>
      <w:r w:rsidR="00027782">
        <w:rPr>
          <w:b/>
          <w:bCs/>
          <w:sz w:val="22"/>
          <w:szCs w:val="22"/>
          <w:lang w:val="pl"/>
        </w:rPr>
        <w:t xml:space="preserve"> </w:t>
      </w:r>
      <w:r w:rsidR="007E1180" w:rsidRPr="00347185">
        <w:rPr>
          <w:b/>
          <w:bCs/>
          <w:sz w:val="22"/>
          <w:szCs w:val="22"/>
          <w:lang w:val="pl"/>
        </w:rPr>
        <w:t>z obecnością ekspresji PD-L1</w:t>
      </w:r>
    </w:p>
    <w:p w14:paraId="41CAE32A" w14:textId="77777777" w:rsidR="00287E76" w:rsidRPr="00347185" w:rsidRDefault="00494A94" w:rsidP="00494A94">
      <w:pPr>
        <w:pStyle w:val="Akapitzlist"/>
        <w:numPr>
          <w:ilvl w:val="0"/>
          <w:numId w:val="24"/>
        </w:numPr>
        <w:rPr>
          <w:b/>
          <w:sz w:val="22"/>
          <w:szCs w:val="22"/>
          <w:lang w:val="pl-PL"/>
        </w:rPr>
      </w:pPr>
      <w:r w:rsidRPr="00347185">
        <w:rPr>
          <w:b/>
          <w:bCs/>
          <w:sz w:val="22"/>
          <w:szCs w:val="22"/>
          <w:lang w:val="pl"/>
        </w:rPr>
        <w:t xml:space="preserve">Podstawą zatwierdzenia było badanie fazy III IMpassion130, w którym wykazano, że </w:t>
      </w:r>
      <w:r w:rsidR="007E1180" w:rsidRPr="00347185">
        <w:rPr>
          <w:b/>
          <w:bCs/>
          <w:sz w:val="22"/>
          <w:szCs w:val="22"/>
          <w:lang w:val="pl"/>
        </w:rPr>
        <w:t>to skojarzenie</w:t>
      </w:r>
      <w:r w:rsidRPr="00347185">
        <w:rPr>
          <w:b/>
          <w:bCs/>
          <w:sz w:val="22"/>
          <w:szCs w:val="22"/>
          <w:lang w:val="pl"/>
        </w:rPr>
        <w:t xml:space="preserve"> poprawia rezultaty leczenia u chorych z przerzutowym, potrójnie ujemnym rakiem </w:t>
      </w:r>
      <w:r w:rsidR="007E1180" w:rsidRPr="00347185">
        <w:rPr>
          <w:b/>
          <w:bCs/>
          <w:sz w:val="22"/>
          <w:szCs w:val="22"/>
          <w:lang w:val="pl"/>
        </w:rPr>
        <w:t>piersi</w:t>
      </w:r>
      <w:r w:rsidRPr="00347185">
        <w:rPr>
          <w:b/>
          <w:bCs/>
          <w:sz w:val="22"/>
          <w:szCs w:val="22"/>
          <w:lang w:val="pl"/>
        </w:rPr>
        <w:t xml:space="preserve"> z obecnością ekspresji PD-L1 </w:t>
      </w:r>
      <w:r w:rsidRPr="00347185">
        <w:rPr>
          <w:sz w:val="22"/>
          <w:szCs w:val="22"/>
          <w:lang w:val="pl"/>
        </w:rPr>
        <w:br/>
      </w:r>
    </w:p>
    <w:p w14:paraId="1F79962E" w14:textId="6307AA93" w:rsidR="002421FD" w:rsidRDefault="00494A94" w:rsidP="009D0DD4">
      <w:pPr>
        <w:pStyle w:val="93Disclaimer"/>
        <w:rPr>
          <w:sz w:val="22"/>
          <w:lang w:val="pl"/>
        </w:rPr>
      </w:pPr>
      <w:r>
        <w:rPr>
          <w:sz w:val="22"/>
          <w:lang w:val="pl"/>
        </w:rPr>
        <w:t xml:space="preserve">Firma Roche poinformowała, że Komisja Europejska zatwierdziła produkt </w:t>
      </w:r>
      <w:r w:rsidR="007E1180">
        <w:rPr>
          <w:sz w:val="22"/>
          <w:lang w:val="pl"/>
        </w:rPr>
        <w:t>atezolizumab</w:t>
      </w:r>
      <w:r>
        <w:rPr>
          <w:sz w:val="22"/>
          <w:lang w:val="pl"/>
        </w:rPr>
        <w:t xml:space="preserve"> w</w:t>
      </w:r>
      <w:r w:rsidR="007E1180">
        <w:rPr>
          <w:sz w:val="22"/>
          <w:lang w:val="pl"/>
        </w:rPr>
        <w:t> połączeniu z chemioterapią (</w:t>
      </w:r>
      <w:r w:rsidR="00563E82">
        <w:rPr>
          <w:sz w:val="22"/>
          <w:lang w:val="pl"/>
        </w:rPr>
        <w:t>nab-</w:t>
      </w:r>
      <w:r w:rsidR="007E1180">
        <w:rPr>
          <w:sz w:val="22"/>
          <w:lang w:val="pl"/>
        </w:rPr>
        <w:t>paklitakselem)</w:t>
      </w:r>
      <w:r>
        <w:rPr>
          <w:sz w:val="22"/>
          <w:lang w:val="pl"/>
        </w:rPr>
        <w:t xml:space="preserve"> w celu leczenia nieoperacyjnego, miejscowo zaawansowanego lub przerzutowego, potrójnie ujemnego raka </w:t>
      </w:r>
      <w:r w:rsidR="007E1180">
        <w:rPr>
          <w:sz w:val="22"/>
          <w:lang w:val="pl"/>
        </w:rPr>
        <w:t>piersi</w:t>
      </w:r>
      <w:r>
        <w:rPr>
          <w:sz w:val="22"/>
          <w:lang w:val="pl"/>
        </w:rPr>
        <w:t xml:space="preserve"> (TNBC) u osób dorosłych, u których guz wykazuje ekspresję PD-L1 i które wcześniej nie otrzymywały chemioterapii w ramach leczenia choroby przerzutowej. </w:t>
      </w:r>
      <w:r w:rsidR="009D0DD4">
        <w:rPr>
          <w:sz w:val="22"/>
          <w:lang w:val="pl"/>
        </w:rPr>
        <w:t>Do oceny ekspresji wykorzystywany jest test VENTANA PD-L1 (SP142) firmy Roche, dostępny na terenie Unii Europejskiej.</w:t>
      </w:r>
    </w:p>
    <w:p w14:paraId="3E20D1E9" w14:textId="77777777" w:rsidR="00027782" w:rsidRDefault="00494A94" w:rsidP="004174BB">
      <w:pPr>
        <w:pStyle w:val="93Disclaimer"/>
        <w:rPr>
          <w:sz w:val="22"/>
          <w:lang w:val="pl"/>
        </w:rPr>
      </w:pPr>
      <w:r>
        <w:rPr>
          <w:sz w:val="22"/>
          <w:lang w:val="pl"/>
        </w:rPr>
        <w:t xml:space="preserve">Jak mówi dyrektor ds. medycznych i kierownik globalnego działu rozwoju produktów w firmie </w:t>
      </w:r>
      <w:r w:rsidRPr="00C94B1E">
        <w:rPr>
          <w:sz w:val="22"/>
          <w:lang w:val="pl"/>
        </w:rPr>
        <w:t>Roche</w:t>
      </w:r>
      <w:r w:rsidR="00C94B1E" w:rsidRPr="00C94B1E">
        <w:rPr>
          <w:sz w:val="22"/>
          <w:lang w:val="pl"/>
        </w:rPr>
        <w:t xml:space="preserve"> </w:t>
      </w:r>
      <w:r w:rsidR="003D4419">
        <w:rPr>
          <w:sz w:val="22"/>
          <w:lang w:val="pl"/>
        </w:rPr>
        <w:br/>
      </w:r>
      <w:r w:rsidR="00C94B1E" w:rsidRPr="00C94B1E">
        <w:rPr>
          <w:sz w:val="22"/>
          <w:lang w:val="pl"/>
        </w:rPr>
        <w:t xml:space="preserve">dr </w:t>
      </w:r>
      <w:r w:rsidRPr="00C94B1E">
        <w:rPr>
          <w:sz w:val="22"/>
          <w:lang w:val="pl"/>
        </w:rPr>
        <w:t>Sandra Horning:</w:t>
      </w:r>
      <w:r>
        <w:rPr>
          <w:sz w:val="22"/>
          <w:lang w:val="pl"/>
        </w:rPr>
        <w:t xml:space="preserve"> „Przez ostatnie 30 lat z zaangażowaniem prowadziliśmy prace, których celem była zmiana życia osób dotkniętych rakiem </w:t>
      </w:r>
      <w:r w:rsidR="002421FD">
        <w:rPr>
          <w:sz w:val="22"/>
          <w:lang w:val="pl"/>
        </w:rPr>
        <w:t>piersi</w:t>
      </w:r>
      <w:r>
        <w:rPr>
          <w:sz w:val="22"/>
          <w:lang w:val="pl"/>
        </w:rPr>
        <w:t xml:space="preserve">. Po wielu latach starań mamy dziś przyjemność ogłosić, że w Europie dostępna jest pierwsza terapia dla chorych na przerzutowego potrójnie ujemnego raka </w:t>
      </w:r>
      <w:r w:rsidR="009F09BF">
        <w:rPr>
          <w:sz w:val="22"/>
          <w:lang w:val="pl"/>
        </w:rPr>
        <w:t>piersi</w:t>
      </w:r>
      <w:r>
        <w:rPr>
          <w:sz w:val="22"/>
          <w:lang w:val="pl"/>
        </w:rPr>
        <w:t xml:space="preserve"> z obecnością ekspresji PD-L1. Zatwierdzenie na szczeblu europejskim t</w:t>
      </w:r>
      <w:r w:rsidR="00283C6D">
        <w:rPr>
          <w:sz w:val="22"/>
          <w:lang w:val="pl"/>
        </w:rPr>
        <w:t xml:space="preserve">erapii </w:t>
      </w:r>
      <w:r>
        <w:rPr>
          <w:sz w:val="22"/>
          <w:lang w:val="pl"/>
        </w:rPr>
        <w:t xml:space="preserve">z wykorzystaniem </w:t>
      </w:r>
      <w:r w:rsidR="004174BB">
        <w:rPr>
          <w:sz w:val="22"/>
          <w:lang w:val="pl"/>
        </w:rPr>
        <w:t>leku atezolizumab</w:t>
      </w:r>
      <w:r>
        <w:rPr>
          <w:sz w:val="22"/>
          <w:lang w:val="pl"/>
        </w:rPr>
        <w:t xml:space="preserve"> to znaczący krok naprzód w leczeniu tego agresywnego </w:t>
      </w:r>
      <w:r w:rsidR="002421FD">
        <w:rPr>
          <w:sz w:val="22"/>
          <w:lang w:val="pl"/>
        </w:rPr>
        <w:t>nowotworu</w:t>
      </w:r>
      <w:r>
        <w:rPr>
          <w:sz w:val="22"/>
          <w:lang w:val="pl"/>
        </w:rPr>
        <w:t>, ponieważ w tym obszarze mamy do czynienia z istotną</w:t>
      </w:r>
      <w:r w:rsidR="004174BB">
        <w:rPr>
          <w:sz w:val="22"/>
          <w:lang w:val="pl"/>
        </w:rPr>
        <w:t>,</w:t>
      </w:r>
      <w:r>
        <w:rPr>
          <w:sz w:val="22"/>
          <w:lang w:val="pl"/>
        </w:rPr>
        <w:t xml:space="preserve"> niezaspokojoną potrzebą medyczną”.</w:t>
      </w:r>
      <w:r>
        <w:rPr>
          <w:sz w:val="22"/>
          <w:lang w:val="pl"/>
        </w:rPr>
        <w:br/>
      </w:r>
      <w:r>
        <w:rPr>
          <w:sz w:val="22"/>
          <w:lang w:val="pl"/>
        </w:rPr>
        <w:br/>
        <w:t xml:space="preserve">To zatwierdzenie opiera się na wynikach badania fazy III IMpassion130. Wyniki dotyczące czasu przeżycia wolnego od progresji (PFS) dowiodły statystycznie istotnych korzyści </w:t>
      </w:r>
      <w:r w:rsidR="002421FD">
        <w:rPr>
          <w:sz w:val="22"/>
          <w:lang w:val="pl"/>
        </w:rPr>
        <w:t>atezolizumabu</w:t>
      </w:r>
      <w:r>
        <w:rPr>
          <w:sz w:val="22"/>
          <w:lang w:val="pl"/>
        </w:rPr>
        <w:t xml:space="preserve"> w skojarzeniu z </w:t>
      </w:r>
      <w:proofErr w:type="spellStart"/>
      <w:r w:rsidR="00563E82">
        <w:rPr>
          <w:sz w:val="22"/>
          <w:lang w:val="pl"/>
        </w:rPr>
        <w:t>nab-</w:t>
      </w:r>
      <w:r>
        <w:rPr>
          <w:sz w:val="22"/>
          <w:lang w:val="pl"/>
        </w:rPr>
        <w:t>paklitakselem</w:t>
      </w:r>
      <w:proofErr w:type="spellEnd"/>
      <w:r w:rsidR="00563E82">
        <w:rPr>
          <w:sz w:val="22"/>
          <w:lang w:val="pl"/>
        </w:rPr>
        <w:t>.</w:t>
      </w:r>
      <w:r>
        <w:rPr>
          <w:sz w:val="22"/>
          <w:lang w:val="pl"/>
        </w:rPr>
        <w:t xml:space="preserve"> </w:t>
      </w:r>
      <w:r>
        <w:rPr>
          <w:sz w:val="22"/>
          <w:lang w:val="pl"/>
        </w:rPr>
        <w:br/>
      </w:r>
      <w:r>
        <w:rPr>
          <w:sz w:val="22"/>
          <w:lang w:val="pl"/>
        </w:rPr>
        <w:br/>
        <w:t xml:space="preserve">Obecnie prowadzonych jest siedem badań fazy III poświęconych </w:t>
      </w:r>
      <w:r w:rsidR="00563E82">
        <w:rPr>
          <w:sz w:val="22"/>
          <w:lang w:val="pl"/>
        </w:rPr>
        <w:t>atezolizumabowi</w:t>
      </w:r>
      <w:r>
        <w:rPr>
          <w:sz w:val="22"/>
          <w:lang w:val="pl"/>
        </w:rPr>
        <w:t xml:space="preserve"> w leczeniu </w:t>
      </w:r>
      <w:r w:rsidR="00563E82">
        <w:rPr>
          <w:sz w:val="22"/>
          <w:lang w:val="pl"/>
        </w:rPr>
        <w:t>potrójnie ujemnego raka piersi</w:t>
      </w:r>
      <w:r>
        <w:rPr>
          <w:sz w:val="22"/>
          <w:lang w:val="pl"/>
        </w:rPr>
        <w:t>, w tym dotyczących wczesnych i zaawansowanych stadiów choroby.</w:t>
      </w:r>
      <w:r>
        <w:rPr>
          <w:sz w:val="22"/>
          <w:lang w:val="pl"/>
        </w:rPr>
        <w:br/>
      </w:r>
      <w:r>
        <w:rPr>
          <w:sz w:val="22"/>
          <w:lang w:val="pl"/>
        </w:rPr>
        <w:br/>
      </w:r>
      <w:r w:rsidR="004174BB">
        <w:rPr>
          <w:b/>
          <w:bCs/>
          <w:sz w:val="22"/>
          <w:lang w:val="pl"/>
        </w:rPr>
        <w:t>Potrójnie ujemny rak piersi</w:t>
      </w:r>
      <w:r w:rsidR="004174BB">
        <w:rPr>
          <w:sz w:val="22"/>
          <w:lang w:val="pl"/>
        </w:rPr>
        <w:br/>
        <w:t>Rak piersi</w:t>
      </w:r>
      <w:r>
        <w:rPr>
          <w:sz w:val="22"/>
          <w:lang w:val="pl"/>
        </w:rPr>
        <w:t xml:space="preserve"> to najczęstszy nowotwór u kobiet, który jest co roku rozpoznawany u ponad 2 milionów </w:t>
      </w:r>
      <w:r w:rsidR="009F09BF">
        <w:rPr>
          <w:sz w:val="22"/>
          <w:lang w:val="pl"/>
        </w:rPr>
        <w:t>kobiet</w:t>
      </w:r>
      <w:r>
        <w:rPr>
          <w:sz w:val="22"/>
          <w:lang w:val="pl"/>
        </w:rPr>
        <w:t xml:space="preserve"> na całym świecie</w:t>
      </w:r>
      <w:r>
        <w:rPr>
          <w:sz w:val="22"/>
          <w:vertAlign w:val="superscript"/>
          <w:lang w:val="pl"/>
        </w:rPr>
        <w:t>1</w:t>
      </w:r>
      <w:r>
        <w:rPr>
          <w:sz w:val="22"/>
          <w:lang w:val="pl"/>
        </w:rPr>
        <w:t xml:space="preserve">. TNBC odpowiada za około 15% wszystkich nowotworów </w:t>
      </w:r>
      <w:r w:rsidR="009F09BF">
        <w:rPr>
          <w:sz w:val="22"/>
          <w:lang w:val="pl"/>
        </w:rPr>
        <w:t>piersi</w:t>
      </w:r>
      <w:r>
        <w:rPr>
          <w:sz w:val="22"/>
          <w:lang w:val="pl"/>
        </w:rPr>
        <w:t xml:space="preserve"> i wśród kobiet poniżej 50. roku życia występuje częściej niż inne postaci </w:t>
      </w:r>
      <w:r w:rsidR="00563E82">
        <w:rPr>
          <w:sz w:val="22"/>
          <w:lang w:val="pl"/>
        </w:rPr>
        <w:t>raka piersi</w:t>
      </w:r>
      <w:r>
        <w:rPr>
          <w:sz w:val="22"/>
          <w:vertAlign w:val="superscript"/>
          <w:lang w:val="pl"/>
        </w:rPr>
        <w:t>2-4</w:t>
      </w:r>
      <w:r>
        <w:rPr>
          <w:sz w:val="22"/>
          <w:lang w:val="pl"/>
        </w:rPr>
        <w:t xml:space="preserve">. Jest definiowany poprzez brak ekspresji  </w:t>
      </w:r>
      <w:r w:rsidR="009D0DD4">
        <w:rPr>
          <w:sz w:val="22"/>
          <w:lang w:val="pl"/>
        </w:rPr>
        <w:t>r</w:t>
      </w:r>
      <w:r>
        <w:rPr>
          <w:sz w:val="22"/>
          <w:lang w:val="pl"/>
        </w:rPr>
        <w:t>eceptorów dla estrogenu, progesteronu i </w:t>
      </w:r>
      <w:r w:rsidR="009F09BF">
        <w:rPr>
          <w:sz w:val="22"/>
          <w:lang w:val="pl"/>
        </w:rPr>
        <w:t xml:space="preserve">brak ekspresji i/lub </w:t>
      </w:r>
      <w:r>
        <w:rPr>
          <w:sz w:val="22"/>
          <w:lang w:val="pl"/>
        </w:rPr>
        <w:t>amplifikacji HER2, które to receptory mogłyby stanowić cel terapii</w:t>
      </w:r>
      <w:r>
        <w:rPr>
          <w:sz w:val="22"/>
          <w:vertAlign w:val="superscript"/>
          <w:lang w:val="pl"/>
        </w:rPr>
        <w:t>5</w:t>
      </w:r>
      <w:r>
        <w:rPr>
          <w:sz w:val="22"/>
          <w:lang w:val="pl"/>
        </w:rPr>
        <w:t xml:space="preserve">. U pacjentek z przerzutowym </w:t>
      </w:r>
      <w:r w:rsidR="009F09BF">
        <w:rPr>
          <w:sz w:val="22"/>
          <w:lang w:val="pl"/>
        </w:rPr>
        <w:t>TNBC</w:t>
      </w:r>
      <w:r w:rsidR="004174BB">
        <w:rPr>
          <w:sz w:val="22"/>
          <w:lang w:val="pl"/>
        </w:rPr>
        <w:t xml:space="preserve"> </w:t>
      </w:r>
      <w:r>
        <w:rPr>
          <w:sz w:val="22"/>
          <w:lang w:val="pl"/>
        </w:rPr>
        <w:t xml:space="preserve"> występuje</w:t>
      </w:r>
      <w:r w:rsidR="004174BB">
        <w:rPr>
          <w:sz w:val="22"/>
          <w:lang w:val="pl"/>
        </w:rPr>
        <w:t xml:space="preserve"> na ogół</w:t>
      </w:r>
      <w:r>
        <w:rPr>
          <w:sz w:val="22"/>
          <w:lang w:val="pl"/>
        </w:rPr>
        <w:t xml:space="preserve"> szybka progresja i krótszy OS w porównaniu z innymi podtypami raka sutka</w:t>
      </w:r>
      <w:r>
        <w:rPr>
          <w:sz w:val="22"/>
          <w:vertAlign w:val="superscript"/>
          <w:lang w:val="pl"/>
        </w:rPr>
        <w:t>3</w:t>
      </w:r>
      <w:r>
        <w:rPr>
          <w:sz w:val="22"/>
          <w:lang w:val="pl"/>
        </w:rPr>
        <w:t>.</w:t>
      </w:r>
      <w:r>
        <w:rPr>
          <w:sz w:val="22"/>
          <w:lang w:val="pl"/>
        </w:rPr>
        <w:br/>
      </w:r>
    </w:p>
    <w:p w14:paraId="168326F9" w14:textId="316D0335" w:rsidR="004174BB" w:rsidRPr="00027782" w:rsidRDefault="00560759" w:rsidP="004174BB">
      <w:pPr>
        <w:pStyle w:val="93Disclaimer"/>
        <w:rPr>
          <w:sz w:val="22"/>
          <w:lang w:val="pl"/>
        </w:rPr>
      </w:pPr>
      <w:bookmarkStart w:id="0" w:name="_GoBack"/>
      <w:bookmarkEnd w:id="0"/>
      <w:r>
        <w:rPr>
          <w:sz w:val="22"/>
          <w:lang w:val="pl"/>
        </w:rPr>
        <w:lastRenderedPageBreak/>
        <w:br/>
      </w:r>
      <w:r>
        <w:rPr>
          <w:b/>
          <w:bCs/>
          <w:sz w:val="22"/>
          <w:lang w:val="pl"/>
        </w:rPr>
        <w:t>Piśmiennictwo</w:t>
      </w:r>
      <w:r>
        <w:rPr>
          <w:sz w:val="22"/>
          <w:lang w:val="pl"/>
        </w:rPr>
        <w:br/>
      </w:r>
      <w:r>
        <w:rPr>
          <w:sz w:val="18"/>
          <w:szCs w:val="18"/>
          <w:lang w:val="pl"/>
        </w:rPr>
        <w:t xml:space="preserve">[1]World Health Organization: Globocan 2018 – Breast Cancer Factsheet. [Internet; zacytowano 24 lipca] Dostępne pod adresem: </w:t>
      </w:r>
      <w:hyperlink r:id="rId8" w:history="1">
        <w:r>
          <w:rPr>
            <w:rStyle w:val="Hipercze"/>
            <w:sz w:val="18"/>
            <w:szCs w:val="18"/>
            <w:lang w:val="pl"/>
          </w:rPr>
          <w:t>http://gco.iarc.fr/today/data/factsheets/cancers/20-Breast-fact-sheet.pdf</w:t>
        </w:r>
      </w:hyperlink>
      <w:r>
        <w:rPr>
          <w:sz w:val="18"/>
          <w:szCs w:val="18"/>
          <w:lang w:val="pl"/>
        </w:rPr>
        <w:t xml:space="preserve">. </w:t>
      </w:r>
      <w:r>
        <w:rPr>
          <w:sz w:val="18"/>
          <w:szCs w:val="18"/>
          <w:lang w:val="pl"/>
        </w:rPr>
        <w:br/>
      </w:r>
      <w:r w:rsidRPr="00DF0360">
        <w:rPr>
          <w:sz w:val="18"/>
          <w:szCs w:val="18"/>
        </w:rPr>
        <w:t>[2] Yao H i </w:t>
      </w:r>
      <w:proofErr w:type="spellStart"/>
      <w:r w:rsidRPr="00DF0360">
        <w:rPr>
          <w:sz w:val="18"/>
          <w:szCs w:val="18"/>
        </w:rPr>
        <w:t>wsp</w:t>
      </w:r>
      <w:proofErr w:type="spellEnd"/>
      <w:r w:rsidRPr="00DF0360">
        <w:rPr>
          <w:sz w:val="18"/>
          <w:szCs w:val="18"/>
        </w:rPr>
        <w:t xml:space="preserve">. Triple-negative breast cancer: is there a treatment on the horizon? </w:t>
      </w:r>
      <w:proofErr w:type="spellStart"/>
      <w:r w:rsidRPr="00DF0360">
        <w:rPr>
          <w:sz w:val="18"/>
          <w:szCs w:val="18"/>
        </w:rPr>
        <w:t>Oncotarget</w:t>
      </w:r>
      <w:proofErr w:type="spellEnd"/>
      <w:r w:rsidRPr="00DF0360">
        <w:rPr>
          <w:sz w:val="18"/>
          <w:szCs w:val="18"/>
        </w:rPr>
        <w:t>. 2017;8(1):1913–1924.</w:t>
      </w:r>
      <w:r w:rsidRPr="00DF0360">
        <w:rPr>
          <w:sz w:val="18"/>
          <w:szCs w:val="18"/>
        </w:rPr>
        <w:br/>
        <w:t xml:space="preserve">[3] BreastCancer.org. What is Triple-Negative Breast Cancer? [Internet; </w:t>
      </w:r>
      <w:proofErr w:type="spellStart"/>
      <w:r w:rsidRPr="00DF0360">
        <w:rPr>
          <w:sz w:val="18"/>
          <w:szCs w:val="18"/>
        </w:rPr>
        <w:t>zacytowano</w:t>
      </w:r>
      <w:proofErr w:type="spellEnd"/>
      <w:r w:rsidRPr="00DF0360">
        <w:rPr>
          <w:sz w:val="18"/>
          <w:szCs w:val="18"/>
        </w:rPr>
        <w:t xml:space="preserve"> 24 </w:t>
      </w:r>
      <w:proofErr w:type="spellStart"/>
      <w:r w:rsidRPr="00DF0360">
        <w:rPr>
          <w:sz w:val="18"/>
          <w:szCs w:val="18"/>
        </w:rPr>
        <w:t>lipca</w:t>
      </w:r>
      <w:proofErr w:type="spellEnd"/>
      <w:r w:rsidRPr="00DF0360">
        <w:rPr>
          <w:sz w:val="18"/>
          <w:szCs w:val="18"/>
        </w:rPr>
        <w:t xml:space="preserve">] </w:t>
      </w:r>
      <w:proofErr w:type="spellStart"/>
      <w:r w:rsidRPr="00DF0360">
        <w:rPr>
          <w:sz w:val="18"/>
          <w:szCs w:val="18"/>
        </w:rPr>
        <w:t>Dostępne</w:t>
      </w:r>
      <w:proofErr w:type="spellEnd"/>
      <w:r w:rsidRPr="00DF0360">
        <w:rPr>
          <w:sz w:val="18"/>
          <w:szCs w:val="18"/>
        </w:rPr>
        <w:t xml:space="preserve"> pod </w:t>
      </w:r>
      <w:proofErr w:type="spellStart"/>
      <w:r w:rsidRPr="00DF0360">
        <w:rPr>
          <w:sz w:val="18"/>
          <w:szCs w:val="18"/>
        </w:rPr>
        <w:t>adresem</w:t>
      </w:r>
      <w:proofErr w:type="spellEnd"/>
      <w:r w:rsidRPr="00DF0360">
        <w:rPr>
          <w:sz w:val="18"/>
          <w:szCs w:val="18"/>
        </w:rPr>
        <w:t xml:space="preserve">: </w:t>
      </w:r>
      <w:hyperlink r:id="rId9" w:history="1">
        <w:r w:rsidRPr="00DF0360">
          <w:rPr>
            <w:rStyle w:val="Hipercze"/>
            <w:sz w:val="18"/>
            <w:szCs w:val="18"/>
          </w:rPr>
          <w:t>https://www.breastcancer.org/symptoms/diagnosis/trip_neg?what</w:t>
        </w:r>
      </w:hyperlink>
      <w:r w:rsidRPr="00DF0360">
        <w:rPr>
          <w:sz w:val="18"/>
          <w:szCs w:val="18"/>
        </w:rPr>
        <w:t xml:space="preserve">  </w:t>
      </w:r>
      <w:r w:rsidRPr="00DF0360">
        <w:rPr>
          <w:sz w:val="18"/>
          <w:szCs w:val="18"/>
        </w:rPr>
        <w:br/>
      </w:r>
    </w:p>
    <w:p w14:paraId="407AE424" w14:textId="77777777" w:rsidR="000B2687" w:rsidRPr="004174BB" w:rsidRDefault="004174BB" w:rsidP="004174BB">
      <w:pPr>
        <w:pStyle w:val="93Disclaimer"/>
        <w:rPr>
          <w:sz w:val="22"/>
          <w:lang w:val="pl-PL"/>
        </w:rPr>
      </w:pPr>
      <w:r>
        <w:rPr>
          <w:b/>
          <w:bCs/>
          <w:sz w:val="22"/>
          <w:lang w:val="pl"/>
        </w:rPr>
        <w:t>Kontakt z mediami</w:t>
      </w:r>
      <w:r w:rsidR="00922914">
        <w:rPr>
          <w:sz w:val="22"/>
          <w:lang w:val="pl"/>
        </w:rPr>
        <w:br/>
      </w:r>
      <w:r>
        <w:rPr>
          <w:sz w:val="22"/>
          <w:lang w:val="pl"/>
        </w:rPr>
        <w:t xml:space="preserve">Małgorzata Szpejewska-Cedro; e-mail: </w:t>
      </w:r>
      <w:hyperlink r:id="rId10" w:history="1">
        <w:r w:rsidRPr="006D6474">
          <w:rPr>
            <w:rStyle w:val="Hipercze"/>
            <w:sz w:val="22"/>
            <w:lang w:val="pl"/>
          </w:rPr>
          <w:t>malgorzata.szpejewska-cedro@roche.com</w:t>
        </w:r>
      </w:hyperlink>
      <w:r>
        <w:rPr>
          <w:sz w:val="22"/>
          <w:lang w:val="pl"/>
        </w:rPr>
        <w:t xml:space="preserve"> </w:t>
      </w:r>
      <w:r w:rsidR="00C635BD" w:rsidRPr="004174BB">
        <w:rPr>
          <w:sz w:val="22"/>
          <w:lang w:val="pl-PL"/>
        </w:rPr>
        <w:br/>
      </w:r>
    </w:p>
    <w:sectPr w:rsidR="000B2687" w:rsidRPr="004174BB" w:rsidSect="00255C6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2636" w:right="850" w:bottom="1281" w:left="1417" w:header="73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582A" w14:textId="77777777" w:rsidR="00DE336F" w:rsidRDefault="00DE336F">
      <w:r>
        <w:separator/>
      </w:r>
    </w:p>
  </w:endnote>
  <w:endnote w:type="continuationSeparator" w:id="0">
    <w:p w14:paraId="75936555" w14:textId="77777777" w:rsidR="00DE336F" w:rsidRDefault="00D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Cambria"/>
    <w:charset w:val="EE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ago">
    <w:altName w:val="Calibri"/>
    <w:charset w:val="EE"/>
    <w:family w:val="auto"/>
    <w:pitch w:val="variable"/>
    <w:sig w:usb0="A00002AF" w:usb1="500020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5"/>
    </w:tblGrid>
    <w:tr w:rsidR="00CA48E3" w14:paraId="33CDDE2D" w14:textId="77777777">
      <w:trPr>
        <w:trHeight w:hRule="exact" w:val="499"/>
      </w:trPr>
      <w:tc>
        <w:tcPr>
          <w:tcW w:w="9631" w:type="dxa"/>
        </w:tcPr>
        <w:p w14:paraId="112782B4" w14:textId="77777777" w:rsidR="00CA48E3" w:rsidRDefault="00CA48E3">
          <w:pPr>
            <w:pStyle w:val="Footer4"/>
          </w:pPr>
        </w:p>
      </w:tc>
    </w:tr>
    <w:tr w:rsidR="00CA48E3" w14:paraId="23AABBDD" w14:textId="77777777">
      <w:tc>
        <w:tcPr>
          <w:tcW w:w="9631" w:type="dxa"/>
        </w:tcPr>
        <w:p w14:paraId="7BD13352" w14:textId="32FE3945" w:rsidR="00CA48E3" w:rsidRDefault="00CA48E3">
          <w:pPr>
            <w:pStyle w:val="Footer4"/>
          </w:pPr>
          <w:r>
            <w:rPr>
              <w:lang w:val="pl"/>
            </w:rPr>
            <w:fldChar w:fldCharType="begin"/>
          </w:r>
          <w:r>
            <w:rPr>
              <w:lang w:val="pl"/>
            </w:rPr>
            <w:instrText xml:space="preserve"> PAGE </w:instrText>
          </w:r>
          <w:r>
            <w:rPr>
              <w:lang w:val="pl"/>
            </w:rPr>
            <w:fldChar w:fldCharType="separate"/>
          </w:r>
          <w:r w:rsidR="003D4419">
            <w:rPr>
              <w:noProof/>
              <w:lang w:val="pl"/>
            </w:rPr>
            <w:t>2</w:t>
          </w:r>
          <w:r>
            <w:rPr>
              <w:lang w:val="pl"/>
            </w:rPr>
            <w:fldChar w:fldCharType="end"/>
          </w:r>
          <w:r>
            <w:rPr>
              <w:lang w:val="pl"/>
            </w:rPr>
            <w:t>/</w:t>
          </w:r>
          <w:r>
            <w:rPr>
              <w:rStyle w:val="Numerstrony"/>
              <w:lang w:val="pl"/>
            </w:rPr>
            <w:fldChar w:fldCharType="begin"/>
          </w:r>
          <w:r>
            <w:rPr>
              <w:rStyle w:val="Numerstrony"/>
              <w:lang w:val="pl"/>
            </w:rPr>
            <w:instrText xml:space="preserve"> NUMPAGES </w:instrText>
          </w:r>
          <w:r>
            <w:rPr>
              <w:rStyle w:val="Numerstrony"/>
              <w:lang w:val="pl"/>
            </w:rPr>
            <w:fldChar w:fldCharType="separate"/>
          </w:r>
          <w:r w:rsidR="003D4419">
            <w:rPr>
              <w:rStyle w:val="Numerstrony"/>
              <w:noProof/>
              <w:lang w:val="pl"/>
            </w:rPr>
            <w:t>2</w:t>
          </w:r>
          <w:r>
            <w:rPr>
              <w:rStyle w:val="Numerstrony"/>
              <w:lang w:val="pl"/>
            </w:rPr>
            <w:fldChar w:fldCharType="end"/>
          </w:r>
        </w:p>
      </w:tc>
    </w:tr>
  </w:tbl>
  <w:p w14:paraId="67F5D67D" w14:textId="77777777" w:rsidR="00CA48E3" w:rsidRDefault="00CA48E3">
    <w:pPr>
      <w:pStyle w:val="EmptyLine"/>
    </w:pPr>
  </w:p>
  <w:p w14:paraId="5D326501" w14:textId="77777777" w:rsidR="00CA48E3" w:rsidRDefault="00CA48E3">
    <w:pPr>
      <w:pStyle w:val="Stopka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2409"/>
      <w:gridCol w:w="2409"/>
      <w:gridCol w:w="2388"/>
      <w:gridCol w:w="21"/>
    </w:tblGrid>
    <w:tr w:rsidR="00CA48E3" w14:paraId="489F9AD5" w14:textId="77777777">
      <w:trPr>
        <w:cantSplit/>
        <w:trHeight w:hRule="exact" w:val="624"/>
      </w:trPr>
      <w:tc>
        <w:tcPr>
          <w:tcW w:w="2409" w:type="dxa"/>
          <w:shd w:val="clear" w:color="auto" w:fill="auto"/>
        </w:tcPr>
        <w:p w14:paraId="69FBB021" w14:textId="77777777" w:rsidR="00CA48E3" w:rsidRDefault="00CA48E3">
          <w:pPr>
            <w:pStyle w:val="EmptyLine"/>
          </w:pPr>
        </w:p>
      </w:tc>
      <w:tc>
        <w:tcPr>
          <w:tcW w:w="2409" w:type="dxa"/>
          <w:shd w:val="clear" w:color="auto" w:fill="auto"/>
        </w:tcPr>
        <w:p w14:paraId="77A0C351" w14:textId="77777777" w:rsidR="00CA48E3" w:rsidRDefault="00CA48E3">
          <w:pPr>
            <w:pStyle w:val="EmptyLine"/>
          </w:pPr>
        </w:p>
      </w:tc>
      <w:tc>
        <w:tcPr>
          <w:tcW w:w="2409" w:type="dxa"/>
          <w:shd w:val="clear" w:color="auto" w:fill="auto"/>
        </w:tcPr>
        <w:p w14:paraId="6D71F8C1" w14:textId="77777777" w:rsidR="00CA48E3" w:rsidRDefault="00CA48E3">
          <w:pPr>
            <w:pStyle w:val="EmptyLine"/>
          </w:pPr>
        </w:p>
      </w:tc>
      <w:tc>
        <w:tcPr>
          <w:tcW w:w="2409" w:type="dxa"/>
          <w:gridSpan w:val="2"/>
          <w:shd w:val="clear" w:color="auto" w:fill="auto"/>
        </w:tcPr>
        <w:p w14:paraId="4860E78B" w14:textId="77777777" w:rsidR="00CA48E3" w:rsidRDefault="00CA48E3">
          <w:pPr>
            <w:pStyle w:val="EmptyLine"/>
          </w:pPr>
        </w:p>
      </w:tc>
    </w:tr>
    <w:tr w:rsidR="00C82270" w14:paraId="63F2B777" w14:textId="77777777">
      <w:trPr>
        <w:cantSplit/>
      </w:trPr>
      <w:tc>
        <w:tcPr>
          <w:tcW w:w="2409" w:type="dxa"/>
          <w:shd w:val="clear" w:color="auto" w:fill="auto"/>
          <w:tcMar>
            <w:bottom w:w="85" w:type="dxa"/>
          </w:tcMar>
        </w:tcPr>
        <w:p w14:paraId="2E03C754" w14:textId="77777777" w:rsidR="00C82270" w:rsidRPr="006440D9" w:rsidRDefault="00C82270" w:rsidP="00C82270">
          <w:pPr>
            <w:spacing w:line="210" w:lineRule="atLeast"/>
            <w:ind w:right="170"/>
            <w:rPr>
              <w:rFonts w:ascii="Imago" w:hAnsi="Imago" w:cs="Imago"/>
              <w:b/>
              <w:bCs/>
              <w:sz w:val="16"/>
              <w:szCs w:val="16"/>
              <w:lang w:val="de-DE"/>
            </w:rPr>
          </w:pPr>
          <w:r w:rsidRPr="006440D9">
            <w:rPr>
              <w:rFonts w:ascii="Imago" w:hAnsi="Imago" w:cs="Imago"/>
              <w:b/>
              <w:bCs/>
              <w:noProof/>
              <w:sz w:val="16"/>
              <w:szCs w:val="16"/>
              <w:lang w:val="de-DE"/>
            </w:rPr>
            <w:t>F. Hoffmann-La Roche Ltd</w:t>
          </w:r>
        </w:p>
      </w:tc>
      <w:tc>
        <w:tcPr>
          <w:tcW w:w="2409" w:type="dxa"/>
          <w:shd w:val="clear" w:color="auto" w:fill="auto"/>
          <w:tcMar>
            <w:bottom w:w="85" w:type="dxa"/>
          </w:tcMar>
        </w:tcPr>
        <w:p w14:paraId="6202B535" w14:textId="77777777" w:rsidR="00C82270" w:rsidRDefault="00C82270" w:rsidP="00C82270">
          <w:pPr>
            <w:spacing w:line="210" w:lineRule="atLeast"/>
            <w:ind w:right="170"/>
            <w:rPr>
              <w:rFonts w:ascii="Imago" w:hAnsi="Imago" w:cs="Imago"/>
              <w:noProof/>
              <w:sz w:val="16"/>
              <w:szCs w:val="16"/>
            </w:rPr>
          </w:pPr>
          <w:r>
            <w:rPr>
              <w:rFonts w:ascii="Imago" w:hAnsi="Imago" w:cs="Imago"/>
              <w:noProof/>
              <w:sz w:val="16"/>
              <w:szCs w:val="16"/>
              <w:lang w:val="pl"/>
            </w:rPr>
            <w:t>4070 Bazylea</w:t>
          </w:r>
        </w:p>
        <w:p w14:paraId="1CEEAE56" w14:textId="77777777" w:rsidR="00C82270" w:rsidRDefault="00C82270" w:rsidP="00C82270">
          <w:pPr>
            <w:spacing w:line="210" w:lineRule="atLeast"/>
            <w:ind w:right="170"/>
            <w:rPr>
              <w:rFonts w:ascii="Imago" w:hAnsi="Imago" w:cs="Imago"/>
              <w:sz w:val="16"/>
              <w:szCs w:val="16"/>
            </w:rPr>
          </w:pPr>
          <w:r>
            <w:rPr>
              <w:rFonts w:ascii="Imago" w:hAnsi="Imago" w:cs="Imago"/>
              <w:noProof/>
              <w:sz w:val="16"/>
              <w:szCs w:val="16"/>
              <w:lang w:val="pl"/>
            </w:rPr>
            <w:t>Szwajcaria</w:t>
          </w:r>
        </w:p>
      </w:tc>
      <w:tc>
        <w:tcPr>
          <w:tcW w:w="2409" w:type="dxa"/>
          <w:shd w:val="clear" w:color="auto" w:fill="auto"/>
          <w:tcMar>
            <w:bottom w:w="85" w:type="dxa"/>
          </w:tcMar>
        </w:tcPr>
        <w:p w14:paraId="0BA2EB4B" w14:textId="77777777" w:rsidR="00C82270" w:rsidRPr="00DF0360" w:rsidRDefault="00C82270" w:rsidP="00C82270">
          <w:pPr>
            <w:spacing w:line="210" w:lineRule="atLeast"/>
            <w:ind w:right="170"/>
            <w:rPr>
              <w:rFonts w:ascii="Imago" w:hAnsi="Imago" w:cs="Imago"/>
              <w:sz w:val="16"/>
              <w:szCs w:val="16"/>
              <w:lang w:val="pl-PL"/>
            </w:rPr>
          </w:pPr>
          <w:r>
            <w:rPr>
              <w:rFonts w:ascii="Imago" w:hAnsi="Imago" w:cs="Imago"/>
              <w:noProof/>
              <w:sz w:val="16"/>
              <w:szCs w:val="16"/>
              <w:lang w:val="pl"/>
            </w:rPr>
            <w:t>Komunikacja w Grupie Roche</w:t>
          </w:r>
        </w:p>
        <w:p w14:paraId="04294BC1" w14:textId="77777777" w:rsidR="00C82270" w:rsidRPr="00DF0360" w:rsidRDefault="00C82270" w:rsidP="00C82270">
          <w:pPr>
            <w:spacing w:line="210" w:lineRule="atLeast"/>
            <w:ind w:right="170"/>
            <w:rPr>
              <w:rFonts w:ascii="Imago" w:hAnsi="Imago" w:cs="Imago"/>
              <w:sz w:val="16"/>
              <w:szCs w:val="16"/>
              <w:lang w:val="pl-PL"/>
            </w:rPr>
          </w:pPr>
          <w:r>
            <w:rPr>
              <w:rFonts w:ascii="Imago" w:hAnsi="Imago"/>
              <w:sz w:val="16"/>
              <w:szCs w:val="16"/>
              <w:lang w:val="pl"/>
            </w:rPr>
            <w:t>Dział kontaktów z mediami Grupy Roche</w:t>
          </w:r>
        </w:p>
      </w:tc>
      <w:tc>
        <w:tcPr>
          <w:tcW w:w="2409" w:type="dxa"/>
          <w:gridSpan w:val="2"/>
          <w:shd w:val="clear" w:color="auto" w:fill="auto"/>
          <w:tcMar>
            <w:bottom w:w="85" w:type="dxa"/>
          </w:tcMar>
        </w:tcPr>
        <w:p w14:paraId="3F4BE4BC" w14:textId="77777777" w:rsidR="00C82270" w:rsidRDefault="00C82270" w:rsidP="00C82270">
          <w:pPr>
            <w:spacing w:line="210" w:lineRule="atLeast"/>
            <w:ind w:right="170"/>
            <w:rPr>
              <w:rFonts w:ascii="Imago" w:hAnsi="Imago" w:cs="Imago"/>
              <w:sz w:val="16"/>
              <w:szCs w:val="16"/>
            </w:rPr>
          </w:pPr>
          <w:r>
            <w:rPr>
              <w:rFonts w:ascii="Imago" w:hAnsi="Imago" w:cs="Imago"/>
              <w:noProof/>
              <w:sz w:val="16"/>
              <w:szCs w:val="16"/>
              <w:lang w:val="pl"/>
            </w:rPr>
            <w:t>Tel.:</w:t>
          </w:r>
          <w:r>
            <w:rPr>
              <w:rFonts w:ascii="Imago" w:hAnsi="Imago" w:cs="Imago"/>
              <w:sz w:val="16"/>
              <w:szCs w:val="16"/>
              <w:lang w:val="pl"/>
            </w:rPr>
            <w:t xml:space="preserve"> +41 61 688 88 88</w:t>
          </w:r>
        </w:p>
        <w:p w14:paraId="5D92CDEC" w14:textId="77777777" w:rsidR="00C82270" w:rsidRDefault="00C82270" w:rsidP="00C82270">
          <w:pPr>
            <w:spacing w:line="210" w:lineRule="atLeast"/>
            <w:ind w:right="170"/>
            <w:rPr>
              <w:rFonts w:ascii="Imago" w:hAnsi="Imago" w:cs="Imago"/>
              <w:sz w:val="16"/>
              <w:szCs w:val="16"/>
            </w:rPr>
          </w:pPr>
          <w:r>
            <w:rPr>
              <w:rFonts w:ascii="Imago" w:hAnsi="Imago" w:cs="Imago"/>
              <w:noProof/>
              <w:sz w:val="16"/>
              <w:szCs w:val="16"/>
              <w:lang w:val="pl"/>
            </w:rPr>
            <w:t>www.roche.com</w:t>
          </w:r>
        </w:p>
      </w:tc>
    </w:tr>
    <w:tr w:rsidR="00C82270" w14:paraId="39B8C53C" w14:textId="77777777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14:paraId="71753D2C" w14:textId="77777777" w:rsidR="00C82270" w:rsidRPr="00D331F5" w:rsidRDefault="00C82270" w:rsidP="00C82270">
          <w:pPr>
            <w:pStyle w:val="EmptyLine"/>
          </w:pPr>
          <w:bookmarkStart w:id="3" w:name="MandatoryIndication" w:colFirst="0" w:colLast="0"/>
        </w:p>
      </w:tc>
    </w:tr>
    <w:tr w:rsidR="00C82270" w14:paraId="6431E187" w14:textId="77777777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14:paraId="00735934" w14:textId="77777777" w:rsidR="00C82270" w:rsidRDefault="00C82270" w:rsidP="00C82270">
          <w:pPr>
            <w:pStyle w:val="EmptyLine"/>
          </w:pPr>
          <w:bookmarkStart w:id="4" w:name="Confidentiality" w:colFirst="0" w:colLast="0"/>
          <w:bookmarkEnd w:id="3"/>
        </w:p>
      </w:tc>
    </w:tr>
    <w:bookmarkEnd w:id="4"/>
    <w:tr w:rsidR="00C82270" w14:paraId="3D1E207A" w14:textId="77777777">
      <w:trPr>
        <w:gridAfter w:val="1"/>
        <w:wAfter w:w="21" w:type="dxa"/>
        <w:cantSplit/>
        <w:trHeight w:val="420"/>
      </w:trPr>
      <w:tc>
        <w:tcPr>
          <w:tcW w:w="9615" w:type="dxa"/>
          <w:gridSpan w:val="4"/>
          <w:shd w:val="clear" w:color="auto" w:fill="auto"/>
          <w:vAlign w:val="bottom"/>
        </w:tcPr>
        <w:p w14:paraId="68A5D660" w14:textId="1D3ACFD0" w:rsidR="00C82270" w:rsidRDefault="00C82270" w:rsidP="00C82270">
          <w:pPr>
            <w:pStyle w:val="Footer4"/>
          </w:pPr>
          <w:r>
            <w:rPr>
              <w:lang w:val="pl"/>
            </w:rPr>
            <w:fldChar w:fldCharType="begin"/>
          </w:r>
          <w:r>
            <w:rPr>
              <w:lang w:val="pl"/>
            </w:rPr>
            <w:instrText xml:space="preserve"> PAGE </w:instrText>
          </w:r>
          <w:r>
            <w:rPr>
              <w:lang w:val="pl"/>
            </w:rPr>
            <w:fldChar w:fldCharType="separate"/>
          </w:r>
          <w:r w:rsidR="003D4419">
            <w:rPr>
              <w:noProof/>
              <w:lang w:val="pl"/>
            </w:rPr>
            <w:t>1</w:t>
          </w:r>
          <w:r>
            <w:rPr>
              <w:lang w:val="pl"/>
            </w:rPr>
            <w:fldChar w:fldCharType="end"/>
          </w:r>
          <w:r>
            <w:rPr>
              <w:lang w:val="pl"/>
            </w:rPr>
            <w:t>/</w:t>
          </w:r>
          <w:r>
            <w:rPr>
              <w:lang w:val="pl"/>
            </w:rPr>
            <w:fldChar w:fldCharType="begin"/>
          </w:r>
          <w:r>
            <w:rPr>
              <w:lang w:val="pl"/>
            </w:rPr>
            <w:instrText xml:space="preserve"> NUMPAGES </w:instrText>
          </w:r>
          <w:r>
            <w:rPr>
              <w:lang w:val="pl"/>
            </w:rPr>
            <w:fldChar w:fldCharType="separate"/>
          </w:r>
          <w:r w:rsidR="003D4419">
            <w:rPr>
              <w:noProof/>
              <w:lang w:val="pl"/>
            </w:rPr>
            <w:t>2</w:t>
          </w:r>
          <w:r>
            <w:rPr>
              <w:lang w:val="pl"/>
            </w:rPr>
            <w:fldChar w:fldCharType="end"/>
          </w:r>
        </w:p>
      </w:tc>
    </w:tr>
  </w:tbl>
  <w:p w14:paraId="47D0CEF9" w14:textId="77777777" w:rsidR="00CA48E3" w:rsidRDefault="00CA48E3">
    <w:pPr>
      <w:spacing w:line="20" w:lineRule="exact"/>
      <w:ind w:right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5709" w14:textId="77777777" w:rsidR="00DE336F" w:rsidRDefault="00DE336F">
      <w:r>
        <w:separator/>
      </w:r>
    </w:p>
  </w:footnote>
  <w:footnote w:type="continuationSeparator" w:id="0">
    <w:p w14:paraId="6D60DA0C" w14:textId="77777777" w:rsidR="00DE336F" w:rsidRDefault="00DE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40"/>
    </w:tblGrid>
    <w:tr w:rsidR="00CA48E3" w14:paraId="4D2C52B1" w14:textId="77777777" w:rsidTr="00D550A2">
      <w:trPr>
        <w:trHeight w:hRule="exact" w:val="1871"/>
      </w:trPr>
      <w:tc>
        <w:tcPr>
          <w:tcW w:w="9740" w:type="dxa"/>
          <w:shd w:val="clear" w:color="auto" w:fill="auto"/>
        </w:tcPr>
        <w:p w14:paraId="4683E671" w14:textId="77777777" w:rsidR="00CA48E3" w:rsidRDefault="00CA48E3" w:rsidP="00D550A2">
          <w:pPr>
            <w:jc w:val="right"/>
          </w:pPr>
        </w:p>
      </w:tc>
    </w:tr>
  </w:tbl>
  <w:p w14:paraId="386D41BE" w14:textId="77777777" w:rsidR="00CA48E3" w:rsidRDefault="00CA48E3">
    <w:pPr>
      <w:pStyle w:val="Empty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4955"/>
    </w:tblGrid>
    <w:tr w:rsidR="00CA48E3" w14:paraId="20D62825" w14:textId="77777777">
      <w:trPr>
        <w:trHeight w:val="1434"/>
      </w:trPr>
      <w:tc>
        <w:tcPr>
          <w:tcW w:w="4802" w:type="dxa"/>
          <w:tcBorders>
            <w:right w:val="nil"/>
          </w:tcBorders>
        </w:tcPr>
        <w:p w14:paraId="1DBE3237" w14:textId="77777777" w:rsidR="00CA48E3" w:rsidRDefault="00C82270">
          <w:pPr>
            <w:pStyle w:val="Personal"/>
            <w:rPr>
              <w:rFonts w:ascii="Minion" w:hAnsi="Minion"/>
              <w:i/>
              <w:sz w:val="54"/>
              <w:szCs w:val="54"/>
            </w:rPr>
          </w:pPr>
          <w:bookmarkStart w:id="1" w:name="From" w:colFirst="0" w:colLast="0"/>
          <w:r>
            <w:rPr>
              <w:rFonts w:ascii="Minion" w:hAnsi="Minion"/>
              <w:i/>
              <w:iCs/>
              <w:sz w:val="54"/>
              <w:szCs w:val="54"/>
              <w:lang w:val="pl"/>
            </w:rPr>
            <w:t>Komunikat prasowy</w:t>
          </w:r>
        </w:p>
      </w:tc>
      <w:tc>
        <w:tcPr>
          <w:tcW w:w="4955" w:type="dxa"/>
          <w:tcBorders>
            <w:right w:val="nil"/>
          </w:tcBorders>
        </w:tcPr>
        <w:p w14:paraId="24991C0F" w14:textId="77777777" w:rsidR="00CA48E3" w:rsidRDefault="00473AE9">
          <w:pPr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7CB5A112" wp14:editId="5EF12D44">
                <wp:extent cx="695325" cy="361950"/>
                <wp:effectExtent l="0" t="0" r="0" b="0"/>
                <wp:docPr id="1" name="Logo" descr="RoLo4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RoLo4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48E3" w14:paraId="7186872B" w14:textId="77777777">
      <w:trPr>
        <w:trHeight w:val="20"/>
      </w:trPr>
      <w:tc>
        <w:tcPr>
          <w:tcW w:w="4802" w:type="dxa"/>
          <w:tcBorders>
            <w:right w:val="nil"/>
          </w:tcBorders>
        </w:tcPr>
        <w:p w14:paraId="52CECBDD" w14:textId="77777777" w:rsidR="00CA48E3" w:rsidRDefault="00CA48E3">
          <w:pPr>
            <w:pStyle w:val="EmptyLine"/>
          </w:pPr>
          <w:bookmarkStart w:id="2" w:name="DateEnglish" w:colFirst="0" w:colLast="0"/>
          <w:bookmarkEnd w:id="1"/>
        </w:p>
      </w:tc>
      <w:tc>
        <w:tcPr>
          <w:tcW w:w="4955" w:type="dxa"/>
          <w:tcBorders>
            <w:right w:val="nil"/>
          </w:tcBorders>
        </w:tcPr>
        <w:p w14:paraId="626FAE81" w14:textId="77777777" w:rsidR="00CA48E3" w:rsidRDefault="00CA48E3">
          <w:pPr>
            <w:pStyle w:val="EmptyLine"/>
          </w:pPr>
        </w:p>
      </w:tc>
    </w:tr>
    <w:bookmarkEnd w:id="2"/>
  </w:tbl>
  <w:p w14:paraId="50FC6392" w14:textId="77777777" w:rsidR="00CA48E3" w:rsidRDefault="00CA48E3">
    <w:pPr>
      <w:pStyle w:val="Empty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2CE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FA0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F2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388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82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4AB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500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8A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528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54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968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848D4"/>
    <w:multiLevelType w:val="hybridMultilevel"/>
    <w:tmpl w:val="8252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9278D"/>
    <w:multiLevelType w:val="hybridMultilevel"/>
    <w:tmpl w:val="310C2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A6CD5"/>
    <w:multiLevelType w:val="hybridMultilevel"/>
    <w:tmpl w:val="0BEA57E0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1EAF6A1A"/>
    <w:multiLevelType w:val="hybridMultilevel"/>
    <w:tmpl w:val="456A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3BE9"/>
    <w:multiLevelType w:val="hybridMultilevel"/>
    <w:tmpl w:val="70D07E84"/>
    <w:lvl w:ilvl="0" w:tplc="F5EAA3C0">
      <w:numFmt w:val="bullet"/>
      <w:lvlText w:val="-"/>
      <w:lvlJc w:val="left"/>
      <w:pPr>
        <w:ind w:left="720" w:hanging="360"/>
      </w:pPr>
      <w:rPr>
        <w:rFonts w:ascii="Minion" w:eastAsia="Times New Roman" w:hAnsi="Mini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649DA"/>
    <w:multiLevelType w:val="hybridMultilevel"/>
    <w:tmpl w:val="E3189C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B4EC8"/>
    <w:multiLevelType w:val="hybridMultilevel"/>
    <w:tmpl w:val="1BC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22AE"/>
    <w:multiLevelType w:val="hybridMultilevel"/>
    <w:tmpl w:val="6C34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028F"/>
    <w:multiLevelType w:val="hybridMultilevel"/>
    <w:tmpl w:val="94FE3938"/>
    <w:lvl w:ilvl="0" w:tplc="96220C1C">
      <w:start w:val="1"/>
      <w:numFmt w:val="bullet"/>
      <w:pStyle w:val="Roche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CA"/>
      </w:rPr>
    </w:lvl>
    <w:lvl w:ilvl="1" w:tplc="C5E2E2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346FB"/>
    <w:multiLevelType w:val="hybridMultilevel"/>
    <w:tmpl w:val="A602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5AB3"/>
    <w:multiLevelType w:val="hybridMultilevel"/>
    <w:tmpl w:val="835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53393"/>
    <w:multiLevelType w:val="hybridMultilevel"/>
    <w:tmpl w:val="8DA0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92F45"/>
    <w:multiLevelType w:val="hybridMultilevel"/>
    <w:tmpl w:val="611C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21"/>
  </w:num>
  <w:num w:numId="18">
    <w:abstractNumId w:val="23"/>
  </w:num>
  <w:num w:numId="19">
    <w:abstractNumId w:val="14"/>
  </w:num>
  <w:num w:numId="20">
    <w:abstractNumId w:val="22"/>
  </w:num>
  <w:num w:numId="21">
    <w:abstractNumId w:val="17"/>
  </w:num>
  <w:num w:numId="22">
    <w:abstractNumId w:val="2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DocConfidentiality" w:val="GCIFalse"/>
    <w:docVar w:name="varDocFooterShow" w:val="GCITrue"/>
    <w:docVar w:name="varDocLang" w:val="GCIEnglish"/>
    <w:docVar w:name="varDocLangPrevious" w:val="GCIEnglish"/>
    <w:docVar w:name="varDocLogoState" w:val="GCIBlackWhiteLogo"/>
    <w:docVar w:name="varDocMandatoryIndication" w:val="GCIFalse"/>
    <w:docVar w:name="varDocPathDisplay" w:val="GCITrue"/>
    <w:docVar w:name="varDocPersonal" w:val="GCIFalse"/>
    <w:docVar w:name="varDocSetupPerformed" w:val="GCITrue"/>
    <w:docVar w:name="varDocStandardAddressPos" w:val="GCITrue"/>
    <w:docVar w:name="varDocType" w:val="GCILETTER"/>
    <w:docVar w:name="varDotVersion" w:val="GCI6.90"/>
    <w:docVar w:name="varLetterLayoutEnglish" w:val="GCIFalse"/>
    <w:docVar w:name="varsenaddress" w:val="GCI"/>
    <w:docVar w:name="varsenbuilding" w:val="GCI"/>
    <w:docVar w:name="varsencompanyEnglish" w:val="GCIF. Hoffmann-La Roche Ltd."/>
    <w:docVar w:name="varsencompanyFrench" w:val="GCIF. Hoffmann-La Roche Ltd."/>
    <w:docVar w:name="varsencompanyGerman" w:val="GCIF. Hoffmann-La Roche Ltd."/>
    <w:docVar w:name="varsencompanyItalian" w:val="GCIF. Hoffmann-La Roche Ltd."/>
    <w:docVar w:name="varsencompanyLocal" w:val="GCIF. Hoffmann-La Roche Ltd."/>
    <w:docVar w:name="varsencompanySpanish" w:val="GCIF. Hoffmann-La Roche Ltd."/>
    <w:docVar w:name="varsenconfidentiality" w:val="GCI"/>
    <w:docVar w:name="varsencustom_text" w:val="GCIFalse"/>
    <w:docVar w:name="varsendefault_text" w:val="GCITrue"/>
    <w:docVar w:name="varsendepartment" w:val="GCI"/>
    <w:docVar w:name="varsendepartment_short" w:val="GCI"/>
    <w:docVar w:name="varsendivision" w:val="GCICorporate"/>
    <w:docVar w:name="varsenemail" w:val="GCI"/>
    <w:docVar w:name="varsenfax" w:val="GCI"/>
    <w:docVar w:name="varsenfax_textEnglish" w:val="GCI"/>
    <w:docVar w:name="varsenfax_textFrench" w:val="GCI"/>
    <w:docVar w:name="varsenfax_textGerman" w:val="GCI"/>
    <w:docVar w:name="varsenfax_textItalian" w:val="GCI"/>
    <w:docVar w:name="varsenfax_textLocal" w:val="GCI"/>
    <w:docVar w:name="varsenfax_textSpanish" w:val="GCI"/>
    <w:docVar w:name="varsenfirst_name" w:val="GCIAlice"/>
    <w:docVar w:name="varsenfunctionEnglish" w:val="GCI"/>
    <w:docVar w:name="varsenfunctionFrench" w:val="GCI"/>
    <w:docVar w:name="varsenfunctionGerman" w:val="GCI"/>
    <w:docVar w:name="varsenfunctionItalian" w:val="GCI"/>
    <w:docVar w:name="varsenfunctionLocal" w:val="GCI"/>
    <w:docVar w:name="varsenfunctionSpanish" w:val="GCI"/>
    <w:docVar w:name="varsenid" w:val="GCI1"/>
    <w:docVar w:name="varsenlanguage" w:val="GCINone"/>
    <w:docVar w:name="varsenlast_name" w:val="GCISpinas"/>
    <w:docVar w:name="varsenletter_text_1English" w:val="GCI"/>
    <w:docVar w:name="varsenletter_text_1French" w:val="GCI"/>
    <w:docVar w:name="varsenletter_text_1German" w:val="GCI"/>
    <w:docVar w:name="varsenletter_text_1Italian" w:val="GCI"/>
    <w:docVar w:name="varsenletter_text_1Local" w:val="GCI"/>
    <w:docVar w:name="varsenletter_text_1Spanish" w:val="GCI"/>
    <w:docVar w:name="varsenletter_text_2English" w:val="GCI"/>
    <w:docVar w:name="varsenletter_text_2French" w:val="GCI"/>
    <w:docVar w:name="varsenletter_text_2German" w:val="GCI"/>
    <w:docVar w:name="varsenletter_text_2Italian" w:val="GCI"/>
    <w:docVar w:name="varsenletter_text_2Local" w:val="GCI"/>
    <w:docVar w:name="varsenletter_text_2Spanish" w:val="GCI"/>
    <w:docVar w:name="varsenletter_text_3English" w:val="GCI"/>
    <w:docVar w:name="varsenletter_text_3French" w:val="GCI"/>
    <w:docVar w:name="varsenletter_text_3German" w:val="GCI"/>
    <w:docVar w:name="varsenletter_text_3Italian" w:val="GCI"/>
    <w:docVar w:name="varsenletter_text_3Local" w:val="GCI"/>
    <w:docVar w:name="varsenletter_text_3Spanish" w:val="GCI"/>
    <w:docVar w:name="varsenletter_text_4English" w:val="GCI"/>
    <w:docVar w:name="varsenletter_text_4French" w:val="GCI"/>
    <w:docVar w:name="varsenletter_text_4German" w:val="GCI"/>
    <w:docVar w:name="varsenletter_text_4Italian" w:val="GCI"/>
    <w:docVar w:name="varsenletter_text_4Local" w:val="GCI"/>
    <w:docVar w:name="varsenletter_text_4Spanish" w:val="GCI"/>
    <w:docVar w:name="varsenlocationEnglish" w:val="GCIBasel"/>
    <w:docVar w:name="varsenlocationFrench" w:val="GCIBasel"/>
    <w:docVar w:name="varsenlocationGerman" w:val="GCIBasel"/>
    <w:docVar w:name="varsenlocationItalian" w:val="GCIBasel"/>
    <w:docVar w:name="varsenlocationLocal" w:val="GCIBasel"/>
    <w:docVar w:name="varsenlocationSpanish" w:val="GCIBasel"/>
    <w:docVar w:name="varsenlogo" w:val="GCI"/>
    <w:docVar w:name="varsenmandatory_indication" w:val="GCI"/>
    <w:docVar w:name="varsenmemo_textEnglish" w:val="GCI"/>
    <w:docVar w:name="varsenmemo_textFrench" w:val="GCI"/>
    <w:docVar w:name="varsenmemo_textGerman" w:val="GCI"/>
    <w:docVar w:name="varsenmemo_textItalian" w:val="GCI"/>
    <w:docVar w:name="varsenmemo_textLocal" w:val="GCI"/>
    <w:docVar w:name="varsenmemo_textSpanish" w:val="GCI"/>
    <w:docVar w:name="varsenphone" w:val="GCI"/>
  </w:docVars>
  <w:rsids>
    <w:rsidRoot w:val="00D07B48"/>
    <w:rsid w:val="00007B42"/>
    <w:rsid w:val="00026328"/>
    <w:rsid w:val="00027782"/>
    <w:rsid w:val="00035B50"/>
    <w:rsid w:val="00044663"/>
    <w:rsid w:val="00057985"/>
    <w:rsid w:val="000676E0"/>
    <w:rsid w:val="000829F5"/>
    <w:rsid w:val="00095F61"/>
    <w:rsid w:val="000965DC"/>
    <w:rsid w:val="000A199D"/>
    <w:rsid w:val="000B2687"/>
    <w:rsid w:val="000C0AB0"/>
    <w:rsid w:val="000C3313"/>
    <w:rsid w:val="000C5AB8"/>
    <w:rsid w:val="000E1CB8"/>
    <w:rsid w:val="00105BC2"/>
    <w:rsid w:val="00116D01"/>
    <w:rsid w:val="00122C53"/>
    <w:rsid w:val="001468AA"/>
    <w:rsid w:val="00153815"/>
    <w:rsid w:val="00162149"/>
    <w:rsid w:val="00175132"/>
    <w:rsid w:val="001803A4"/>
    <w:rsid w:val="00185413"/>
    <w:rsid w:val="00190DA1"/>
    <w:rsid w:val="001A30A5"/>
    <w:rsid w:val="001A4C61"/>
    <w:rsid w:val="001B6B46"/>
    <w:rsid w:val="001B751A"/>
    <w:rsid w:val="001C6E8F"/>
    <w:rsid w:val="001D60AA"/>
    <w:rsid w:val="00203C46"/>
    <w:rsid w:val="002067FA"/>
    <w:rsid w:val="0022352F"/>
    <w:rsid w:val="00227F69"/>
    <w:rsid w:val="002421FD"/>
    <w:rsid w:val="00245BC4"/>
    <w:rsid w:val="00247410"/>
    <w:rsid w:val="00250422"/>
    <w:rsid w:val="002509A5"/>
    <w:rsid w:val="00255C6D"/>
    <w:rsid w:val="002773D1"/>
    <w:rsid w:val="002820C5"/>
    <w:rsid w:val="00283C6D"/>
    <w:rsid w:val="00287E76"/>
    <w:rsid w:val="002A73C0"/>
    <w:rsid w:val="002B14EF"/>
    <w:rsid w:val="002C588A"/>
    <w:rsid w:val="002E21F6"/>
    <w:rsid w:val="00316056"/>
    <w:rsid w:val="00316FB1"/>
    <w:rsid w:val="00343279"/>
    <w:rsid w:val="003452A5"/>
    <w:rsid w:val="00347185"/>
    <w:rsid w:val="00350A0D"/>
    <w:rsid w:val="00351944"/>
    <w:rsid w:val="003521D2"/>
    <w:rsid w:val="0036331E"/>
    <w:rsid w:val="003645CF"/>
    <w:rsid w:val="003679D4"/>
    <w:rsid w:val="00385E22"/>
    <w:rsid w:val="003A1977"/>
    <w:rsid w:val="003A5C3F"/>
    <w:rsid w:val="003C4EEF"/>
    <w:rsid w:val="003C661A"/>
    <w:rsid w:val="003D4419"/>
    <w:rsid w:val="003E6A9F"/>
    <w:rsid w:val="003E724F"/>
    <w:rsid w:val="004004D8"/>
    <w:rsid w:val="004035F1"/>
    <w:rsid w:val="004129E2"/>
    <w:rsid w:val="004131BC"/>
    <w:rsid w:val="004174BB"/>
    <w:rsid w:val="00440D48"/>
    <w:rsid w:val="00473AE9"/>
    <w:rsid w:val="00494A94"/>
    <w:rsid w:val="00495450"/>
    <w:rsid w:val="004A4AA6"/>
    <w:rsid w:val="004D2D5B"/>
    <w:rsid w:val="004D6567"/>
    <w:rsid w:val="004E06DD"/>
    <w:rsid w:val="004E7E13"/>
    <w:rsid w:val="004F5168"/>
    <w:rsid w:val="0052378B"/>
    <w:rsid w:val="0053726B"/>
    <w:rsid w:val="00544F6D"/>
    <w:rsid w:val="0054721A"/>
    <w:rsid w:val="00560759"/>
    <w:rsid w:val="00563E82"/>
    <w:rsid w:val="005825A7"/>
    <w:rsid w:val="00590C2C"/>
    <w:rsid w:val="005B0828"/>
    <w:rsid w:val="005B3719"/>
    <w:rsid w:val="005C206B"/>
    <w:rsid w:val="005D1079"/>
    <w:rsid w:val="005D536D"/>
    <w:rsid w:val="005D6C6F"/>
    <w:rsid w:val="005D7556"/>
    <w:rsid w:val="005E4824"/>
    <w:rsid w:val="005E54F1"/>
    <w:rsid w:val="005E5D42"/>
    <w:rsid w:val="005F00C2"/>
    <w:rsid w:val="00606FF9"/>
    <w:rsid w:val="006078BE"/>
    <w:rsid w:val="00610861"/>
    <w:rsid w:val="00624746"/>
    <w:rsid w:val="006440D9"/>
    <w:rsid w:val="0065775C"/>
    <w:rsid w:val="0066074D"/>
    <w:rsid w:val="00666863"/>
    <w:rsid w:val="00675664"/>
    <w:rsid w:val="00675C4F"/>
    <w:rsid w:val="0068513A"/>
    <w:rsid w:val="00691D7E"/>
    <w:rsid w:val="006B5EA3"/>
    <w:rsid w:val="006C2C34"/>
    <w:rsid w:val="006F0274"/>
    <w:rsid w:val="0072760F"/>
    <w:rsid w:val="007334B5"/>
    <w:rsid w:val="00736A00"/>
    <w:rsid w:val="00763BFB"/>
    <w:rsid w:val="00765BE0"/>
    <w:rsid w:val="00795212"/>
    <w:rsid w:val="007E1180"/>
    <w:rsid w:val="007E68DC"/>
    <w:rsid w:val="0081394D"/>
    <w:rsid w:val="00850472"/>
    <w:rsid w:val="00850710"/>
    <w:rsid w:val="0085188D"/>
    <w:rsid w:val="00857821"/>
    <w:rsid w:val="00873861"/>
    <w:rsid w:val="008760B2"/>
    <w:rsid w:val="0088502B"/>
    <w:rsid w:val="00897FA1"/>
    <w:rsid w:val="008B05EC"/>
    <w:rsid w:val="008B0B82"/>
    <w:rsid w:val="008C0F58"/>
    <w:rsid w:val="008C187E"/>
    <w:rsid w:val="008D0658"/>
    <w:rsid w:val="008E55F5"/>
    <w:rsid w:val="009110EF"/>
    <w:rsid w:val="00922914"/>
    <w:rsid w:val="00924A02"/>
    <w:rsid w:val="009A0D2B"/>
    <w:rsid w:val="009C2DEC"/>
    <w:rsid w:val="009C5B05"/>
    <w:rsid w:val="009D0398"/>
    <w:rsid w:val="009D0DD4"/>
    <w:rsid w:val="009D53F9"/>
    <w:rsid w:val="009D6200"/>
    <w:rsid w:val="009F09BF"/>
    <w:rsid w:val="00A1653A"/>
    <w:rsid w:val="00A329A9"/>
    <w:rsid w:val="00A3475F"/>
    <w:rsid w:val="00A35174"/>
    <w:rsid w:val="00A65677"/>
    <w:rsid w:val="00A67145"/>
    <w:rsid w:val="00AC49F7"/>
    <w:rsid w:val="00AD7949"/>
    <w:rsid w:val="00AE1945"/>
    <w:rsid w:val="00AE2469"/>
    <w:rsid w:val="00AE5C75"/>
    <w:rsid w:val="00B041DA"/>
    <w:rsid w:val="00B30360"/>
    <w:rsid w:val="00B5314D"/>
    <w:rsid w:val="00B62B5E"/>
    <w:rsid w:val="00B77BB0"/>
    <w:rsid w:val="00B823B7"/>
    <w:rsid w:val="00B8370D"/>
    <w:rsid w:val="00B9260F"/>
    <w:rsid w:val="00BB4438"/>
    <w:rsid w:val="00BF17F5"/>
    <w:rsid w:val="00BF25BA"/>
    <w:rsid w:val="00BF29EC"/>
    <w:rsid w:val="00C01315"/>
    <w:rsid w:val="00C04296"/>
    <w:rsid w:val="00C05156"/>
    <w:rsid w:val="00C47D8D"/>
    <w:rsid w:val="00C602A2"/>
    <w:rsid w:val="00C611CE"/>
    <w:rsid w:val="00C635BD"/>
    <w:rsid w:val="00C65A35"/>
    <w:rsid w:val="00C81587"/>
    <w:rsid w:val="00C82270"/>
    <w:rsid w:val="00C86F3A"/>
    <w:rsid w:val="00C8719C"/>
    <w:rsid w:val="00C92ED9"/>
    <w:rsid w:val="00C94B1E"/>
    <w:rsid w:val="00CA48E3"/>
    <w:rsid w:val="00CE4493"/>
    <w:rsid w:val="00D07B48"/>
    <w:rsid w:val="00D14FC6"/>
    <w:rsid w:val="00D15DF3"/>
    <w:rsid w:val="00D32E92"/>
    <w:rsid w:val="00D331F5"/>
    <w:rsid w:val="00D34D93"/>
    <w:rsid w:val="00D400F2"/>
    <w:rsid w:val="00D44022"/>
    <w:rsid w:val="00D52FCB"/>
    <w:rsid w:val="00D550A2"/>
    <w:rsid w:val="00D66DD7"/>
    <w:rsid w:val="00D87148"/>
    <w:rsid w:val="00DA5460"/>
    <w:rsid w:val="00DC1A99"/>
    <w:rsid w:val="00DD083E"/>
    <w:rsid w:val="00DD3218"/>
    <w:rsid w:val="00DD6BA3"/>
    <w:rsid w:val="00DD6E0A"/>
    <w:rsid w:val="00DD6E98"/>
    <w:rsid w:val="00DE336F"/>
    <w:rsid w:val="00DF0360"/>
    <w:rsid w:val="00E02735"/>
    <w:rsid w:val="00E06B9B"/>
    <w:rsid w:val="00E23C83"/>
    <w:rsid w:val="00E34704"/>
    <w:rsid w:val="00E45C49"/>
    <w:rsid w:val="00E52FCC"/>
    <w:rsid w:val="00E72064"/>
    <w:rsid w:val="00E735C6"/>
    <w:rsid w:val="00E82D7A"/>
    <w:rsid w:val="00E859A1"/>
    <w:rsid w:val="00E9226F"/>
    <w:rsid w:val="00E928E1"/>
    <w:rsid w:val="00E96686"/>
    <w:rsid w:val="00EB3D73"/>
    <w:rsid w:val="00EB5E57"/>
    <w:rsid w:val="00EC137D"/>
    <w:rsid w:val="00EC408B"/>
    <w:rsid w:val="00EC785B"/>
    <w:rsid w:val="00ED5598"/>
    <w:rsid w:val="00F036FD"/>
    <w:rsid w:val="00F037D4"/>
    <w:rsid w:val="00F07647"/>
    <w:rsid w:val="00F177CB"/>
    <w:rsid w:val="00F304D7"/>
    <w:rsid w:val="00F4326C"/>
    <w:rsid w:val="00F471D4"/>
    <w:rsid w:val="00F820E2"/>
    <w:rsid w:val="00F83B5F"/>
    <w:rsid w:val="00F85731"/>
    <w:rsid w:val="00F94522"/>
    <w:rsid w:val="00F97C82"/>
    <w:rsid w:val="00FB7B03"/>
    <w:rsid w:val="00FC1D6A"/>
    <w:rsid w:val="00FC5596"/>
    <w:rsid w:val="00FC62BB"/>
    <w:rsid w:val="00FD0C49"/>
    <w:rsid w:val="00FD4CC0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0D284"/>
  <w15:docId w15:val="{11104BFC-24B8-4D02-9517-919FE1E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widowControl w:val="0"/>
      <w:spacing w:line="260" w:lineRule="atLeast"/>
    </w:pPr>
    <w:rPr>
      <w:rFonts w:ascii="Minion" w:hAnsi="Minion"/>
      <w:sz w:val="24"/>
      <w:lang w:val="en-US" w:eastAsia="ru-RU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</w:style>
  <w:style w:type="paragraph" w:styleId="Stopka">
    <w:name w:val="footer"/>
    <w:basedOn w:val="Normalny"/>
    <w:pPr>
      <w:spacing w:line="220" w:lineRule="exact"/>
    </w:pPr>
    <w:rPr>
      <w:i/>
      <w:sz w:val="18"/>
    </w:rPr>
  </w:style>
  <w:style w:type="paragraph" w:customStyle="1" w:styleId="EmptyLine">
    <w:name w:val="EmptyLine"/>
    <w:basedOn w:val="Normalny"/>
    <w:pPr>
      <w:spacing w:line="10" w:lineRule="exact"/>
    </w:pPr>
    <w:rPr>
      <w:color w:val="FFFFFF"/>
    </w:rPr>
  </w:style>
  <w:style w:type="paragraph" w:customStyle="1" w:styleId="Footer3">
    <w:name w:val="Footer3"/>
    <w:basedOn w:val="Normalny"/>
    <w:link w:val="Footer3Char"/>
    <w:pPr>
      <w:spacing w:line="210" w:lineRule="atLeast"/>
      <w:ind w:right="170"/>
    </w:pPr>
    <w:rPr>
      <w:i/>
      <w:sz w:val="16"/>
    </w:rPr>
  </w:style>
  <w:style w:type="paragraph" w:customStyle="1" w:styleId="Footer3Bold">
    <w:name w:val="Footer3Bold"/>
    <w:basedOn w:val="Footer3"/>
    <w:link w:val="Footer3BoldChar"/>
    <w:rPr>
      <w:b/>
    </w:rPr>
  </w:style>
  <w:style w:type="character" w:customStyle="1" w:styleId="Footer3Char">
    <w:name w:val="Footer3 Char"/>
    <w:link w:val="Footer3"/>
    <w:rPr>
      <w:rFonts w:ascii="Minion" w:hAnsi="Minion"/>
      <w:i/>
      <w:sz w:val="16"/>
      <w:lang w:val="en-GB" w:eastAsia="ru-RU" w:bidi="ar-SA"/>
    </w:rPr>
  </w:style>
  <w:style w:type="character" w:customStyle="1" w:styleId="Footer3BoldChar">
    <w:name w:val="Footer3Bold Char"/>
    <w:link w:val="Footer3Bold"/>
    <w:rPr>
      <w:rFonts w:ascii="Minion" w:hAnsi="Minion"/>
      <w:b/>
      <w:i/>
      <w:sz w:val="16"/>
      <w:lang w:val="en-GB" w:eastAsia="ru-RU" w:bidi="ar-SA"/>
    </w:rPr>
  </w:style>
  <w:style w:type="paragraph" w:customStyle="1" w:styleId="Footer2">
    <w:name w:val="Footer2"/>
    <w:basedOn w:val="Normalny"/>
    <w:pPr>
      <w:spacing w:before="60" w:after="80" w:line="210" w:lineRule="atLeast"/>
    </w:pPr>
    <w:rPr>
      <w:rFonts w:ascii="Imago" w:hAnsi="Imago"/>
      <w:sz w:val="16"/>
      <w:szCs w:val="16"/>
    </w:rPr>
  </w:style>
  <w:style w:type="paragraph" w:customStyle="1" w:styleId="Personal">
    <w:name w:val="Personal"/>
    <w:basedOn w:val="Normalny"/>
    <w:pPr>
      <w:spacing w:line="210" w:lineRule="atLeast"/>
      <w:ind w:left="11"/>
    </w:pPr>
    <w:rPr>
      <w:rFonts w:ascii="Imago" w:hAnsi="Imago"/>
      <w:noProof/>
      <w:sz w:val="16"/>
    </w:rPr>
  </w:style>
  <w:style w:type="paragraph" w:customStyle="1" w:styleId="PersonalBold">
    <w:name w:val="PersonalBold"/>
    <w:basedOn w:val="Personal"/>
    <w:pPr>
      <w:spacing w:before="100"/>
    </w:pPr>
    <w:rPr>
      <w:b/>
    </w:rPr>
  </w:style>
  <w:style w:type="table" w:styleId="Tabela-Siatka">
    <w:name w:val="Table Grid"/>
    <w:basedOn w:val="Standardowy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paragraph" w:customStyle="1" w:styleId="Footer4">
    <w:name w:val="Footer4"/>
    <w:basedOn w:val="Normalny"/>
    <w:pPr>
      <w:spacing w:before="120" w:line="210" w:lineRule="atLeast"/>
      <w:jc w:val="right"/>
    </w:pPr>
    <w:rPr>
      <w:rFonts w:ascii="Imago" w:hAnsi="Imago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ny"/>
    <w:pPr>
      <w:ind w:left="11"/>
    </w:pPr>
    <w:rPr>
      <w:b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pPr>
      <w:widowControl/>
      <w:spacing w:line="240" w:lineRule="auto"/>
    </w:pPr>
    <w:rPr>
      <w:rFonts w:ascii="Times New Roman" w:hAnsi="Times New Roman"/>
      <w:sz w:val="20"/>
      <w:lang w:eastAsia="en-US"/>
    </w:rPr>
  </w:style>
  <w:style w:type="paragraph" w:customStyle="1" w:styleId="Rochebul">
    <w:name w:val="Roche bul"/>
    <w:basedOn w:val="Normalny"/>
    <w:pPr>
      <w:widowControl/>
      <w:numPr>
        <w:numId w:val="1"/>
      </w:numPr>
      <w:spacing w:line="240" w:lineRule="auto"/>
    </w:pPr>
    <w:rPr>
      <w:rFonts w:ascii="Times New Roman" w:hAnsi="Times New Roman"/>
      <w:sz w:val="22"/>
      <w:lang w:val="en-GB" w:eastAsia="en-US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lang w:val="en-US" w:eastAsia="en-US" w:bidi="ar-SA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rsid w:val="00D07B48"/>
    <w:pPr>
      <w:widowControl/>
      <w:spacing w:line="360" w:lineRule="auto"/>
      <w:jc w:val="both"/>
    </w:pPr>
    <w:rPr>
      <w:rFonts w:ascii="Arial" w:eastAsia="MS Mincho" w:hAnsi="Arial" w:cs="Arial"/>
      <w:snapToGrid w:val="0"/>
      <w:sz w:val="20"/>
      <w:lang w:val="de-CH" w:eastAsia="ja-JP"/>
    </w:rPr>
  </w:style>
  <w:style w:type="paragraph" w:customStyle="1" w:styleId="3SectionHead">
    <w:name w:val="(3) Section Head"/>
    <w:basedOn w:val="Normalny"/>
    <w:next w:val="Normalny"/>
    <w:autoRedefine/>
    <w:qFormat/>
    <w:rsid w:val="0054721A"/>
    <w:pPr>
      <w:spacing w:line="380" w:lineRule="atLeast"/>
    </w:pPr>
    <w:rPr>
      <w:rFonts w:eastAsia="MS Mincho" w:cs="Arial"/>
      <w:b/>
      <w:snapToGrid w:val="0"/>
      <w:sz w:val="22"/>
      <w:szCs w:val="22"/>
      <w:lang w:eastAsia="ja-JP"/>
    </w:rPr>
  </w:style>
  <w:style w:type="paragraph" w:customStyle="1" w:styleId="6Footnote">
    <w:name w:val="(6) Footnote"/>
    <w:basedOn w:val="Normalny"/>
    <w:autoRedefine/>
    <w:qFormat/>
    <w:rsid w:val="004131BC"/>
    <w:pPr>
      <w:spacing w:line="380" w:lineRule="atLeast"/>
    </w:pPr>
    <w:rPr>
      <w:noProof/>
      <w:sz w:val="18"/>
      <w:szCs w:val="18"/>
      <w:lang w:val="en-GB"/>
    </w:rPr>
  </w:style>
  <w:style w:type="character" w:customStyle="1" w:styleId="TekstpodstawowyZnak">
    <w:name w:val="Tekst podstawowy Znak"/>
    <w:link w:val="Tekstpodstawowy"/>
    <w:rsid w:val="0054721A"/>
    <w:rPr>
      <w:rFonts w:ascii="Arial" w:eastAsia="MS Mincho" w:hAnsi="Arial" w:cs="Arial"/>
      <w:snapToGrid w:val="0"/>
      <w:lang w:eastAsia="ja-JP"/>
    </w:rPr>
  </w:style>
  <w:style w:type="paragraph" w:customStyle="1" w:styleId="4Body">
    <w:name w:val="(4) Body"/>
    <w:basedOn w:val="Normalny"/>
    <w:link w:val="4BodyChar"/>
    <w:autoRedefine/>
    <w:qFormat/>
    <w:rsid w:val="007E68DC"/>
    <w:pPr>
      <w:spacing w:after="380" w:line="380" w:lineRule="atLeast"/>
    </w:pPr>
    <w:rPr>
      <w:rFonts w:cs="Arial"/>
      <w:color w:val="000000"/>
      <w:sz w:val="22"/>
      <w:szCs w:val="22"/>
    </w:rPr>
  </w:style>
  <w:style w:type="character" w:customStyle="1" w:styleId="4BodyChar">
    <w:name w:val="(4) Body Char"/>
    <w:link w:val="4Body"/>
    <w:rsid w:val="007E68DC"/>
    <w:rPr>
      <w:rFonts w:ascii="Minion" w:hAnsi="Minion" w:cs="Arial"/>
      <w:color w:val="000000"/>
      <w:sz w:val="22"/>
      <w:szCs w:val="22"/>
      <w:lang w:eastAsia="ru-RU"/>
    </w:rPr>
  </w:style>
  <w:style w:type="paragraph" w:styleId="NormalnyWeb">
    <w:name w:val="Normal (Web)"/>
    <w:basedOn w:val="Normalny"/>
    <w:uiPriority w:val="99"/>
    <w:rsid w:val="007E68DC"/>
    <w:pPr>
      <w:widowControl/>
      <w:spacing w:before="240" w:after="240" w:line="240" w:lineRule="auto"/>
    </w:pPr>
    <w:rPr>
      <w:rFonts w:ascii="Times New Roman" w:hAnsi="Times New Roman"/>
      <w:snapToGrid w:val="0"/>
      <w:szCs w:val="24"/>
      <w:lang w:eastAsia="en-US"/>
    </w:rPr>
  </w:style>
  <w:style w:type="character" w:customStyle="1" w:styleId="apple-converted-space">
    <w:name w:val="apple-converted-space"/>
    <w:rsid w:val="00B823B7"/>
  </w:style>
  <w:style w:type="paragraph" w:customStyle="1" w:styleId="93Disclaimer">
    <w:name w:val="(93) Disclaimer"/>
    <w:basedOn w:val="Normalny"/>
    <w:next w:val="Normalny"/>
    <w:link w:val="93DisclaimerZchn"/>
    <w:qFormat/>
    <w:rsid w:val="00DD6E0A"/>
    <w:pPr>
      <w:widowControl/>
      <w:autoSpaceDE w:val="0"/>
      <w:autoSpaceDN w:val="0"/>
      <w:adjustRightInd w:val="0"/>
      <w:spacing w:after="380" w:line="240" w:lineRule="auto"/>
    </w:pPr>
    <w:rPr>
      <w:rFonts w:eastAsia="SimSun" w:cs="Minion"/>
      <w:sz w:val="20"/>
      <w:szCs w:val="22"/>
      <w:lang w:eastAsia="en-US"/>
    </w:rPr>
  </w:style>
  <w:style w:type="character" w:customStyle="1" w:styleId="93DisclaimerZchn">
    <w:name w:val="(93) Disclaimer Zchn"/>
    <w:link w:val="93Disclaimer"/>
    <w:rsid w:val="00DD6E0A"/>
    <w:rPr>
      <w:rFonts w:ascii="Minion" w:eastAsia="SimSun" w:hAnsi="Minion" w:cs="Minion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ED5598"/>
    <w:pPr>
      <w:ind w:left="720"/>
      <w:contextualSpacing/>
    </w:pPr>
  </w:style>
  <w:style w:type="character" w:customStyle="1" w:styleId="contact-phone">
    <w:name w:val="contact-phone"/>
    <w:rsid w:val="00E9226F"/>
  </w:style>
  <w:style w:type="character" w:styleId="UyteHipercze">
    <w:name w:val="FollowedHyperlink"/>
    <w:basedOn w:val="Domylnaczcionkaakapitu"/>
    <w:rsid w:val="008C187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6440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40D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40D9"/>
    <w:rPr>
      <w:rFonts w:ascii="Minion" w:hAnsi="Minion"/>
      <w:lang w:val="en-US" w:eastAsia="ru-RU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4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40D9"/>
    <w:rPr>
      <w:rFonts w:ascii="Minion" w:hAnsi="Minion"/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o.iarc.fr/today/data/factsheets/cancers/20-Breast-fact-shee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szpejewska-cedro@ro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eastcancer.org/symptoms/diagnosis/trip_neg?wh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offline\office\templates\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DC62-80CB-488C-A8C7-B5FD7FC7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</Template>
  <TotalTime>3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20190829_MR_EC approval IMpassion130</vt:lpstr>
    </vt:vector>
  </TitlesOfParts>
  <Company>F. Hoffmann-La Roche, Ltd.</Company>
  <LinksUpToDate>false</LinksUpToDate>
  <CharactersWithSpaces>3608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mailto:media.relations@roche-global.com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Boiler plates RocheNet/www.roche.com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20190829_MR_EC approval IMpassion130</dc:title>
  <dc:creator>F.Hoffmann-La Roche Ltd</dc:creator>
  <cp:lastModifiedBy>Milena Świątkowska</cp:lastModifiedBy>
  <cp:revision>6</cp:revision>
  <cp:lastPrinted>2019-08-28T13:23:00Z</cp:lastPrinted>
  <dcterms:created xsi:type="dcterms:W3CDTF">2019-09-16T08:31:00Z</dcterms:created>
  <dcterms:modified xsi:type="dcterms:W3CDTF">2019-09-19T14:16:00Z</dcterms:modified>
</cp:coreProperties>
</file>