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C30EA" w14:textId="77777777" w:rsidR="001C7784" w:rsidRPr="00D027F1" w:rsidRDefault="00A904DB">
      <w:pPr>
        <w:pStyle w:val="Jump"/>
        <w:rPr>
          <w:rFonts w:ascii="Arial" w:hAnsi="Arial" w:cs="Arial"/>
        </w:rPr>
        <w:sectPr w:rsidR="001C7784" w:rsidRPr="00D027F1" w:rsidSect="00A904D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>
        <w:rPr>
          <w:rFonts w:ascii="Arial" w:hAnsi="Arial" w:cs="Arial"/>
          <w:bCs w:val="0"/>
          <w:noProof/>
          <w:lang w:val="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0F090" wp14:editId="10F98F8B">
                <wp:simplePos x="0" y="0"/>
                <wp:positionH relativeFrom="column">
                  <wp:posOffset>4493895</wp:posOffset>
                </wp:positionH>
                <wp:positionV relativeFrom="paragraph">
                  <wp:posOffset>-216185</wp:posOffset>
                </wp:positionV>
                <wp:extent cx="3184635" cy="295507"/>
                <wp:effectExtent l="0" t="0" r="1587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5" cy="295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96DAD" w14:textId="50AD3CF4" w:rsidR="005B33BC" w:rsidRPr="00D027F1" w:rsidRDefault="005B33BC" w:rsidP="00D027F1">
                            <w:pPr>
                              <w:pStyle w:val="Data"/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aps/>
                                <w:color w:val="A6A6A6" w:themeColor="background1" w:themeShade="A6"/>
                                <w:sz w:val="34"/>
                                <w:lang w:val="pl"/>
                              </w:rPr>
                              <w:t>KOMUNIKAT PRASOWY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B60F09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3.85pt;margin-top:-17pt;width:250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" filled="f" stroked="f">
                <v:textbox inset="0,0,0,0">
                  <w:txbxContent>
                    <w:p w14:paraId="1C796DAD" w14:textId="50AD3CF4" w:rsidR="005B33BC" w:rsidRPr="00D027F1" w:rsidRDefault="005B33BC" w:rsidP="00D027F1">
                      <w:pPr>
                        <w:pStyle w:val="Date"/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34"/>
                          <w:szCs w:val="34"/>
                        </w:rPr>
                        <w:bidi w:val="0"/>
                      </w:pPr>
                      <w:r>
                        <w:rPr>
                          <w:caps/>
                          <w:color w:val="A6A6A6" w:themeColor="background1" w:themeShade="A6"/>
                          <w:sz w:val="34"/>
                          <w:lang w:val="pl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KOMUNIKAT PRASOWY</w:t>
                      </w:r>
                    </w:p>
                  </w:txbxContent>
                </v:textbox>
              </v:shape>
            </w:pict>
          </mc:Fallback>
        </mc:AlternateContent>
      </w:r>
    </w:p>
    <w:p w14:paraId="646D2F50" w14:textId="21082E3D" w:rsidR="00A904DB" w:rsidRPr="00D027F1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14:paraId="4BBCF3A4" w14:textId="77777777" w:rsidR="00A904DB" w:rsidRPr="00D027F1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14:paraId="2ADBC3C7" w14:textId="77777777" w:rsidR="00A904DB" w:rsidRPr="00D027F1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14:paraId="4BF28408" w14:textId="77777777" w:rsidR="001C7784" w:rsidRPr="00D027F1" w:rsidRDefault="001C7784" w:rsidP="00D027F1">
      <w:pPr>
        <w:pStyle w:val="Data"/>
        <w:tabs>
          <w:tab w:val="left" w:pos="6237"/>
        </w:tabs>
        <w:jc w:val="both"/>
        <w:rPr>
          <w:rFonts w:cs="Arial"/>
        </w:rPr>
      </w:pPr>
    </w:p>
    <w:p w14:paraId="31BFFF79" w14:textId="77777777" w:rsidR="00401CB3" w:rsidRPr="00D027F1" w:rsidRDefault="00401CB3" w:rsidP="00D027F1"/>
    <w:p w14:paraId="2DB89342" w14:textId="08A361B9" w:rsidR="00520A48" w:rsidRPr="00D027F1" w:rsidRDefault="00FA2549" w:rsidP="00520A48">
      <w:pPr>
        <w:pStyle w:val="TableHeading"/>
        <w:suppressLineNumbers w:val="0"/>
        <w:rPr>
          <w:b w:val="0"/>
          <w:i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  <w:lang w:val="pl"/>
        </w:rPr>
        <w:t xml:space="preserve">Kontrakt wart ponad 335 mln euro </w:t>
      </w:r>
    </w:p>
    <w:p w14:paraId="1CF61DB3" w14:textId="77777777" w:rsidR="00520A48" w:rsidRPr="00D027F1" w:rsidRDefault="00520A48" w:rsidP="000210D2">
      <w:pPr>
        <w:pStyle w:val="TableHeading"/>
        <w:suppressLineNumbers w:val="0"/>
        <w:rPr>
          <w:sz w:val="32"/>
        </w:rPr>
      </w:pPr>
      <w:r>
        <w:rPr>
          <w:sz w:val="32"/>
          <w:lang w:val="pl"/>
        </w:rPr>
        <w:t xml:space="preserve">Alstom dostarczy SNCF 12 pociągów </w:t>
      </w:r>
      <w:proofErr w:type="spellStart"/>
      <w:r>
        <w:rPr>
          <w:sz w:val="32"/>
          <w:lang w:val="pl"/>
        </w:rPr>
        <w:t>Avelia</w:t>
      </w:r>
      <w:proofErr w:type="spellEnd"/>
      <w:r>
        <w:rPr>
          <w:sz w:val="32"/>
          <w:lang w:val="pl"/>
        </w:rPr>
        <w:t xml:space="preserve"> </w:t>
      </w:r>
      <w:proofErr w:type="spellStart"/>
      <w:r>
        <w:rPr>
          <w:sz w:val="32"/>
          <w:lang w:val="pl"/>
        </w:rPr>
        <w:t>Euroduplex</w:t>
      </w:r>
      <w:proofErr w:type="spellEnd"/>
    </w:p>
    <w:p w14:paraId="28DE23E3" w14:textId="5B292CD3" w:rsidR="00A07F64" w:rsidRPr="00D027F1" w:rsidRDefault="00475622" w:rsidP="00953761">
      <w:pPr>
        <w:pStyle w:val="TableHeading"/>
        <w:suppressLineNumbers w:val="0"/>
        <w:rPr>
          <w:sz w:val="32"/>
        </w:rPr>
      </w:pPr>
      <w:r>
        <w:rPr>
          <w:sz w:val="32"/>
          <w:lang w:val="pl"/>
        </w:rPr>
        <w:t xml:space="preserve">do obsługi linii TGV </w:t>
      </w:r>
      <w:proofErr w:type="spellStart"/>
      <w:r>
        <w:rPr>
          <w:sz w:val="32"/>
          <w:lang w:val="pl"/>
        </w:rPr>
        <w:t>Atlantique</w:t>
      </w:r>
      <w:proofErr w:type="spellEnd"/>
    </w:p>
    <w:p w14:paraId="6D13765B" w14:textId="77777777" w:rsidR="001A795E" w:rsidRPr="00D027F1" w:rsidRDefault="001A795E" w:rsidP="001A795E"/>
    <w:p w14:paraId="1EB0786C" w14:textId="1E673770" w:rsidR="00FA2549" w:rsidRPr="00D027F1" w:rsidRDefault="00B91308" w:rsidP="00FA2549">
      <w:pPr>
        <w:pStyle w:val="Tekstpodstawowy"/>
        <w:rPr>
          <w:i w:val="0"/>
          <w:sz w:val="24"/>
        </w:rPr>
      </w:pPr>
      <w:r>
        <w:rPr>
          <w:b/>
          <w:bCs/>
          <w:i w:val="0"/>
          <w:iCs w:val="0"/>
          <w:lang w:val="pl"/>
        </w:rPr>
        <w:t xml:space="preserve">1 </w:t>
      </w:r>
      <w:r w:rsidR="00E30600">
        <w:rPr>
          <w:b/>
          <w:bCs/>
          <w:i w:val="0"/>
          <w:iCs w:val="0"/>
          <w:lang w:val="pl"/>
        </w:rPr>
        <w:t>sierpnia</w:t>
      </w:r>
      <w:r>
        <w:rPr>
          <w:b/>
          <w:bCs/>
          <w:i w:val="0"/>
          <w:iCs w:val="0"/>
          <w:lang w:val="pl"/>
        </w:rPr>
        <w:t xml:space="preserve"> 2019 r. – </w:t>
      </w:r>
      <w:r>
        <w:rPr>
          <w:i w:val="0"/>
          <w:iCs w:val="0"/>
          <w:sz w:val="24"/>
          <w:lang w:val="pl"/>
        </w:rPr>
        <w:t xml:space="preserve">Alstom dostarczy operatorowi SNCF </w:t>
      </w:r>
      <w:proofErr w:type="spellStart"/>
      <w:r>
        <w:rPr>
          <w:i w:val="0"/>
          <w:iCs w:val="0"/>
          <w:sz w:val="24"/>
          <w:lang w:val="pl"/>
        </w:rPr>
        <w:t>Mobilités</w:t>
      </w:r>
      <w:proofErr w:type="spellEnd"/>
      <w:r>
        <w:rPr>
          <w:i w:val="0"/>
          <w:iCs w:val="0"/>
          <w:sz w:val="24"/>
          <w:lang w:val="pl"/>
        </w:rPr>
        <w:t xml:space="preserve"> 12 pociągów </w:t>
      </w:r>
      <w:proofErr w:type="spellStart"/>
      <w:r>
        <w:rPr>
          <w:i w:val="0"/>
          <w:iCs w:val="0"/>
          <w:sz w:val="24"/>
          <w:lang w:val="pl"/>
        </w:rPr>
        <w:t>Avelia</w:t>
      </w:r>
      <w:proofErr w:type="spellEnd"/>
      <w:r>
        <w:rPr>
          <w:i w:val="0"/>
          <w:iCs w:val="0"/>
          <w:sz w:val="24"/>
          <w:lang w:val="pl"/>
        </w:rPr>
        <w:t xml:space="preserve"> </w:t>
      </w:r>
      <w:proofErr w:type="spellStart"/>
      <w:r>
        <w:rPr>
          <w:i w:val="0"/>
          <w:iCs w:val="0"/>
          <w:sz w:val="24"/>
          <w:lang w:val="pl"/>
        </w:rPr>
        <w:t>Euroduplex</w:t>
      </w:r>
      <w:proofErr w:type="spellEnd"/>
      <w:r>
        <w:rPr>
          <w:i w:val="0"/>
          <w:iCs w:val="0"/>
          <w:sz w:val="24"/>
          <w:lang w:val="pl"/>
        </w:rPr>
        <w:t xml:space="preserve"> o łącznej wartości 335 mln euro. To zamówienie stanowi uzupełnienie poprzedniego, obecnie realizowanego kontraktu na dostawę 55 pociągów. 12 nowych pociągów rozpocznie obsługę pasażerską w 2021 i 2022 roku. Zastąpią one starsze pociągi, niektóre liczące nawet ponad 30 lat.</w:t>
      </w:r>
    </w:p>
    <w:p w14:paraId="73088858" w14:textId="77777777" w:rsidR="00FA2549" w:rsidRPr="00D027F1" w:rsidRDefault="00FA2549" w:rsidP="00FA2549">
      <w:pPr>
        <w:pStyle w:val="Tekstpodstawowy"/>
        <w:rPr>
          <w:i w:val="0"/>
          <w:sz w:val="24"/>
        </w:rPr>
      </w:pPr>
    </w:p>
    <w:p w14:paraId="29639241" w14:textId="2CE4353C" w:rsidR="00FA2549" w:rsidRPr="00D027F1" w:rsidRDefault="00FA2549" w:rsidP="00FA2549">
      <w:pPr>
        <w:pStyle w:val="Tekstpodstawowy"/>
        <w:rPr>
          <w:i w:val="0"/>
          <w:sz w:val="24"/>
        </w:rPr>
      </w:pPr>
      <w:r>
        <w:rPr>
          <w:i w:val="0"/>
          <w:iCs w:val="0"/>
          <w:sz w:val="24"/>
          <w:lang w:val="pl"/>
        </w:rPr>
        <w:t>Pierwszy kontrakt z SNCF na dostawę 40 pociągów został podpisany we wrześniu 2013 r.</w:t>
      </w:r>
      <w:r>
        <w:rPr>
          <w:rStyle w:val="Odwoanieprzypisudolnego"/>
          <w:i w:val="0"/>
          <w:iCs w:val="0"/>
          <w:sz w:val="24"/>
          <w:lang w:val="pl"/>
        </w:rPr>
        <w:footnoteReference w:id="1"/>
      </w:r>
      <w:r>
        <w:rPr>
          <w:i w:val="0"/>
          <w:iCs w:val="0"/>
          <w:sz w:val="24"/>
          <w:lang w:val="pl"/>
        </w:rPr>
        <w:t>, a w 2015 r. zrealizowano dostawę kolejnych 15 pociągów. Do dziś oddano do użytku 41 pociągów, z których pierwsze rozpoczęły obsługę pasażerską 11 grudnia 2016 r. na</w:t>
      </w:r>
      <w:r w:rsidR="00FE4080">
        <w:rPr>
          <w:i w:val="0"/>
          <w:iCs w:val="0"/>
          <w:sz w:val="24"/>
          <w:lang w:val="pl"/>
        </w:rPr>
        <w:t> </w:t>
      </w:r>
      <w:r>
        <w:rPr>
          <w:i w:val="0"/>
          <w:iCs w:val="0"/>
          <w:sz w:val="24"/>
          <w:lang w:val="pl"/>
        </w:rPr>
        <w:t>linii Paryż</w:t>
      </w:r>
      <w:r w:rsidR="00786B1F">
        <w:rPr>
          <w:i w:val="0"/>
          <w:iCs w:val="0"/>
          <w:sz w:val="24"/>
          <w:lang w:val="pl"/>
        </w:rPr>
        <w:t xml:space="preserve"> </w:t>
      </w:r>
      <w:r>
        <w:rPr>
          <w:i w:val="0"/>
          <w:iCs w:val="0"/>
          <w:sz w:val="24"/>
          <w:lang w:val="pl"/>
        </w:rPr>
        <w:t>–</w:t>
      </w:r>
      <w:r w:rsidR="00786B1F">
        <w:rPr>
          <w:i w:val="0"/>
          <w:iCs w:val="0"/>
          <w:sz w:val="24"/>
          <w:lang w:val="pl"/>
        </w:rPr>
        <w:t xml:space="preserve"> </w:t>
      </w:r>
      <w:r>
        <w:rPr>
          <w:i w:val="0"/>
          <w:iCs w:val="0"/>
          <w:sz w:val="24"/>
          <w:lang w:val="pl"/>
        </w:rPr>
        <w:t>Bordeaux.</w:t>
      </w:r>
    </w:p>
    <w:p w14:paraId="6BEE8BDF" w14:textId="77777777" w:rsidR="00FA2549" w:rsidRPr="00D027F1" w:rsidRDefault="00FA2549" w:rsidP="00FA2549">
      <w:pPr>
        <w:pStyle w:val="Tekstpodstawowy"/>
        <w:rPr>
          <w:i w:val="0"/>
          <w:sz w:val="24"/>
        </w:rPr>
      </w:pPr>
    </w:p>
    <w:p w14:paraId="3978D60F" w14:textId="1813569D" w:rsidR="00FA2549" w:rsidRPr="00D027F1" w:rsidRDefault="00DE7620" w:rsidP="00FA2549">
      <w:pPr>
        <w:pStyle w:val="Tekstpodstawowy"/>
        <w:rPr>
          <w:i w:val="0"/>
          <w:sz w:val="24"/>
        </w:rPr>
      </w:pPr>
      <w:r>
        <w:rPr>
          <w:sz w:val="24"/>
          <w:lang w:val="pl"/>
        </w:rPr>
        <w:t>„Bardzo się cieszę, że SNCF ponownie obdarzyło nas zaufaniem. Otrzymaliśmy bardzo pozytywne opinie pasażerów, którzy regularnie podróżują tymi pociągami bardzo dużych prędkości.</w:t>
      </w:r>
      <w:r>
        <w:rPr>
          <w:lang w:val="pl"/>
        </w:rPr>
        <w:t xml:space="preserve"> </w:t>
      </w:r>
      <w:r>
        <w:rPr>
          <w:sz w:val="24"/>
          <w:lang w:val="pl"/>
        </w:rPr>
        <w:t>To zamówienie to wspaniała wiadomość dla zakładów, w których produkowane są pociągi. Co najważniejsze, oznacza ono, że zakłady w La Rochelle i</w:t>
      </w:r>
      <w:r w:rsidR="00FE4080">
        <w:rPr>
          <w:sz w:val="24"/>
          <w:lang w:val="pl"/>
        </w:rPr>
        <w:t> </w:t>
      </w:r>
      <w:proofErr w:type="spellStart"/>
      <w:r>
        <w:rPr>
          <w:sz w:val="24"/>
          <w:lang w:val="pl"/>
        </w:rPr>
        <w:t>Belfort</w:t>
      </w:r>
      <w:proofErr w:type="spellEnd"/>
      <w:r>
        <w:rPr>
          <w:sz w:val="24"/>
          <w:lang w:val="pl"/>
        </w:rPr>
        <w:t xml:space="preserve"> już teraz, czyli jeszcze przed oddaniem do użytku pociągów nowej generacji zamówionych w 2018 r., mają zapewnione nakłady pracy na 2020 i 2021 r. Produkcja pociągów </w:t>
      </w:r>
      <w:proofErr w:type="spellStart"/>
      <w:r>
        <w:rPr>
          <w:sz w:val="24"/>
          <w:lang w:val="pl"/>
        </w:rPr>
        <w:t>Avelia</w:t>
      </w:r>
      <w:proofErr w:type="spellEnd"/>
      <w:r>
        <w:rPr>
          <w:sz w:val="24"/>
          <w:lang w:val="pl"/>
        </w:rPr>
        <w:t xml:space="preserve"> </w:t>
      </w:r>
      <w:proofErr w:type="spellStart"/>
      <w:r>
        <w:rPr>
          <w:sz w:val="24"/>
          <w:lang w:val="pl"/>
        </w:rPr>
        <w:t>Euroduplex</w:t>
      </w:r>
      <w:proofErr w:type="spellEnd"/>
      <w:r>
        <w:rPr>
          <w:sz w:val="24"/>
          <w:lang w:val="pl"/>
        </w:rPr>
        <w:t xml:space="preserve"> zagwarantuje ponad 400 miejsc pracy w La Rochelle i 120 w </w:t>
      </w:r>
      <w:proofErr w:type="spellStart"/>
      <w:r>
        <w:rPr>
          <w:sz w:val="24"/>
          <w:lang w:val="pl"/>
        </w:rPr>
        <w:t>Belfort</w:t>
      </w:r>
      <w:proofErr w:type="spellEnd"/>
      <w:r>
        <w:rPr>
          <w:sz w:val="24"/>
          <w:lang w:val="pl"/>
        </w:rPr>
        <w:t xml:space="preserve">” </w:t>
      </w:r>
      <w:r>
        <w:rPr>
          <w:i w:val="0"/>
          <w:iCs w:val="0"/>
          <w:sz w:val="24"/>
          <w:lang w:val="pl"/>
        </w:rPr>
        <w:t xml:space="preserve">– powiedział Jean-Baptiste </w:t>
      </w:r>
      <w:proofErr w:type="spellStart"/>
      <w:r>
        <w:rPr>
          <w:i w:val="0"/>
          <w:iCs w:val="0"/>
          <w:sz w:val="24"/>
          <w:lang w:val="pl"/>
        </w:rPr>
        <w:t>Eyméoud</w:t>
      </w:r>
      <w:proofErr w:type="spellEnd"/>
      <w:r>
        <w:rPr>
          <w:i w:val="0"/>
          <w:iCs w:val="0"/>
          <w:sz w:val="24"/>
          <w:lang w:val="pl"/>
        </w:rPr>
        <w:t>, Starszy Wiceprezes Alstomu we Francji.</w:t>
      </w:r>
    </w:p>
    <w:p w14:paraId="6BB8D497" w14:textId="77777777" w:rsidR="00FA2549" w:rsidRPr="00D027F1" w:rsidRDefault="00FA2549" w:rsidP="00FA2549">
      <w:pPr>
        <w:pStyle w:val="Tekstpodstawowy"/>
        <w:rPr>
          <w:i w:val="0"/>
          <w:sz w:val="24"/>
        </w:rPr>
      </w:pPr>
    </w:p>
    <w:p w14:paraId="2CC08836" w14:textId="1B9D5594" w:rsidR="00FA2549" w:rsidRPr="00D027F1" w:rsidRDefault="00137F61" w:rsidP="00FA2549">
      <w:pPr>
        <w:pStyle w:val="Tekstpodstawowy"/>
        <w:rPr>
          <w:i w:val="0"/>
          <w:sz w:val="24"/>
        </w:rPr>
      </w:pPr>
      <w:r>
        <w:rPr>
          <w:i w:val="0"/>
          <w:iCs w:val="0"/>
          <w:sz w:val="24"/>
          <w:lang w:val="pl"/>
        </w:rPr>
        <w:t xml:space="preserve">Pociągi </w:t>
      </w:r>
      <w:proofErr w:type="spellStart"/>
      <w:r>
        <w:rPr>
          <w:i w:val="0"/>
          <w:iCs w:val="0"/>
          <w:sz w:val="24"/>
          <w:lang w:val="pl"/>
        </w:rPr>
        <w:t>Avelia</w:t>
      </w:r>
      <w:proofErr w:type="spellEnd"/>
      <w:r>
        <w:rPr>
          <w:i w:val="0"/>
          <w:iCs w:val="0"/>
          <w:sz w:val="24"/>
          <w:lang w:val="pl"/>
        </w:rPr>
        <w:t xml:space="preserve"> </w:t>
      </w:r>
      <w:proofErr w:type="spellStart"/>
      <w:r>
        <w:rPr>
          <w:i w:val="0"/>
          <w:iCs w:val="0"/>
          <w:sz w:val="24"/>
          <w:lang w:val="pl"/>
        </w:rPr>
        <w:t>Euroduplex</w:t>
      </w:r>
      <w:proofErr w:type="spellEnd"/>
      <w:r>
        <w:rPr>
          <w:i w:val="0"/>
          <w:iCs w:val="0"/>
          <w:sz w:val="24"/>
          <w:lang w:val="pl"/>
        </w:rPr>
        <w:t xml:space="preserve"> charakteryzują się większą pojemnością, oferując 556 miejsc siedzących (w poprzednich generacjach dostępnych było 509 miejsc). Przy</w:t>
      </w:r>
      <w:r w:rsidR="00AC6355">
        <w:rPr>
          <w:i w:val="0"/>
          <w:iCs w:val="0"/>
          <w:sz w:val="24"/>
          <w:lang w:val="pl"/>
        </w:rPr>
        <w:t> </w:t>
      </w:r>
      <w:r>
        <w:rPr>
          <w:i w:val="0"/>
          <w:iCs w:val="0"/>
          <w:sz w:val="24"/>
          <w:lang w:val="pl"/>
        </w:rPr>
        <w:t>projektowaniu tego pociągu Alstom skupił się na potrzebach pasażerów, oferując im nowe, wygodniejsze i bardziej ergonomiczne fotele w wysokim standardzie wyposażenia (gniazdka elektryczne, wejścia USB, lampy do czytania itp.). Alstom</w:t>
      </w:r>
      <w:r w:rsidR="0080735F">
        <w:rPr>
          <w:i w:val="0"/>
          <w:iCs w:val="0"/>
          <w:sz w:val="24"/>
          <w:lang w:val="pl"/>
        </w:rPr>
        <w:t> </w:t>
      </w:r>
      <w:r>
        <w:rPr>
          <w:i w:val="0"/>
          <w:iCs w:val="0"/>
          <w:sz w:val="24"/>
          <w:lang w:val="pl"/>
        </w:rPr>
        <w:t xml:space="preserve">opracował także innowacyjny system umożliwiający obrót foteli w pierwszej klasie o 180 stopni, tak aby pasażerowie zawsze byli skierowani w kierunku jazdy. Szczególną cechą tych dodatkowych pociągów jest fakt, że zostały one domyślnie skonfigurowane </w:t>
      </w:r>
      <w:r w:rsidR="00B12743">
        <w:rPr>
          <w:i w:val="0"/>
          <w:iCs w:val="0"/>
          <w:sz w:val="24"/>
          <w:lang w:val="pl"/>
        </w:rPr>
        <w:t>w</w:t>
      </w:r>
      <w:r>
        <w:rPr>
          <w:i w:val="0"/>
          <w:iCs w:val="0"/>
          <w:sz w:val="24"/>
          <w:lang w:val="pl"/>
        </w:rPr>
        <w:t xml:space="preserve"> taki sposób, aby można było wyposażyć je w nowej generacji system automatycznej kontroli prędkości spełniający najnowsze normy europejskie (ERTMS). Dzięki zwiększonej zdolności przewozowej i systemowi ułatwiającemu lokalizację drzwi, a także nowym uchwytom </w:t>
      </w:r>
      <w:r w:rsidR="000675DC">
        <w:rPr>
          <w:i w:val="0"/>
          <w:iCs w:val="0"/>
          <w:sz w:val="24"/>
          <w:lang w:val="pl"/>
        </w:rPr>
        <w:t>toaletowym</w:t>
      </w:r>
      <w:r>
        <w:rPr>
          <w:i w:val="0"/>
          <w:iCs w:val="0"/>
          <w:sz w:val="24"/>
          <w:lang w:val="pl"/>
        </w:rPr>
        <w:t xml:space="preserve"> i sygnalizacji dotykowej pociąg oferuje większą dostępność dla pasażerów o ograniczonej możliwości poruszania się</w:t>
      </w:r>
      <w:r w:rsidR="003103FC">
        <w:rPr>
          <w:i w:val="0"/>
          <w:iCs w:val="0"/>
          <w:sz w:val="24"/>
          <w:lang w:val="pl"/>
        </w:rPr>
        <w:t>.</w:t>
      </w:r>
      <w:r>
        <w:rPr>
          <w:i w:val="0"/>
          <w:iCs w:val="0"/>
          <w:sz w:val="24"/>
          <w:lang w:val="pl"/>
        </w:rPr>
        <w:t xml:space="preserve"> Został on też skonfigurowany w</w:t>
      </w:r>
      <w:r w:rsidR="00E67B25">
        <w:rPr>
          <w:i w:val="0"/>
          <w:iCs w:val="0"/>
          <w:sz w:val="24"/>
          <w:lang w:val="pl"/>
        </w:rPr>
        <w:t> </w:t>
      </w:r>
      <w:r>
        <w:rPr>
          <w:i w:val="0"/>
          <w:iCs w:val="0"/>
          <w:sz w:val="24"/>
          <w:lang w:val="pl"/>
        </w:rPr>
        <w:t>taki sposób, aby umożliwiać operatorom udostępnianie sieci Wi-Fi na pokładzie.</w:t>
      </w:r>
    </w:p>
    <w:p w14:paraId="7136540F" w14:textId="77777777" w:rsidR="00FA2549" w:rsidRPr="00D027F1" w:rsidRDefault="00FA2549" w:rsidP="00FA2549">
      <w:pPr>
        <w:pStyle w:val="Tekstpodstawowy"/>
        <w:rPr>
          <w:i w:val="0"/>
          <w:sz w:val="24"/>
        </w:rPr>
      </w:pPr>
    </w:p>
    <w:p w14:paraId="5D0962C2" w14:textId="26C008BB" w:rsidR="006B51DC" w:rsidRPr="00D027F1" w:rsidRDefault="00FA2549" w:rsidP="00FA2549">
      <w:pPr>
        <w:pStyle w:val="Tekstpodstawowy"/>
        <w:rPr>
          <w:i w:val="0"/>
          <w:sz w:val="24"/>
        </w:rPr>
      </w:pPr>
      <w:proofErr w:type="spellStart"/>
      <w:r>
        <w:rPr>
          <w:i w:val="0"/>
          <w:iCs w:val="0"/>
          <w:sz w:val="24"/>
          <w:lang w:val="pl"/>
        </w:rPr>
        <w:lastRenderedPageBreak/>
        <w:t>Euroduplex</w:t>
      </w:r>
      <w:proofErr w:type="spellEnd"/>
      <w:r>
        <w:rPr>
          <w:i w:val="0"/>
          <w:iCs w:val="0"/>
          <w:sz w:val="24"/>
          <w:lang w:val="pl"/>
        </w:rPr>
        <w:t xml:space="preserve"> należy do rodziny </w:t>
      </w:r>
      <w:proofErr w:type="spellStart"/>
      <w:r>
        <w:rPr>
          <w:i w:val="0"/>
          <w:iCs w:val="0"/>
          <w:sz w:val="24"/>
          <w:lang w:val="pl"/>
        </w:rPr>
        <w:t>Avelia</w:t>
      </w:r>
      <w:proofErr w:type="spellEnd"/>
      <w:r>
        <w:rPr>
          <w:i w:val="0"/>
          <w:iCs w:val="0"/>
          <w:sz w:val="24"/>
          <w:lang w:val="pl"/>
        </w:rPr>
        <w:t xml:space="preserve"> – pociągów dużych prędkości Alstomu. Osiem z 13 zakładów Alstomu we Francji uczestniczy w projektowaniu i produkcji tych pociągów: La</w:t>
      </w:r>
      <w:r w:rsidR="00E67B25">
        <w:rPr>
          <w:i w:val="0"/>
          <w:iCs w:val="0"/>
          <w:sz w:val="24"/>
          <w:lang w:val="pl"/>
        </w:rPr>
        <w:t> </w:t>
      </w:r>
      <w:r>
        <w:rPr>
          <w:i w:val="0"/>
          <w:iCs w:val="0"/>
          <w:sz w:val="24"/>
          <w:lang w:val="pl"/>
        </w:rPr>
        <w:t xml:space="preserve">Rochelle odpowiada za projekt i montaż, </w:t>
      </w:r>
      <w:proofErr w:type="spellStart"/>
      <w:r>
        <w:rPr>
          <w:i w:val="0"/>
          <w:iCs w:val="0"/>
          <w:sz w:val="24"/>
          <w:lang w:val="pl"/>
        </w:rPr>
        <w:t>Belfort</w:t>
      </w:r>
      <w:proofErr w:type="spellEnd"/>
      <w:r>
        <w:rPr>
          <w:i w:val="0"/>
          <w:iCs w:val="0"/>
          <w:sz w:val="24"/>
          <w:lang w:val="pl"/>
        </w:rPr>
        <w:t xml:space="preserve"> za głowice napędowe, </w:t>
      </w:r>
      <w:proofErr w:type="spellStart"/>
      <w:r>
        <w:rPr>
          <w:i w:val="0"/>
          <w:iCs w:val="0"/>
          <w:sz w:val="24"/>
          <w:lang w:val="pl"/>
        </w:rPr>
        <w:t>Ornans</w:t>
      </w:r>
      <w:proofErr w:type="spellEnd"/>
      <w:r>
        <w:rPr>
          <w:i w:val="0"/>
          <w:iCs w:val="0"/>
          <w:sz w:val="24"/>
          <w:lang w:val="pl"/>
        </w:rPr>
        <w:t xml:space="preserve"> za silniki, Le </w:t>
      </w:r>
      <w:proofErr w:type="spellStart"/>
      <w:r>
        <w:rPr>
          <w:i w:val="0"/>
          <w:iCs w:val="0"/>
          <w:sz w:val="24"/>
          <w:lang w:val="pl"/>
        </w:rPr>
        <w:t>Creusot</w:t>
      </w:r>
      <w:proofErr w:type="spellEnd"/>
      <w:r>
        <w:rPr>
          <w:i w:val="0"/>
          <w:iCs w:val="0"/>
          <w:sz w:val="24"/>
          <w:lang w:val="pl"/>
        </w:rPr>
        <w:t xml:space="preserve"> za wózki, </w:t>
      </w:r>
      <w:proofErr w:type="spellStart"/>
      <w:r>
        <w:rPr>
          <w:i w:val="0"/>
          <w:iCs w:val="0"/>
          <w:sz w:val="24"/>
          <w:lang w:val="pl"/>
        </w:rPr>
        <w:t>Tarbes</w:t>
      </w:r>
      <w:proofErr w:type="spellEnd"/>
      <w:r>
        <w:rPr>
          <w:i w:val="0"/>
          <w:iCs w:val="0"/>
          <w:sz w:val="24"/>
          <w:lang w:val="pl"/>
        </w:rPr>
        <w:t xml:space="preserve"> za łańcuchy trakcyjne, </w:t>
      </w:r>
      <w:proofErr w:type="spellStart"/>
      <w:r>
        <w:rPr>
          <w:i w:val="0"/>
          <w:iCs w:val="0"/>
          <w:sz w:val="24"/>
          <w:lang w:val="pl"/>
        </w:rPr>
        <w:t>Villeurbanne</w:t>
      </w:r>
      <w:proofErr w:type="spellEnd"/>
      <w:r>
        <w:rPr>
          <w:i w:val="0"/>
          <w:iCs w:val="0"/>
          <w:sz w:val="24"/>
          <w:lang w:val="pl"/>
        </w:rPr>
        <w:t xml:space="preserve"> za pokładowe systemy informatyczne, Petit-</w:t>
      </w:r>
      <w:proofErr w:type="spellStart"/>
      <w:r>
        <w:rPr>
          <w:i w:val="0"/>
          <w:iCs w:val="0"/>
          <w:sz w:val="24"/>
          <w:lang w:val="pl"/>
        </w:rPr>
        <w:t>Quevilly</w:t>
      </w:r>
      <w:proofErr w:type="spellEnd"/>
      <w:r>
        <w:rPr>
          <w:i w:val="0"/>
          <w:iCs w:val="0"/>
          <w:sz w:val="24"/>
          <w:lang w:val="pl"/>
        </w:rPr>
        <w:t xml:space="preserve"> za transformery trakcyjne i Saint-</w:t>
      </w:r>
      <w:proofErr w:type="spellStart"/>
      <w:r>
        <w:rPr>
          <w:i w:val="0"/>
          <w:iCs w:val="0"/>
          <w:sz w:val="24"/>
          <w:lang w:val="pl"/>
        </w:rPr>
        <w:t>Ouen</w:t>
      </w:r>
      <w:proofErr w:type="spellEnd"/>
      <w:r>
        <w:rPr>
          <w:i w:val="0"/>
          <w:iCs w:val="0"/>
          <w:sz w:val="24"/>
          <w:lang w:val="pl"/>
        </w:rPr>
        <w:t xml:space="preserve"> za projekt</w:t>
      </w:r>
      <w:r>
        <w:rPr>
          <w:lang w:val="pl"/>
        </w:rPr>
        <w:t>.</w:t>
      </w:r>
    </w:p>
    <w:p w14:paraId="4C1E9407" w14:textId="77777777" w:rsidR="00520A48" w:rsidRPr="00D027F1" w:rsidRDefault="00520A48" w:rsidP="00520A48">
      <w:pPr>
        <w:jc w:val="left"/>
        <w:rPr>
          <w:rFonts w:eastAsia="SimSun"/>
          <w:b/>
          <w:bCs/>
          <w:sz w:val="22"/>
          <w:szCs w:val="22"/>
        </w:rPr>
      </w:pPr>
    </w:p>
    <w:p w14:paraId="49E12714" w14:textId="77777777" w:rsidR="003F41F6" w:rsidRDefault="003F41F6" w:rsidP="003F41F6">
      <w:pPr>
        <w:rPr>
          <w:rFonts w:eastAsia="SimSun"/>
          <w:b/>
          <w:bCs/>
          <w:sz w:val="22"/>
          <w:szCs w:val="22"/>
        </w:rPr>
      </w:pPr>
    </w:p>
    <w:p w14:paraId="097CE7E1" w14:textId="77777777" w:rsidR="00127CDF" w:rsidRPr="00C676C9" w:rsidRDefault="00127CDF" w:rsidP="00127CDF">
      <w:pPr>
        <w:spacing w:line="276" w:lineRule="auto"/>
        <w:rPr>
          <w:rFonts w:asciiTheme="minorHAnsi" w:hAnsiTheme="minorHAnsi" w:cstheme="minorHAnsi"/>
          <w:b/>
          <w:color w:val="000000"/>
          <w:sz w:val="20"/>
          <w:lang w:val="pl-PL"/>
        </w:rPr>
      </w:pPr>
      <w:r w:rsidRPr="00C676C9">
        <w:rPr>
          <w:rFonts w:asciiTheme="minorHAnsi" w:hAnsiTheme="minorHAnsi" w:cstheme="minorHAnsi"/>
          <w:b/>
          <w:bCs/>
          <w:sz w:val="20"/>
          <w:lang w:val="pl-PL"/>
        </w:rPr>
        <w:t xml:space="preserve">Alstom </w:t>
      </w:r>
    </w:p>
    <w:p w14:paraId="17D85B76" w14:textId="3211BE44" w:rsidR="00127CDF" w:rsidRPr="00C676C9" w:rsidRDefault="00127CDF" w:rsidP="00127CDF">
      <w:pPr>
        <w:spacing w:line="276" w:lineRule="auto"/>
        <w:rPr>
          <w:rFonts w:asciiTheme="minorHAnsi" w:hAnsiTheme="minorHAnsi" w:cstheme="minorHAnsi"/>
          <w:iCs/>
          <w:sz w:val="20"/>
          <w:lang w:val="pl-PL"/>
        </w:rPr>
      </w:pPr>
      <w:r w:rsidRPr="00C676C9">
        <w:rPr>
          <w:rFonts w:asciiTheme="minorHAnsi" w:hAnsiTheme="minorHAnsi" w:cstheme="minorHAnsi"/>
          <w:iCs/>
          <w:sz w:val="20"/>
          <w:lang w:val="pl-PL"/>
        </w:rPr>
        <w:t>Jako promotor zrównoważonej mobilności Alstom opracowuje i wprowadza na rynek systemy, sprzęt i</w:t>
      </w:r>
      <w:r w:rsidR="008F6098">
        <w:rPr>
          <w:rFonts w:asciiTheme="minorHAnsi" w:hAnsiTheme="minorHAnsi" w:cstheme="minorHAnsi"/>
          <w:iCs/>
          <w:sz w:val="20"/>
          <w:lang w:val="pl-PL"/>
        </w:rPr>
        <w:t> </w:t>
      </w:r>
      <w:r w:rsidRPr="00C676C9">
        <w:rPr>
          <w:rFonts w:asciiTheme="minorHAnsi" w:hAnsiTheme="minorHAnsi" w:cstheme="minorHAnsi"/>
          <w:iCs/>
          <w:sz w:val="20"/>
          <w:lang w:val="pl-PL"/>
        </w:rPr>
        <w:t>usługi dla sektora transportu. Alstom oferuje pełen wachlarz rozwiązań (od pociągów dużych prędkości po metra, tramwaje i elektrobusy), zindywidualizowane usługi (utrzymanie, modernizacja itp.), a także rozwiązania przeznaczone dla pasażerów oraz rozwiązania w zakresie infrastruktury, systemów sterowania i mobilności cyfrowej. Alstom jest światowym liderem w dziedzinie zintegrowanych systemów transportu. W roku finansowym 2018/19 spółka osiągnęła obroty w wysokości 8,1 mld euro i przyjęła zamówienia o wartości 12,1 mld euro. Alstom ma swoją siedzibę we Francji, działa na terenie 60 państw i</w:t>
      </w:r>
      <w:r w:rsidR="008F6098">
        <w:rPr>
          <w:rFonts w:asciiTheme="minorHAnsi" w:hAnsiTheme="minorHAnsi" w:cstheme="minorHAnsi"/>
          <w:iCs/>
          <w:sz w:val="20"/>
          <w:lang w:val="pl-PL"/>
        </w:rPr>
        <w:t> </w:t>
      </w:r>
      <w:r w:rsidRPr="00C676C9">
        <w:rPr>
          <w:rFonts w:asciiTheme="minorHAnsi" w:hAnsiTheme="minorHAnsi" w:cstheme="minorHAnsi"/>
          <w:iCs/>
          <w:sz w:val="20"/>
          <w:lang w:val="pl-PL"/>
        </w:rPr>
        <w:t>obecnie zatrudnia 36 300 osób.</w:t>
      </w:r>
    </w:p>
    <w:p w14:paraId="62398499" w14:textId="77777777" w:rsidR="00127CDF" w:rsidRPr="00C676C9" w:rsidRDefault="00127CDF" w:rsidP="00127CDF">
      <w:pPr>
        <w:spacing w:line="276" w:lineRule="auto"/>
        <w:rPr>
          <w:rFonts w:asciiTheme="minorHAnsi" w:hAnsiTheme="minorHAnsi" w:cstheme="minorHAnsi"/>
          <w:b/>
          <w:sz w:val="20"/>
          <w:lang w:val="pl-PL"/>
        </w:rPr>
      </w:pPr>
    </w:p>
    <w:p w14:paraId="53A0CD67" w14:textId="77777777" w:rsidR="00127CDF" w:rsidRPr="00C676C9" w:rsidRDefault="00127CDF" w:rsidP="00127CDF">
      <w:pPr>
        <w:spacing w:line="276" w:lineRule="auto"/>
        <w:rPr>
          <w:rFonts w:asciiTheme="minorHAnsi" w:hAnsiTheme="minorHAnsi" w:cstheme="minorHAnsi"/>
          <w:b/>
          <w:sz w:val="20"/>
          <w:lang w:val="pl-PL"/>
        </w:rPr>
      </w:pPr>
      <w:r w:rsidRPr="00C676C9">
        <w:rPr>
          <w:rFonts w:asciiTheme="minorHAnsi" w:hAnsiTheme="minorHAnsi" w:cstheme="minorHAnsi"/>
          <w:b/>
          <w:sz w:val="20"/>
          <w:lang w:val="pl-PL"/>
        </w:rPr>
        <w:t xml:space="preserve">Alstom </w:t>
      </w:r>
      <w:proofErr w:type="spellStart"/>
      <w:r w:rsidRPr="00C676C9">
        <w:rPr>
          <w:rFonts w:asciiTheme="minorHAnsi" w:hAnsiTheme="minorHAnsi" w:cstheme="minorHAnsi"/>
          <w:b/>
          <w:sz w:val="20"/>
          <w:lang w:val="pl-PL"/>
        </w:rPr>
        <w:t>Konstal</w:t>
      </w:r>
      <w:proofErr w:type="spellEnd"/>
    </w:p>
    <w:p w14:paraId="5AF4D0DE" w14:textId="5E2C11D0" w:rsidR="00127CDF" w:rsidRPr="00C676C9" w:rsidRDefault="00127CDF" w:rsidP="00127CDF">
      <w:pPr>
        <w:rPr>
          <w:rFonts w:asciiTheme="minorHAnsi" w:hAnsiTheme="minorHAnsi" w:cstheme="minorHAnsi"/>
          <w:iCs/>
          <w:sz w:val="20"/>
          <w:lang w:val="pl-PL"/>
        </w:rPr>
      </w:pPr>
      <w:r w:rsidRPr="00C676C9">
        <w:rPr>
          <w:rFonts w:asciiTheme="minorHAnsi" w:hAnsiTheme="minorHAnsi" w:cstheme="minorHAnsi"/>
          <w:iCs/>
          <w:sz w:val="20"/>
          <w:lang w:val="pl-PL"/>
        </w:rPr>
        <w:t xml:space="preserve">Alstom </w:t>
      </w:r>
      <w:proofErr w:type="spellStart"/>
      <w:r w:rsidRPr="00C676C9">
        <w:rPr>
          <w:rFonts w:asciiTheme="minorHAnsi" w:hAnsiTheme="minorHAnsi" w:cstheme="minorHAnsi"/>
          <w:iCs/>
          <w:sz w:val="20"/>
          <w:lang w:val="pl-PL"/>
        </w:rPr>
        <w:t>Konstal</w:t>
      </w:r>
      <w:proofErr w:type="spellEnd"/>
      <w:r w:rsidRPr="00C676C9">
        <w:rPr>
          <w:rFonts w:asciiTheme="minorHAnsi" w:hAnsiTheme="minorHAnsi" w:cstheme="minorHAnsi"/>
          <w:iCs/>
          <w:sz w:val="20"/>
          <w:lang w:val="pl-PL"/>
        </w:rPr>
        <w:t xml:space="preserve"> jest obecny na polskim rynku od ponad 20 lat. Alstom, który zatrudnia niemal 2.900 pracowników w 6 siedzibach, jest drugim największym pracodawcą sektora kolejowego w Polsce. Obecnie wśród projektów z zakresu mobilności Alstom </w:t>
      </w:r>
      <w:proofErr w:type="spellStart"/>
      <w:r w:rsidRPr="00C676C9">
        <w:rPr>
          <w:rFonts w:asciiTheme="minorHAnsi" w:hAnsiTheme="minorHAnsi" w:cstheme="minorHAnsi"/>
          <w:sz w:val="20"/>
          <w:lang w:val="pl-PL"/>
        </w:rPr>
        <w:t>Konstal</w:t>
      </w:r>
      <w:proofErr w:type="spellEnd"/>
      <w:r w:rsidRPr="00C676C9">
        <w:rPr>
          <w:rFonts w:asciiTheme="minorHAnsi" w:hAnsiTheme="minorHAnsi" w:cstheme="minorHAnsi"/>
          <w:sz w:val="20"/>
          <w:lang w:val="pl-PL"/>
        </w:rPr>
        <w:t xml:space="preserve"> znajduje się m.in. projekt obsługi 20</w:t>
      </w:r>
      <w:r w:rsidR="008F6098">
        <w:rPr>
          <w:rFonts w:asciiTheme="minorHAnsi" w:hAnsiTheme="minorHAnsi" w:cstheme="minorHAnsi"/>
          <w:sz w:val="20"/>
          <w:lang w:val="pl-PL"/>
        </w:rPr>
        <w:t> </w:t>
      </w:r>
      <w:r w:rsidRPr="00C676C9">
        <w:rPr>
          <w:rFonts w:asciiTheme="minorHAnsi" w:hAnsiTheme="minorHAnsi" w:cstheme="minorHAnsi"/>
          <w:sz w:val="20"/>
          <w:lang w:val="pl-PL"/>
        </w:rPr>
        <w:t>najnowocześniejszych pociągów dużej prędkości z floty Alstom Pendolino. Fabryka taboru kolejowego w Chorzowie jest częścią sieci Global Engineering Network Alstomu oraz centrum kompetencyjnym, jeśli chodzi o tabory kolejowe, specjalizującym się w produkcji pociągów metra, pociągów regionalnych oraz części wykorzystywanych w transporcie miejskim i podmiejskim. Alstom realizuje 19 projektów w 10 krajach w Europie, na Bliskim Wschodzie, w Afryce i Australii, a ponadto odgrywa wiodącą rolę w</w:t>
      </w:r>
      <w:r w:rsidR="008F6098">
        <w:rPr>
          <w:rFonts w:asciiTheme="minorHAnsi" w:hAnsiTheme="minorHAnsi" w:cstheme="minorHAnsi"/>
          <w:sz w:val="20"/>
          <w:lang w:val="pl-PL"/>
        </w:rPr>
        <w:t> </w:t>
      </w:r>
      <w:r w:rsidRPr="00C676C9">
        <w:rPr>
          <w:rFonts w:asciiTheme="minorHAnsi" w:hAnsiTheme="minorHAnsi" w:cstheme="minorHAnsi"/>
          <w:sz w:val="20"/>
          <w:lang w:val="pl-PL"/>
        </w:rPr>
        <w:t>kluczowych projektach dotyczących rozwoju miejskiej mobilności na świecie, np. metra w Rijadzie czy</w:t>
      </w:r>
      <w:r w:rsidR="00786B1F">
        <w:rPr>
          <w:rFonts w:asciiTheme="minorHAnsi" w:hAnsiTheme="minorHAnsi" w:cstheme="minorHAnsi"/>
          <w:sz w:val="20"/>
          <w:lang w:val="pl-PL"/>
        </w:rPr>
        <w:t> </w:t>
      </w:r>
      <w:r w:rsidRPr="00C676C9">
        <w:rPr>
          <w:rFonts w:asciiTheme="minorHAnsi" w:hAnsiTheme="minorHAnsi" w:cstheme="minorHAnsi"/>
          <w:sz w:val="20"/>
          <w:lang w:val="pl-PL"/>
        </w:rPr>
        <w:t>metra w Dubaju lub pociągów regionalnych w Holandii.</w:t>
      </w:r>
      <w:r w:rsidRPr="00C676C9">
        <w:rPr>
          <w:rFonts w:asciiTheme="minorHAnsi" w:hAnsiTheme="minorHAnsi" w:cstheme="minorHAnsi"/>
          <w:iCs/>
          <w:sz w:val="20"/>
          <w:lang w:val="pl-PL"/>
        </w:rPr>
        <w:t xml:space="preserve"> </w:t>
      </w:r>
    </w:p>
    <w:p w14:paraId="7CFDB66D" w14:textId="77777777" w:rsidR="00127CDF" w:rsidRPr="00C676C9" w:rsidRDefault="00127CDF" w:rsidP="00127CDF">
      <w:pPr>
        <w:rPr>
          <w:rFonts w:asciiTheme="minorHAnsi" w:hAnsiTheme="minorHAnsi" w:cstheme="minorHAnsi"/>
          <w:iCs/>
          <w:sz w:val="20"/>
          <w:lang w:val="pl-PL"/>
        </w:rPr>
      </w:pPr>
    </w:p>
    <w:p w14:paraId="1FDDC0BD" w14:textId="77777777" w:rsidR="00A0621B" w:rsidRDefault="00A0621B" w:rsidP="00127CDF">
      <w:pPr>
        <w:rPr>
          <w:rFonts w:asciiTheme="minorHAnsi" w:hAnsiTheme="minorHAnsi" w:cstheme="minorHAnsi"/>
          <w:b/>
          <w:sz w:val="20"/>
          <w:lang w:val="pl-PL"/>
        </w:rPr>
      </w:pPr>
    </w:p>
    <w:p w14:paraId="2C4C7560" w14:textId="7469F4B5" w:rsidR="00127CDF" w:rsidRPr="00C676C9" w:rsidRDefault="00127CDF" w:rsidP="00127CDF">
      <w:pPr>
        <w:rPr>
          <w:rFonts w:asciiTheme="minorHAnsi" w:hAnsiTheme="minorHAnsi" w:cstheme="minorHAnsi"/>
          <w:b/>
          <w:sz w:val="20"/>
          <w:lang w:val="pl-PL"/>
        </w:rPr>
      </w:pPr>
      <w:r w:rsidRPr="00C676C9">
        <w:rPr>
          <w:rFonts w:asciiTheme="minorHAnsi" w:hAnsiTheme="minorHAnsi" w:cstheme="minorHAnsi"/>
          <w:b/>
          <w:sz w:val="20"/>
          <w:lang w:val="pl-PL"/>
        </w:rPr>
        <w:t>Kontakt z mediami:</w:t>
      </w:r>
    </w:p>
    <w:p w14:paraId="0C3FAE6F" w14:textId="7BA86C28" w:rsidR="00127CDF" w:rsidRPr="00C676C9" w:rsidRDefault="00127CDF" w:rsidP="00127CDF">
      <w:pPr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Rafał Piętka</w:t>
      </w:r>
    </w:p>
    <w:p w14:paraId="0213818A" w14:textId="1F996C7C" w:rsidR="00127CDF" w:rsidRPr="00C676C9" w:rsidRDefault="00127CDF" w:rsidP="00127CDF">
      <w:pPr>
        <w:rPr>
          <w:rFonts w:asciiTheme="minorHAnsi" w:hAnsiTheme="minorHAnsi" w:cstheme="minorHAnsi"/>
          <w:sz w:val="20"/>
          <w:lang w:val="pl-PL"/>
        </w:rPr>
      </w:pPr>
      <w:r w:rsidRPr="00C676C9">
        <w:rPr>
          <w:rFonts w:asciiTheme="minorHAnsi" w:hAnsiTheme="minorHAnsi" w:cstheme="minorHAnsi"/>
          <w:sz w:val="20"/>
          <w:lang w:val="pl-PL"/>
        </w:rPr>
        <w:t xml:space="preserve">T </w:t>
      </w:r>
      <w:r>
        <w:rPr>
          <w:rFonts w:asciiTheme="minorHAnsi" w:hAnsiTheme="minorHAnsi" w:cstheme="minorHAnsi"/>
          <w:sz w:val="20"/>
          <w:lang w:val="pl-PL"/>
        </w:rPr>
        <w:t>530 424 444</w:t>
      </w:r>
    </w:p>
    <w:p w14:paraId="415D3ADD" w14:textId="6E62B79D" w:rsidR="00127CDF" w:rsidRPr="00C676C9" w:rsidRDefault="0007005C" w:rsidP="00127CDF">
      <w:pPr>
        <w:rPr>
          <w:rFonts w:asciiTheme="minorHAnsi" w:hAnsiTheme="minorHAnsi" w:cstheme="minorHAnsi"/>
          <w:sz w:val="20"/>
          <w:lang w:val="pl-PL"/>
        </w:rPr>
      </w:pPr>
      <w:hyperlink r:id="rId12" w:history="1">
        <w:r w:rsidR="00127CDF" w:rsidRPr="00651791">
          <w:rPr>
            <w:rStyle w:val="Hipercze"/>
            <w:rFonts w:asciiTheme="minorHAnsi" w:hAnsiTheme="minorHAnsi" w:cstheme="minorHAnsi"/>
            <w:sz w:val="20"/>
            <w:lang w:val="pl-PL"/>
          </w:rPr>
          <w:t>r.pietka@contrust.pl</w:t>
        </w:r>
      </w:hyperlink>
    </w:p>
    <w:p w14:paraId="30A7FED0" w14:textId="77777777" w:rsidR="00127CDF" w:rsidRPr="00C676C9" w:rsidRDefault="00127CDF" w:rsidP="00127CDF">
      <w:pPr>
        <w:rPr>
          <w:b/>
          <w:sz w:val="22"/>
          <w:szCs w:val="22"/>
          <w:lang w:val="pl-PL"/>
        </w:rPr>
      </w:pPr>
    </w:p>
    <w:p w14:paraId="2B9983C5" w14:textId="77777777" w:rsidR="00845F38" w:rsidRPr="00FA2549" w:rsidRDefault="00845F38" w:rsidP="00D027F1">
      <w:pPr>
        <w:rPr>
          <w:rFonts w:cs="Arial"/>
          <w:sz w:val="22"/>
          <w:szCs w:val="22"/>
        </w:rPr>
      </w:pPr>
      <w:bookmarkStart w:id="0" w:name="_GoBack"/>
      <w:bookmarkEnd w:id="0"/>
    </w:p>
    <w:sectPr w:rsidR="00845F38" w:rsidRPr="00FA2549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C73AD" w14:textId="77777777" w:rsidR="0007005C" w:rsidRDefault="0007005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927668D" w14:textId="77777777" w:rsidR="0007005C" w:rsidRDefault="0007005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lstom">
    <w:altName w:val="Calibri"/>
    <w:charset w:val="00"/>
    <w:family w:val="auto"/>
    <w:pitch w:val="variable"/>
    <w:sig w:usb0="A00000AF" w:usb1="4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A Bk BT"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4D7A" w14:textId="4ED49102" w:rsidR="005B33BC" w:rsidRPr="00E37DD4" w:rsidRDefault="007A10C9" w:rsidP="003B7868">
    <w:pPr>
      <w:pStyle w:val="Pieddepage1"/>
      <w:ind w:left="5521" w:right="-1135" w:firstLine="851"/>
      <w:rPr>
        <w:rFonts w:ascii="Times New Roman" w:hAnsi="Times New Roman"/>
      </w:rPr>
    </w:pPr>
    <w:r>
      <w:rPr>
        <w:rFonts w:ascii="Arial" w:hAnsi="Arial"/>
        <w:noProof/>
        <w:lang w:val="pl"/>
      </w:rPr>
      <w:drawing>
        <wp:anchor distT="0" distB="0" distL="114300" distR="114300" simplePos="0" relativeHeight="251661312" behindDoc="1" locked="0" layoutInCell="1" allowOverlap="1" wp14:anchorId="4BCBD6DD" wp14:editId="1B32F109">
          <wp:simplePos x="0" y="0"/>
          <wp:positionH relativeFrom="column">
            <wp:posOffset>3816350</wp:posOffset>
          </wp:positionH>
          <wp:positionV relativeFrom="paragraph">
            <wp:posOffset>-95250</wp:posOffset>
          </wp:positionV>
          <wp:extent cx="1460311" cy="319095"/>
          <wp:effectExtent l="0" t="0" r="6985" b="5080"/>
          <wp:wrapNone/>
          <wp:docPr id="1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311" cy="31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6E63" w14:textId="4612132A" w:rsidR="005B33BC" w:rsidRDefault="007A10C9" w:rsidP="003B7868">
    <w:pPr>
      <w:pStyle w:val="Pieddepage1"/>
      <w:ind w:left="5664" w:firstLine="708"/>
      <w:jc w:val="center"/>
      <w:rPr>
        <w:rFonts w:ascii="Times New Roman" w:hAnsi="Times New Roman"/>
      </w:rPr>
    </w:pPr>
    <w:r>
      <w:rPr>
        <w:rFonts w:ascii="Arial" w:hAnsi="Arial"/>
        <w:noProof/>
        <w:lang w:val="pl"/>
      </w:rPr>
      <w:drawing>
        <wp:anchor distT="0" distB="0" distL="114300" distR="114300" simplePos="0" relativeHeight="251659264" behindDoc="1" locked="0" layoutInCell="1" allowOverlap="1" wp14:anchorId="3E7618FC" wp14:editId="2523BF03">
          <wp:simplePos x="0" y="0"/>
          <wp:positionH relativeFrom="column">
            <wp:posOffset>4438650</wp:posOffset>
          </wp:positionH>
          <wp:positionV relativeFrom="paragraph">
            <wp:posOffset>-273050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311" cy="31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3BC">
      <w:rPr>
        <w:rFonts w:ascii="Arial" w:hAnsi="Arial"/>
        <w:noProof/>
        <w:sz w:val="16"/>
        <w:lang w:val="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A940B" w14:textId="77777777" w:rsidR="0007005C" w:rsidRDefault="0007005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F281A51" w14:textId="77777777" w:rsidR="0007005C" w:rsidRDefault="0007005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14:paraId="5C45511E" w14:textId="77777777" w:rsidR="005B33BC" w:rsidRPr="00FA2549" w:rsidRDefault="005B33BC">
      <w:pPr>
        <w:pStyle w:val="Tekstprzypisudolnego"/>
      </w:pPr>
      <w:r>
        <w:rPr>
          <w:rStyle w:val="Odwoanieprzypisudolnego"/>
          <w:lang w:val="pl"/>
        </w:rPr>
        <w:footnoteRef/>
      </w:r>
      <w:r>
        <w:rPr>
          <w:lang w:val="pl"/>
        </w:rPr>
        <w:t xml:space="preserve"> Stanowił on część kontraktu zawartego między Alstomem a SNCF 27 czerwca 2007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7346" w14:textId="77777777" w:rsidR="005B33BC" w:rsidRDefault="005B33BC" w:rsidP="002C79BD">
    <w:pPr>
      <w:pStyle w:val="Nagwek"/>
      <w:ind w:right="-11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2B05" w14:textId="77777777" w:rsidR="005B33BC" w:rsidRDefault="005B33BC">
    <w:pPr>
      <w:pStyle w:val="Nagwek"/>
    </w:pPr>
    <w:r>
      <w:rPr>
        <w:rFonts w:ascii="Arial" w:hAnsi="Arial" w:cs="Arial"/>
        <w:b/>
        <w:bCs/>
        <w:i/>
        <w:iCs/>
        <w:noProof/>
        <w:sz w:val="24"/>
        <w:lang w:val="pl"/>
      </w:rPr>
      <w:drawing>
        <wp:anchor distT="0" distB="0" distL="114300" distR="114300" simplePos="0" relativeHeight="251656192" behindDoc="1" locked="0" layoutInCell="1" allowOverlap="1" wp14:anchorId="616527EE" wp14:editId="00B9B154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BDB7E03"/>
    <w:multiLevelType w:val="hybridMultilevel"/>
    <w:tmpl w:val="DA962AB6"/>
    <w:lvl w:ilvl="0" w:tplc="E51ACFDE">
      <w:start w:val="14"/>
      <w:numFmt w:val="bullet"/>
      <w:lvlText w:val="-"/>
      <w:lvlJc w:val="left"/>
      <w:pPr>
        <w:ind w:left="644" w:hanging="360"/>
      </w:pPr>
      <w:rPr>
        <w:rFonts w:ascii="Alstom" w:eastAsia="Times New Roman" w:hAnsi="Alstom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7"/>
  </w:num>
  <w:num w:numId="5">
    <w:abstractNumId w:val="17"/>
  </w:num>
  <w:num w:numId="6">
    <w:abstractNumId w:val="17"/>
  </w:num>
  <w:num w:numId="7">
    <w:abstractNumId w:val="11"/>
  </w:num>
  <w:num w:numId="8">
    <w:abstractNumId w:val="11"/>
  </w:num>
  <w:num w:numId="9">
    <w:abstractNumId w:val="17"/>
  </w:num>
  <w:num w:numId="10">
    <w:abstractNumId w:val="17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6"/>
  </w:num>
  <w:num w:numId="16">
    <w:abstractNumId w:val="19"/>
  </w:num>
  <w:num w:numId="17">
    <w:abstractNumId w:val="10"/>
  </w:num>
  <w:num w:numId="18">
    <w:abstractNumId w:val="15"/>
  </w:num>
  <w:num w:numId="19">
    <w:abstractNumId w:val="14"/>
  </w:num>
  <w:num w:numId="20">
    <w:abstractNumId w:val="20"/>
  </w:num>
  <w:num w:numId="21">
    <w:abstractNumId w:val="1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8"/>
  </w:num>
  <w:num w:numId="32">
    <w:abstractNumId w:val="13"/>
  </w:num>
  <w:num w:numId="33">
    <w:abstractNumId w:val="1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70"/>
    <w:rsid w:val="000152C7"/>
    <w:rsid w:val="000165F3"/>
    <w:rsid w:val="000210D2"/>
    <w:rsid w:val="00022F66"/>
    <w:rsid w:val="00023A5F"/>
    <w:rsid w:val="00042578"/>
    <w:rsid w:val="0004579D"/>
    <w:rsid w:val="0005222C"/>
    <w:rsid w:val="000675DC"/>
    <w:rsid w:val="0007005C"/>
    <w:rsid w:val="00074C9B"/>
    <w:rsid w:val="00093F7C"/>
    <w:rsid w:val="000D0EB7"/>
    <w:rsid w:val="000D17E8"/>
    <w:rsid w:val="000F321A"/>
    <w:rsid w:val="000F5CB4"/>
    <w:rsid w:val="00115794"/>
    <w:rsid w:val="00120BB7"/>
    <w:rsid w:val="00127CDF"/>
    <w:rsid w:val="0013744F"/>
    <w:rsid w:val="00137F61"/>
    <w:rsid w:val="0014474B"/>
    <w:rsid w:val="0014638F"/>
    <w:rsid w:val="001618B6"/>
    <w:rsid w:val="00166917"/>
    <w:rsid w:val="0017256F"/>
    <w:rsid w:val="00173D3B"/>
    <w:rsid w:val="001A795E"/>
    <w:rsid w:val="001B32F7"/>
    <w:rsid w:val="001C4D4C"/>
    <w:rsid w:val="001C50DE"/>
    <w:rsid w:val="001C7784"/>
    <w:rsid w:val="001D0DD0"/>
    <w:rsid w:val="001E1324"/>
    <w:rsid w:val="002107A0"/>
    <w:rsid w:val="0021795D"/>
    <w:rsid w:val="0021796A"/>
    <w:rsid w:val="00220A17"/>
    <w:rsid w:val="002267FB"/>
    <w:rsid w:val="002437DE"/>
    <w:rsid w:val="002626C2"/>
    <w:rsid w:val="00272933"/>
    <w:rsid w:val="00290D5E"/>
    <w:rsid w:val="002919CA"/>
    <w:rsid w:val="002A4A19"/>
    <w:rsid w:val="002C79BD"/>
    <w:rsid w:val="002D1230"/>
    <w:rsid w:val="002D297F"/>
    <w:rsid w:val="002D2F33"/>
    <w:rsid w:val="00305190"/>
    <w:rsid w:val="003103FC"/>
    <w:rsid w:val="00321358"/>
    <w:rsid w:val="00341746"/>
    <w:rsid w:val="003519D1"/>
    <w:rsid w:val="00357787"/>
    <w:rsid w:val="003601A1"/>
    <w:rsid w:val="0037022B"/>
    <w:rsid w:val="00383669"/>
    <w:rsid w:val="003908FD"/>
    <w:rsid w:val="003B7868"/>
    <w:rsid w:val="003C76B5"/>
    <w:rsid w:val="003D192C"/>
    <w:rsid w:val="003D36F3"/>
    <w:rsid w:val="003E2372"/>
    <w:rsid w:val="003E5E4A"/>
    <w:rsid w:val="003F41F6"/>
    <w:rsid w:val="003F7406"/>
    <w:rsid w:val="003F76A5"/>
    <w:rsid w:val="00401CB3"/>
    <w:rsid w:val="004030A4"/>
    <w:rsid w:val="00412CF5"/>
    <w:rsid w:val="00447C0F"/>
    <w:rsid w:val="004624EC"/>
    <w:rsid w:val="00464007"/>
    <w:rsid w:val="0046486D"/>
    <w:rsid w:val="004657FA"/>
    <w:rsid w:val="004666D7"/>
    <w:rsid w:val="00471739"/>
    <w:rsid w:val="00475622"/>
    <w:rsid w:val="00477EEA"/>
    <w:rsid w:val="00496064"/>
    <w:rsid w:val="004C0DC4"/>
    <w:rsid w:val="004C105C"/>
    <w:rsid w:val="004E1FED"/>
    <w:rsid w:val="004E206C"/>
    <w:rsid w:val="004E53FE"/>
    <w:rsid w:val="004F4DEA"/>
    <w:rsid w:val="005003EB"/>
    <w:rsid w:val="0051635A"/>
    <w:rsid w:val="00517D6F"/>
    <w:rsid w:val="00520A48"/>
    <w:rsid w:val="0052161C"/>
    <w:rsid w:val="00523748"/>
    <w:rsid w:val="00535FB4"/>
    <w:rsid w:val="00536868"/>
    <w:rsid w:val="005374C5"/>
    <w:rsid w:val="00543A20"/>
    <w:rsid w:val="0054799F"/>
    <w:rsid w:val="00552D83"/>
    <w:rsid w:val="0055499C"/>
    <w:rsid w:val="005551C6"/>
    <w:rsid w:val="0055765E"/>
    <w:rsid w:val="00567FF9"/>
    <w:rsid w:val="00586CB4"/>
    <w:rsid w:val="00593480"/>
    <w:rsid w:val="005A6523"/>
    <w:rsid w:val="005B33BC"/>
    <w:rsid w:val="005C72FC"/>
    <w:rsid w:val="005E0609"/>
    <w:rsid w:val="005F170B"/>
    <w:rsid w:val="0060123F"/>
    <w:rsid w:val="006027A9"/>
    <w:rsid w:val="0060698B"/>
    <w:rsid w:val="006129FA"/>
    <w:rsid w:val="0062676D"/>
    <w:rsid w:val="006278CD"/>
    <w:rsid w:val="006742C3"/>
    <w:rsid w:val="00675672"/>
    <w:rsid w:val="00676977"/>
    <w:rsid w:val="00676994"/>
    <w:rsid w:val="00682FF8"/>
    <w:rsid w:val="00690F19"/>
    <w:rsid w:val="00692EF0"/>
    <w:rsid w:val="006A2309"/>
    <w:rsid w:val="006A6B7F"/>
    <w:rsid w:val="006B51DC"/>
    <w:rsid w:val="006D1250"/>
    <w:rsid w:val="006E424A"/>
    <w:rsid w:val="006F4787"/>
    <w:rsid w:val="0070698C"/>
    <w:rsid w:val="0072305D"/>
    <w:rsid w:val="0072503E"/>
    <w:rsid w:val="007439D7"/>
    <w:rsid w:val="00753644"/>
    <w:rsid w:val="00756006"/>
    <w:rsid w:val="0077498E"/>
    <w:rsid w:val="00782070"/>
    <w:rsid w:val="00782F9A"/>
    <w:rsid w:val="00786B1F"/>
    <w:rsid w:val="0079495E"/>
    <w:rsid w:val="007A10C9"/>
    <w:rsid w:val="007B284F"/>
    <w:rsid w:val="007E2DAC"/>
    <w:rsid w:val="007E36D5"/>
    <w:rsid w:val="007E7879"/>
    <w:rsid w:val="0080427B"/>
    <w:rsid w:val="00806497"/>
    <w:rsid w:val="0080735F"/>
    <w:rsid w:val="00812A94"/>
    <w:rsid w:val="00817311"/>
    <w:rsid w:val="008206A6"/>
    <w:rsid w:val="00824888"/>
    <w:rsid w:val="00843EAB"/>
    <w:rsid w:val="00845F38"/>
    <w:rsid w:val="0085156E"/>
    <w:rsid w:val="00864ED1"/>
    <w:rsid w:val="0087366C"/>
    <w:rsid w:val="00894E66"/>
    <w:rsid w:val="00896E14"/>
    <w:rsid w:val="00897F73"/>
    <w:rsid w:val="008B1CD9"/>
    <w:rsid w:val="008B5A12"/>
    <w:rsid w:val="008E20B5"/>
    <w:rsid w:val="008E712F"/>
    <w:rsid w:val="008F0BFF"/>
    <w:rsid w:val="008F53BF"/>
    <w:rsid w:val="008F6098"/>
    <w:rsid w:val="00920410"/>
    <w:rsid w:val="009263F0"/>
    <w:rsid w:val="00932B0E"/>
    <w:rsid w:val="0093659F"/>
    <w:rsid w:val="009436CB"/>
    <w:rsid w:val="00953761"/>
    <w:rsid w:val="00972F9D"/>
    <w:rsid w:val="00975AD3"/>
    <w:rsid w:val="009856C2"/>
    <w:rsid w:val="0099258F"/>
    <w:rsid w:val="00997E0C"/>
    <w:rsid w:val="009A0DFB"/>
    <w:rsid w:val="009A10A2"/>
    <w:rsid w:val="009A1BC1"/>
    <w:rsid w:val="009A4FF2"/>
    <w:rsid w:val="009B0A0A"/>
    <w:rsid w:val="009B358E"/>
    <w:rsid w:val="009B7680"/>
    <w:rsid w:val="009C3C9A"/>
    <w:rsid w:val="009D28AE"/>
    <w:rsid w:val="009D2C9E"/>
    <w:rsid w:val="009D569B"/>
    <w:rsid w:val="009E6479"/>
    <w:rsid w:val="009F3FDC"/>
    <w:rsid w:val="00A00C2A"/>
    <w:rsid w:val="00A01163"/>
    <w:rsid w:val="00A0621B"/>
    <w:rsid w:val="00A06E03"/>
    <w:rsid w:val="00A07F64"/>
    <w:rsid w:val="00A1344A"/>
    <w:rsid w:val="00A147CD"/>
    <w:rsid w:val="00A14ED4"/>
    <w:rsid w:val="00A22262"/>
    <w:rsid w:val="00A3410A"/>
    <w:rsid w:val="00A52315"/>
    <w:rsid w:val="00A54D7F"/>
    <w:rsid w:val="00A675AA"/>
    <w:rsid w:val="00A7091E"/>
    <w:rsid w:val="00A75CC2"/>
    <w:rsid w:val="00A764C4"/>
    <w:rsid w:val="00A8340E"/>
    <w:rsid w:val="00A86999"/>
    <w:rsid w:val="00A86A57"/>
    <w:rsid w:val="00A904DB"/>
    <w:rsid w:val="00A95903"/>
    <w:rsid w:val="00AA21AA"/>
    <w:rsid w:val="00AB75D0"/>
    <w:rsid w:val="00AC1723"/>
    <w:rsid w:val="00AC6355"/>
    <w:rsid w:val="00AC757B"/>
    <w:rsid w:val="00AD43F5"/>
    <w:rsid w:val="00AF4777"/>
    <w:rsid w:val="00AF7730"/>
    <w:rsid w:val="00B12574"/>
    <w:rsid w:val="00B12743"/>
    <w:rsid w:val="00B17083"/>
    <w:rsid w:val="00B305BF"/>
    <w:rsid w:val="00B349DD"/>
    <w:rsid w:val="00B43368"/>
    <w:rsid w:val="00B82739"/>
    <w:rsid w:val="00B91308"/>
    <w:rsid w:val="00B926C3"/>
    <w:rsid w:val="00B97F00"/>
    <w:rsid w:val="00BB16D9"/>
    <w:rsid w:val="00BD31CD"/>
    <w:rsid w:val="00BD647C"/>
    <w:rsid w:val="00BF33CF"/>
    <w:rsid w:val="00C05614"/>
    <w:rsid w:val="00C0680D"/>
    <w:rsid w:val="00C06F27"/>
    <w:rsid w:val="00C13264"/>
    <w:rsid w:val="00C2682E"/>
    <w:rsid w:val="00C46BC2"/>
    <w:rsid w:val="00C55CA7"/>
    <w:rsid w:val="00C5754E"/>
    <w:rsid w:val="00C65D6F"/>
    <w:rsid w:val="00C87130"/>
    <w:rsid w:val="00C87BA7"/>
    <w:rsid w:val="00CA7401"/>
    <w:rsid w:val="00CB3275"/>
    <w:rsid w:val="00CB5AC6"/>
    <w:rsid w:val="00CB77FD"/>
    <w:rsid w:val="00CE65ED"/>
    <w:rsid w:val="00CF17DB"/>
    <w:rsid w:val="00D027F1"/>
    <w:rsid w:val="00D0411B"/>
    <w:rsid w:val="00D279EB"/>
    <w:rsid w:val="00D31FF7"/>
    <w:rsid w:val="00D339A7"/>
    <w:rsid w:val="00D3630A"/>
    <w:rsid w:val="00D44921"/>
    <w:rsid w:val="00D56799"/>
    <w:rsid w:val="00D56946"/>
    <w:rsid w:val="00D673A3"/>
    <w:rsid w:val="00D709A1"/>
    <w:rsid w:val="00D73AFD"/>
    <w:rsid w:val="00D8169A"/>
    <w:rsid w:val="00D95C3E"/>
    <w:rsid w:val="00DA0777"/>
    <w:rsid w:val="00DB1DA4"/>
    <w:rsid w:val="00DD50D4"/>
    <w:rsid w:val="00DE3C38"/>
    <w:rsid w:val="00DE7620"/>
    <w:rsid w:val="00DF29A7"/>
    <w:rsid w:val="00DF5E0C"/>
    <w:rsid w:val="00E15910"/>
    <w:rsid w:val="00E27876"/>
    <w:rsid w:val="00E30600"/>
    <w:rsid w:val="00E37DD4"/>
    <w:rsid w:val="00E42EE0"/>
    <w:rsid w:val="00E6717D"/>
    <w:rsid w:val="00E679F6"/>
    <w:rsid w:val="00E67B25"/>
    <w:rsid w:val="00E72F92"/>
    <w:rsid w:val="00E7485F"/>
    <w:rsid w:val="00E76C6B"/>
    <w:rsid w:val="00E80002"/>
    <w:rsid w:val="00E82B23"/>
    <w:rsid w:val="00E858F0"/>
    <w:rsid w:val="00EA04A5"/>
    <w:rsid w:val="00EA7868"/>
    <w:rsid w:val="00EB3B90"/>
    <w:rsid w:val="00EC2197"/>
    <w:rsid w:val="00EE1051"/>
    <w:rsid w:val="00EE2F7E"/>
    <w:rsid w:val="00EE72EB"/>
    <w:rsid w:val="00EF5DA2"/>
    <w:rsid w:val="00F1182F"/>
    <w:rsid w:val="00F12906"/>
    <w:rsid w:val="00F16671"/>
    <w:rsid w:val="00F86573"/>
    <w:rsid w:val="00F920F0"/>
    <w:rsid w:val="00F972DA"/>
    <w:rsid w:val="00FA2549"/>
    <w:rsid w:val="00FB6B8A"/>
    <w:rsid w:val="00FD362A"/>
    <w:rsid w:val="00FD4566"/>
    <w:rsid w:val="00FE0607"/>
    <w:rsid w:val="00FE1C09"/>
    <w:rsid w:val="00FE4080"/>
    <w:rsid w:val="00FF0427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7ADFC"/>
  <w15:docId w15:val="{B585ADB3-57D4-4FAA-BDDD-4E759D72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jc w:val="both"/>
    </w:pPr>
    <w:rPr>
      <w:rFonts w:ascii="Alstom" w:hAnsi="Alstom"/>
      <w:sz w:val="24"/>
    </w:rPr>
  </w:style>
  <w:style w:type="paragraph" w:styleId="Nagwek1">
    <w:name w:val="heading 1"/>
    <w:basedOn w:val="Normalny"/>
    <w:next w:val="Normalny"/>
    <w:qFormat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</w:style>
  <w:style w:type="paragraph" w:customStyle="1" w:styleId="Titre3">
    <w:name w:val="Titre3"/>
    <w:basedOn w:val="Normalny"/>
    <w:next w:val="Normalny"/>
    <w:autoRedefine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pPr>
      <w:spacing w:after="60"/>
    </w:pPr>
  </w:style>
  <w:style w:type="character" w:styleId="UyteHipercze">
    <w:name w:val="FollowedHyperlink"/>
    <w:semiHidden/>
    <w:rPr>
      <w:color w:val="FF6600"/>
      <w:u w:val="single"/>
    </w:rPr>
  </w:style>
  <w:style w:type="paragraph" w:customStyle="1" w:styleId="Pieddepage1">
    <w:name w:val="Pied de page1"/>
    <w:pPr>
      <w:jc w:val="both"/>
    </w:pPr>
    <w:rPr>
      <w:rFonts w:ascii="Alstom" w:hAnsi="Alstom"/>
      <w:spacing w:val="-2"/>
      <w:sz w:val="14"/>
      <w:szCs w:val="10"/>
    </w:rPr>
  </w:style>
  <w:style w:type="paragraph" w:customStyle="1" w:styleId="Heading">
    <w:name w:val="Heading"/>
    <w:aliases w:val="Chapeau"/>
    <w:basedOn w:val="Normalny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Pr>
      <w:bCs/>
      <w:sz w:val="2"/>
    </w:rPr>
  </w:style>
  <w:style w:type="paragraph" w:customStyle="1" w:styleId="DocTitle">
    <w:name w:val="DocTitle"/>
    <w:basedOn w:val="Normalny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qFormat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pPr>
      <w:jc w:val="right"/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semiHidden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Pr>
      <w:i/>
      <w:iCs/>
      <w:sz w:val="22"/>
      <w:szCs w:val="24"/>
    </w:rPr>
  </w:style>
  <w:style w:type="paragraph" w:customStyle="1" w:styleId="Textedebulles1">
    <w:name w:val="Texte de bulles1"/>
    <w:basedOn w:val="Norma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fr-FR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fr-FR"/>
    </w:rPr>
  </w:style>
  <w:style w:type="paragraph" w:customStyle="1" w:styleId="Intestazionetabella">
    <w:name w:val="Intestazione tabella"/>
    <w:basedOn w:val="Normalny"/>
    <w:rsid w:val="006027A9"/>
    <w:pPr>
      <w:suppressLineNumbers/>
      <w:suppressAutoHyphens/>
      <w:jc w:val="center"/>
    </w:pPr>
    <w:rPr>
      <w:rFonts w:eastAsia="SimSun" w:cs="Alstom"/>
      <w:b/>
      <w:bCs/>
      <w:szCs w:val="24"/>
    </w:rPr>
  </w:style>
  <w:style w:type="paragraph" w:customStyle="1" w:styleId="Title-US">
    <w:name w:val="Title - US"/>
    <w:basedOn w:val="Tytu"/>
    <w:rsid w:val="006027A9"/>
    <w:pPr>
      <w:keepLines/>
      <w:suppressAutoHyphens/>
      <w:spacing w:before="240" w:after="60"/>
      <w:outlineLvl w:val="9"/>
    </w:pPr>
    <w:rPr>
      <w:rFonts w:ascii="FuturaA Bk BT" w:eastAsia="SimSun" w:hAnsi="FuturaA Bk BT" w:cs="FuturaA Bk BT"/>
      <w:kern w:val="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765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65E"/>
    <w:rPr>
      <w:rFonts w:ascii="Alstom" w:hAnsi="Alstom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D4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D4C"/>
    <w:rPr>
      <w:rFonts w:ascii="Alstom" w:hAnsi="Alstom"/>
      <w:b/>
      <w:bCs/>
      <w:lang w:val="fr-FR"/>
    </w:rPr>
  </w:style>
  <w:style w:type="paragraph" w:styleId="Tekstprzypisudolnego">
    <w:name w:val="footnote text"/>
    <w:basedOn w:val="Normalny"/>
    <w:link w:val="TekstprzypisudolnegoZnak"/>
    <w:unhideWhenUsed/>
    <w:rsid w:val="005C72F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2FC"/>
    <w:rPr>
      <w:rFonts w:ascii="Alstom" w:hAnsi="Alstom"/>
    </w:rPr>
  </w:style>
  <w:style w:type="character" w:styleId="Odwoanieprzypisudolnego">
    <w:name w:val="footnote reference"/>
    <w:basedOn w:val="Domylnaczcionkaakapitu"/>
    <w:unhideWhenUsed/>
    <w:rsid w:val="005C72FC"/>
    <w:rPr>
      <w:vertAlign w:val="superscript"/>
    </w:rPr>
  </w:style>
  <w:style w:type="paragraph" w:customStyle="1" w:styleId="TableHeading">
    <w:name w:val="Table Heading"/>
    <w:basedOn w:val="Normalny"/>
    <w:rsid w:val="00520A48"/>
    <w:pPr>
      <w:suppressLineNumbers/>
      <w:suppressAutoHyphens/>
      <w:jc w:val="center"/>
    </w:pPr>
    <w:rPr>
      <w:rFonts w:eastAsia="SimSun" w:cs="Alstom"/>
      <w:b/>
      <w:bCs/>
      <w:szCs w:val="24"/>
      <w:lang w:val="en-GB"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7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pietka@contru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9820-471B-4F55-9B74-5C746B1F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610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&lt;Month&gt; 2007</vt:lpstr>
      <vt:lpstr>&lt;Month&gt; 2007</vt:lpstr>
      <vt:lpstr>&lt;Month&gt; 2007</vt:lpstr>
    </vt:vector>
  </TitlesOfParts>
  <Company>ALSTOM</Company>
  <LinksUpToDate>false</LinksUpToDate>
  <CharactersWithSpaces>4782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creator>Côté Prod 1</dc:creator>
  <cp:lastModifiedBy>Rafał Piętka</cp:lastModifiedBy>
  <cp:revision>19</cp:revision>
  <cp:lastPrinted>2019-07-22T14:01:00Z</cp:lastPrinted>
  <dcterms:created xsi:type="dcterms:W3CDTF">2019-07-30T14:52:00Z</dcterms:created>
  <dcterms:modified xsi:type="dcterms:W3CDTF">2019-09-27T18:09:00Z</dcterms:modified>
</cp:coreProperties>
</file>