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2" w:rsidRPr="006B1CB5" w:rsidRDefault="00A7746D">
      <w:pPr>
        <w:jc w:val="center"/>
        <w:rPr>
          <w:rFonts w:ascii="Tahoma" w:hAnsi="Tahoma" w:cs="Tahoma"/>
        </w:rPr>
      </w:pPr>
      <w:r w:rsidRPr="006B1CB5">
        <w:rPr>
          <w:rFonts w:ascii="Tahoma" w:hAnsi="Tahoma" w:cs="Tahoma"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4D9672E7" wp14:editId="1FC2E2E2">
            <wp:simplePos x="0" y="0"/>
            <wp:positionH relativeFrom="column">
              <wp:posOffset>-899795</wp:posOffset>
            </wp:positionH>
            <wp:positionV relativeFrom="paragraph">
              <wp:posOffset>-99695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" name="Obraz 1" descr="https://prowly-uploads.s3.amazonaws.com/uploads/landing_page/template_company_name_logo/1395/thumb_DAN_logo__3line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wly-uploads.s3.amazonaws.com/uploads/landing_page/template_company_name_logo/1395/thumb_DAN_logo__3line_hi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  <w:r w:rsidRPr="006B1CB5">
        <w:rPr>
          <w:rFonts w:ascii="Tahoma" w:hAnsi="Tahoma" w:cs="Tahoma"/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286BF36" wp14:editId="56623C8E">
            <wp:simplePos x="0" y="0"/>
            <wp:positionH relativeFrom="column">
              <wp:posOffset>4253230</wp:posOffset>
            </wp:positionH>
            <wp:positionV relativeFrom="paragraph">
              <wp:posOffset>39370</wp:posOffset>
            </wp:positionV>
            <wp:extent cx="1552575" cy="971550"/>
            <wp:effectExtent l="0" t="0" r="0" b="0"/>
            <wp:wrapTight wrapText="bothSides">
              <wp:wrapPolygon edited="0">
                <wp:start x="6361" y="2118"/>
                <wp:lineTo x="5036" y="3388"/>
                <wp:lineTo x="2650" y="7624"/>
                <wp:lineTo x="2650" y="11435"/>
                <wp:lineTo x="5301" y="19059"/>
                <wp:lineTo x="6361" y="19059"/>
                <wp:lineTo x="9806" y="16518"/>
                <wp:lineTo x="18022" y="12282"/>
                <wp:lineTo x="18817" y="10588"/>
                <wp:lineTo x="16962" y="8894"/>
                <wp:lineTo x="8746" y="2118"/>
                <wp:lineTo x="6361" y="2118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71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6B1CB5" w:rsidRPr="006B1CB5" w:rsidRDefault="006B1CB5" w:rsidP="006B1CB5">
      <w:pPr>
        <w:rPr>
          <w:rFonts w:ascii="Tahoma" w:hAnsi="Tahoma" w:cs="Tahoma"/>
          <w:bCs/>
          <w:sz w:val="22"/>
          <w:lang w:val="pl-PL"/>
        </w:rPr>
      </w:pPr>
      <w:r w:rsidRPr="006B1CB5">
        <w:rPr>
          <w:rFonts w:ascii="Tahoma" w:hAnsi="Tahoma" w:cs="Tahoma"/>
          <w:bCs/>
          <w:lang w:val="pl-PL"/>
        </w:rPr>
        <w:t xml:space="preserve">Informacja prasowa </w:t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  <w:t xml:space="preserve">       </w:t>
      </w:r>
      <w:r w:rsidR="00CC71F2">
        <w:rPr>
          <w:rFonts w:ascii="Tahoma" w:hAnsi="Tahoma" w:cs="Tahoma"/>
          <w:bCs/>
          <w:lang w:val="pl-PL"/>
        </w:rPr>
        <w:t xml:space="preserve">         </w:t>
      </w:r>
      <w:r>
        <w:rPr>
          <w:rFonts w:ascii="Tahoma" w:hAnsi="Tahoma" w:cs="Tahoma"/>
          <w:bCs/>
          <w:lang w:val="pl-PL"/>
        </w:rPr>
        <w:t xml:space="preserve"> </w:t>
      </w:r>
      <w:r w:rsidR="00653A21">
        <w:rPr>
          <w:rFonts w:ascii="Tahoma" w:hAnsi="Tahoma" w:cs="Tahoma"/>
          <w:bCs/>
          <w:lang w:val="pl-PL"/>
        </w:rPr>
        <w:t>Warszawa, 11</w:t>
      </w:r>
      <w:bookmarkStart w:id="0" w:name="_GoBack"/>
      <w:bookmarkEnd w:id="0"/>
      <w:r w:rsidR="00CC71F2">
        <w:rPr>
          <w:rFonts w:ascii="Tahoma" w:hAnsi="Tahoma" w:cs="Tahoma"/>
          <w:bCs/>
          <w:lang w:val="pl-PL"/>
        </w:rPr>
        <w:t xml:space="preserve"> marca 2016</w:t>
      </w: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32"/>
          <w:lang w:val="pl-PL"/>
        </w:rPr>
      </w:pP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32"/>
          <w:lang w:val="pl-PL"/>
        </w:rPr>
      </w:pP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28"/>
          <w:lang w:val="pl-PL"/>
        </w:rPr>
      </w:pPr>
    </w:p>
    <w:p w:rsidR="00CC71F2" w:rsidRPr="00CC71F2" w:rsidRDefault="00CC71F2" w:rsidP="00CC71F2">
      <w:pPr>
        <w:spacing w:before="120"/>
        <w:jc w:val="center"/>
        <w:rPr>
          <w:rFonts w:asciiTheme="majorHAnsi" w:hAnsiTheme="majorHAnsi" w:cs="Tahoma"/>
          <w:b/>
          <w:bCs/>
          <w:sz w:val="32"/>
          <w:lang w:val="pl-PL"/>
        </w:rPr>
      </w:pPr>
      <w:r w:rsidRPr="00CC71F2">
        <w:rPr>
          <w:rFonts w:asciiTheme="majorHAnsi" w:hAnsiTheme="majorHAnsi" w:cs="Tahoma"/>
          <w:b/>
          <w:bCs/>
          <w:sz w:val="32"/>
          <w:lang w:val="pl-PL"/>
        </w:rPr>
        <w:t xml:space="preserve">Lubię to – </w:t>
      </w:r>
      <w:proofErr w:type="spellStart"/>
      <w:r w:rsidRPr="00CC71F2">
        <w:rPr>
          <w:rFonts w:asciiTheme="majorHAnsi" w:hAnsiTheme="majorHAnsi" w:cs="Tahoma"/>
          <w:b/>
          <w:bCs/>
          <w:sz w:val="32"/>
          <w:lang w:val="pl-PL"/>
        </w:rPr>
        <w:t>linked</w:t>
      </w:r>
      <w:proofErr w:type="spellEnd"/>
      <w:r w:rsidRPr="00CC71F2">
        <w:rPr>
          <w:rFonts w:asciiTheme="majorHAnsi" w:hAnsiTheme="majorHAnsi" w:cs="Tahoma"/>
          <w:b/>
          <w:bCs/>
          <w:sz w:val="32"/>
          <w:lang w:val="pl-PL"/>
        </w:rPr>
        <w:t xml:space="preserve"> by Isobar z nową kampanią dla marki </w:t>
      </w:r>
      <w:proofErr w:type="spellStart"/>
      <w:r w:rsidRPr="00CC71F2">
        <w:rPr>
          <w:rFonts w:asciiTheme="majorHAnsi" w:hAnsiTheme="majorHAnsi" w:cs="Tahoma"/>
          <w:b/>
          <w:bCs/>
          <w:sz w:val="32"/>
          <w:lang w:val="pl-PL"/>
        </w:rPr>
        <w:t>Groprinosin</w:t>
      </w:r>
      <w:proofErr w:type="spellEnd"/>
    </w:p>
    <w:p w:rsidR="00CC71F2" w:rsidRDefault="00CC71F2" w:rsidP="00CC71F2">
      <w:pPr>
        <w:spacing w:before="120"/>
        <w:jc w:val="both"/>
        <w:rPr>
          <w:rFonts w:asciiTheme="majorHAnsi" w:hAnsiTheme="majorHAnsi" w:cs="Tahoma"/>
          <w:b/>
          <w:bCs/>
          <w:lang w:val="pl-PL"/>
        </w:rPr>
      </w:pPr>
      <w:r w:rsidRPr="00B85831">
        <w:rPr>
          <w:rFonts w:asciiTheme="majorHAnsi" w:hAnsiTheme="majorHAnsi" w:cs="Tahoma"/>
          <w:b/>
          <w:bCs/>
          <w:lang w:val="pl-PL"/>
        </w:rPr>
        <w:t xml:space="preserve">„Wszyscy do dzieła!” to hasło nowej kampanii marki </w:t>
      </w:r>
      <w:proofErr w:type="spellStart"/>
      <w:r w:rsidRPr="00B85831">
        <w:rPr>
          <w:rFonts w:asciiTheme="majorHAnsi" w:hAnsiTheme="majorHAnsi" w:cs="Tahoma"/>
          <w:b/>
          <w:bCs/>
          <w:lang w:val="pl-PL"/>
        </w:rPr>
        <w:t>Groprinosin</w:t>
      </w:r>
      <w:proofErr w:type="spellEnd"/>
      <w:r w:rsidRPr="00B85831">
        <w:rPr>
          <w:rFonts w:asciiTheme="majorHAnsi" w:hAnsiTheme="majorHAnsi" w:cs="Tahoma"/>
          <w:b/>
          <w:bCs/>
          <w:lang w:val="pl-PL"/>
        </w:rPr>
        <w:t xml:space="preserve"> (Gedeon Rich</w:t>
      </w:r>
      <w:r>
        <w:rPr>
          <w:rFonts w:asciiTheme="majorHAnsi" w:hAnsiTheme="majorHAnsi" w:cs="Tahoma"/>
          <w:b/>
          <w:bCs/>
          <w:lang w:val="pl-PL"/>
        </w:rPr>
        <w:t>t</w:t>
      </w:r>
      <w:r w:rsidRPr="00B85831">
        <w:rPr>
          <w:rFonts w:asciiTheme="majorHAnsi" w:hAnsiTheme="majorHAnsi" w:cs="Tahoma"/>
          <w:b/>
          <w:bCs/>
          <w:lang w:val="pl-PL"/>
        </w:rPr>
        <w:t>er), realizowanej po raz kolejny prz</w:t>
      </w:r>
      <w:r>
        <w:rPr>
          <w:rFonts w:asciiTheme="majorHAnsi" w:hAnsiTheme="majorHAnsi" w:cs="Tahoma"/>
          <w:b/>
          <w:bCs/>
          <w:lang w:val="pl-PL"/>
        </w:rPr>
        <w:t xml:space="preserve">ez Lubię to – </w:t>
      </w:r>
      <w:proofErr w:type="spellStart"/>
      <w:r>
        <w:rPr>
          <w:rFonts w:asciiTheme="majorHAnsi" w:hAnsiTheme="majorHAnsi" w:cs="Tahoma"/>
          <w:b/>
          <w:bCs/>
          <w:lang w:val="pl-PL"/>
        </w:rPr>
        <w:t>linked</w:t>
      </w:r>
      <w:proofErr w:type="spellEnd"/>
      <w:r>
        <w:rPr>
          <w:rFonts w:asciiTheme="majorHAnsi" w:hAnsiTheme="majorHAnsi" w:cs="Tahoma"/>
          <w:b/>
          <w:bCs/>
          <w:lang w:val="pl-PL"/>
        </w:rPr>
        <w:t xml:space="preserve"> by Isobar.</w:t>
      </w:r>
    </w:p>
    <w:p w:rsidR="00CC71F2" w:rsidRPr="00B85831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  <w:r w:rsidRPr="00B85831">
        <w:rPr>
          <w:rFonts w:asciiTheme="majorHAnsi" w:hAnsiTheme="majorHAnsi" w:cs="Tahoma"/>
          <w:lang w:val="pl-PL"/>
        </w:rPr>
        <w:t xml:space="preserve">W ramach działań promocyjnych agencja przygotowała </w:t>
      </w:r>
      <w:proofErr w:type="spellStart"/>
      <w:r w:rsidRPr="00B85831">
        <w:rPr>
          <w:rFonts w:asciiTheme="majorHAnsi" w:hAnsiTheme="majorHAnsi" w:cs="Tahoma"/>
          <w:lang w:val="pl-PL"/>
        </w:rPr>
        <w:t>landing</w:t>
      </w:r>
      <w:proofErr w:type="spellEnd"/>
      <w:r w:rsidRPr="00B85831">
        <w:rPr>
          <w:rFonts w:asciiTheme="majorHAnsi" w:hAnsiTheme="majorHAnsi" w:cs="Tahoma"/>
          <w:lang w:val="pl-PL"/>
        </w:rPr>
        <w:t xml:space="preserve"> </w:t>
      </w:r>
      <w:proofErr w:type="spellStart"/>
      <w:r w:rsidRPr="00B85831">
        <w:rPr>
          <w:rFonts w:asciiTheme="majorHAnsi" w:hAnsiTheme="majorHAnsi" w:cs="Tahoma"/>
          <w:lang w:val="pl-PL"/>
        </w:rPr>
        <w:t>page</w:t>
      </w:r>
      <w:proofErr w:type="spellEnd"/>
      <w:r w:rsidRPr="00B85831">
        <w:rPr>
          <w:rFonts w:asciiTheme="majorHAnsi" w:hAnsiTheme="majorHAnsi" w:cs="Tahoma"/>
          <w:lang w:val="pl-PL"/>
        </w:rPr>
        <w:t xml:space="preserve"> będący częścią strony </w:t>
      </w:r>
      <w:hyperlink r:id="rId9" w:history="1">
        <w:r w:rsidRPr="00B85831">
          <w:rPr>
            <w:rFonts w:asciiTheme="majorHAnsi" w:hAnsiTheme="majorHAnsi" w:cs="Tahoma"/>
            <w:lang w:val="pl-PL"/>
          </w:rPr>
          <w:t>www.groprinosin.pl</w:t>
        </w:r>
      </w:hyperlink>
      <w:r w:rsidRPr="00B85831">
        <w:rPr>
          <w:rFonts w:asciiTheme="majorHAnsi" w:hAnsiTheme="majorHAnsi" w:cs="Tahoma"/>
          <w:lang w:val="pl-PL"/>
        </w:rPr>
        <w:t>, na którym użytkownicy znajdą ciekawe inspiracje do wykonania zarówno prostych, jak i bardziej złożonych aranżacji DIY. Za pośrednictwem strony użytkownicy mogą także przesyłać zdjęcia własnych aranżacji, a tym samym wziąć udział w konkursie, który potrwa do 28 marca.</w:t>
      </w:r>
    </w:p>
    <w:p w:rsidR="00CC71F2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  <w:r w:rsidRPr="00B85831">
        <w:rPr>
          <w:rFonts w:asciiTheme="majorHAnsi" w:hAnsiTheme="majorHAnsi" w:cs="Tahoma"/>
          <w:lang w:val="pl-PL"/>
        </w:rPr>
        <w:t xml:space="preserve">Akcję wspiera kampania display oraz </w:t>
      </w:r>
      <w:proofErr w:type="spellStart"/>
      <w:r w:rsidRPr="00B85831">
        <w:rPr>
          <w:rFonts w:asciiTheme="majorHAnsi" w:hAnsiTheme="majorHAnsi" w:cs="Tahoma"/>
          <w:lang w:val="pl-PL"/>
        </w:rPr>
        <w:t>pre-rolle</w:t>
      </w:r>
      <w:proofErr w:type="spellEnd"/>
      <w:r w:rsidRPr="00B85831">
        <w:rPr>
          <w:rFonts w:asciiTheme="majorHAnsi" w:hAnsiTheme="majorHAnsi" w:cs="Tahoma"/>
          <w:lang w:val="pl-PL"/>
        </w:rPr>
        <w:t>. Jako element akcji został także uruchomiony kanał marki</w:t>
      </w:r>
      <w:r>
        <w:rPr>
          <w:rFonts w:asciiTheme="majorHAnsi" w:hAnsiTheme="majorHAnsi" w:cs="Tahoma"/>
          <w:lang w:val="pl-PL"/>
        </w:rPr>
        <w:t xml:space="preserve"> w serwisie YouTube. </w:t>
      </w:r>
      <w:r w:rsidRPr="00B85831">
        <w:rPr>
          <w:rFonts w:asciiTheme="majorHAnsi" w:hAnsiTheme="majorHAnsi" w:cs="Tahoma"/>
          <w:lang w:val="pl-PL"/>
        </w:rPr>
        <w:t>Na kanale można znaleźć już pierwsze video-inspiracje, a w kolejnych miesiącach będą pojawiać się następne pomysły na kreatywne spędzanie czasu – nie tylko w trakcie przeziębienia.</w:t>
      </w:r>
    </w:p>
    <w:p w:rsidR="00CC71F2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  <w:r>
        <w:rPr>
          <w:rFonts w:asciiTheme="majorHAnsi" w:hAnsiTheme="majorHAnsi" w:cs="Tahoma"/>
          <w:lang w:val="pl-PL"/>
        </w:rPr>
        <w:t xml:space="preserve">Kanał YT marki dostępny jest pod adresem: </w:t>
      </w:r>
      <w:hyperlink r:id="rId10" w:history="1">
        <w:r w:rsidRPr="00875CC6">
          <w:rPr>
            <w:rStyle w:val="Hipercze"/>
            <w:rFonts w:asciiTheme="majorHAnsi" w:hAnsiTheme="majorHAnsi" w:cs="Tahoma"/>
            <w:lang w:val="pl-PL"/>
          </w:rPr>
          <w:t>https://goo.gl/DrWuCj</w:t>
        </w:r>
      </w:hyperlink>
      <w:r>
        <w:rPr>
          <w:rFonts w:asciiTheme="majorHAnsi" w:hAnsiTheme="majorHAnsi" w:cs="Tahoma"/>
          <w:lang w:val="pl-PL"/>
        </w:rPr>
        <w:t xml:space="preserve"> </w:t>
      </w:r>
    </w:p>
    <w:p w:rsidR="00CC71F2" w:rsidRPr="00B85831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  <w:r w:rsidRPr="00B85831">
        <w:rPr>
          <w:rFonts w:asciiTheme="majorHAnsi" w:hAnsiTheme="majorHAnsi" w:cs="Tahoma"/>
          <w:lang w:val="pl-PL"/>
        </w:rPr>
        <w:t xml:space="preserve">Za koncepcję i realizację wszystkich działań odpowiada, należąca do Dentsu Aegis Network Polska, agencja Lubię to – </w:t>
      </w:r>
      <w:proofErr w:type="spellStart"/>
      <w:r w:rsidRPr="00B85831">
        <w:rPr>
          <w:rFonts w:asciiTheme="majorHAnsi" w:hAnsiTheme="majorHAnsi" w:cs="Tahoma"/>
          <w:lang w:val="pl-PL"/>
        </w:rPr>
        <w:t>linked</w:t>
      </w:r>
      <w:proofErr w:type="spellEnd"/>
      <w:r w:rsidRPr="00B85831">
        <w:rPr>
          <w:rFonts w:asciiTheme="majorHAnsi" w:hAnsiTheme="majorHAnsi" w:cs="Tahoma"/>
          <w:lang w:val="pl-PL"/>
        </w:rPr>
        <w:t xml:space="preserve"> by Isobar. Za zakup mediów odpowiada dom </w:t>
      </w:r>
      <w:proofErr w:type="spellStart"/>
      <w:r w:rsidRPr="00B85831">
        <w:rPr>
          <w:rFonts w:asciiTheme="majorHAnsi" w:hAnsiTheme="majorHAnsi" w:cs="Tahoma"/>
          <w:lang w:val="pl-PL"/>
        </w:rPr>
        <w:t>mediowy</w:t>
      </w:r>
      <w:proofErr w:type="spellEnd"/>
      <w:r w:rsidRPr="00B85831">
        <w:rPr>
          <w:rFonts w:asciiTheme="majorHAnsi" w:hAnsiTheme="majorHAnsi" w:cs="Tahoma"/>
          <w:lang w:val="pl-PL"/>
        </w:rPr>
        <w:t xml:space="preserve"> One House.</w:t>
      </w:r>
    </w:p>
    <w:p w:rsidR="00CC71F2" w:rsidRPr="00B85831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  <w:proofErr w:type="spellStart"/>
      <w:r w:rsidRPr="00B85831">
        <w:rPr>
          <w:rFonts w:asciiTheme="majorHAnsi" w:hAnsiTheme="majorHAnsi" w:cs="Tahoma"/>
          <w:lang w:val="pl-PL"/>
        </w:rPr>
        <w:t>Groprinosin</w:t>
      </w:r>
      <w:proofErr w:type="spellEnd"/>
      <w:r w:rsidRPr="00B85831">
        <w:rPr>
          <w:rFonts w:asciiTheme="majorHAnsi" w:hAnsiTheme="majorHAnsi" w:cs="Tahoma"/>
          <w:lang w:val="pl-PL"/>
        </w:rPr>
        <w:t xml:space="preserve"> to lek przeciwwirusowy i wzmacniający odporność, wskazany przy infekcji górnych dróg oddechowych. Lek jest dostępny w postaci tabletek oraz syropu o smaku malinowym. Obie formy mogą być stosowane u dorosłych i dzieci powyżej 1. roku życia. </w:t>
      </w:r>
    </w:p>
    <w:p w:rsidR="00CC71F2" w:rsidRPr="00CC71F2" w:rsidRDefault="00CC71F2" w:rsidP="00CC71F2">
      <w:pPr>
        <w:jc w:val="center"/>
        <w:rPr>
          <w:rFonts w:ascii="Tahoma" w:hAnsi="Tahoma" w:cs="Tahoma"/>
          <w:sz w:val="22"/>
          <w:lang w:val="pl-PL"/>
        </w:rPr>
      </w:pPr>
      <w:r w:rsidRPr="00CC71F2">
        <w:rPr>
          <w:rFonts w:ascii="Tahoma" w:hAnsi="Tahoma" w:cs="Tahoma"/>
          <w:sz w:val="22"/>
          <w:lang w:val="pl-PL"/>
        </w:rPr>
        <w:t>###</w:t>
      </w:r>
    </w:p>
    <w:p w:rsidR="00CC71F2" w:rsidRPr="006827EE" w:rsidRDefault="00CC71F2" w:rsidP="00CC71F2">
      <w:pPr>
        <w:spacing w:before="120"/>
        <w:jc w:val="both"/>
        <w:rPr>
          <w:rFonts w:asciiTheme="majorHAnsi" w:hAnsiTheme="majorHAnsi" w:cs="Tahoma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6827EE" w:rsidRDefault="00CC71F2" w:rsidP="00CC71F2">
      <w:pPr>
        <w:spacing w:before="120"/>
        <w:rPr>
          <w:rFonts w:asciiTheme="majorHAnsi" w:hAnsiTheme="majorHAnsi"/>
          <w:lang w:val="pl-PL"/>
        </w:rPr>
      </w:pPr>
    </w:p>
    <w:p w:rsidR="00CC71F2" w:rsidRPr="00332C7E" w:rsidRDefault="00CC71F2" w:rsidP="00CC71F2">
      <w:pPr>
        <w:jc w:val="both"/>
        <w:rPr>
          <w:rFonts w:asciiTheme="majorHAnsi" w:hAnsiTheme="majorHAnsi" w:cs="Tahoma"/>
          <w:sz w:val="18"/>
          <w:lang w:val="pl-PL"/>
        </w:rPr>
      </w:pPr>
      <w:proofErr w:type="spellStart"/>
      <w:r w:rsidRPr="00332C7E">
        <w:rPr>
          <w:rFonts w:asciiTheme="majorHAnsi" w:hAnsiTheme="majorHAnsi" w:cs="Tahoma"/>
          <w:b/>
          <w:sz w:val="18"/>
          <w:lang w:val="pl-PL"/>
        </w:rPr>
        <w:lastRenderedPageBreak/>
        <w:t>Groprinosin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, tabletki, 1 tabletka zawiera 500 mg inozyny 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pranobeksu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 (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Inosinum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 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pranobexum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). </w:t>
      </w:r>
      <w:proofErr w:type="spellStart"/>
      <w:r w:rsidRPr="00332C7E">
        <w:rPr>
          <w:rFonts w:asciiTheme="majorHAnsi" w:hAnsiTheme="majorHAnsi" w:cs="Tahoma"/>
          <w:b/>
          <w:sz w:val="18"/>
          <w:lang w:val="pl-PL"/>
        </w:rPr>
        <w:t>Groprinosin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, syrop, 5 ml syropu zawiera 250 mg inozyny 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pranobeksu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 (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Inosinum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 </w:t>
      </w:r>
      <w:proofErr w:type="spellStart"/>
      <w:r w:rsidRPr="00332C7E">
        <w:rPr>
          <w:rFonts w:asciiTheme="majorHAnsi" w:hAnsiTheme="majorHAnsi" w:cs="Tahoma"/>
          <w:sz w:val="18"/>
          <w:lang w:val="pl-PL"/>
        </w:rPr>
        <w:t>pranobexum</w:t>
      </w:r>
      <w:proofErr w:type="spellEnd"/>
      <w:r w:rsidRPr="00332C7E">
        <w:rPr>
          <w:rFonts w:asciiTheme="majorHAnsi" w:hAnsiTheme="majorHAnsi" w:cs="Tahoma"/>
          <w:sz w:val="18"/>
          <w:lang w:val="pl-PL"/>
        </w:rPr>
        <w:t xml:space="preserve">). Syrop. Przejrzysty, bezbarwny lub różowawy syrop o smaku i zapachu malinowym.  </w:t>
      </w:r>
      <w:r w:rsidRPr="00332C7E">
        <w:rPr>
          <w:rFonts w:asciiTheme="majorHAnsi" w:hAnsiTheme="majorHAnsi" w:cs="Tahoma"/>
          <w:b/>
          <w:sz w:val="18"/>
          <w:lang w:val="pl-PL"/>
        </w:rPr>
        <w:t>Wskazania</w:t>
      </w:r>
      <w:r w:rsidRPr="00332C7E">
        <w:rPr>
          <w:rFonts w:asciiTheme="majorHAnsi" w:hAnsiTheme="majorHAnsi" w:cs="Tahoma"/>
          <w:sz w:val="18"/>
          <w:lang w:val="pl-PL"/>
        </w:rPr>
        <w:t xml:space="preserve">: Wspomagająco u osób o obniżonej odporności, w przypadku nawracających infekcji górnych dróg oddechowych.  </w:t>
      </w:r>
      <w:r w:rsidRPr="00332C7E">
        <w:rPr>
          <w:rFonts w:asciiTheme="majorHAnsi" w:hAnsiTheme="majorHAnsi" w:cs="Tahoma"/>
          <w:b/>
          <w:sz w:val="18"/>
          <w:lang w:val="pl-PL"/>
        </w:rPr>
        <w:t>Przeciwwskazania</w:t>
      </w:r>
      <w:r w:rsidRPr="00332C7E">
        <w:rPr>
          <w:rFonts w:asciiTheme="majorHAnsi" w:hAnsiTheme="majorHAnsi" w:cs="Tahoma"/>
          <w:sz w:val="18"/>
          <w:lang w:val="pl-PL"/>
        </w:rPr>
        <w:t xml:space="preserve">: Produktu leczniczego nie należy stosować u pacjentów z nadwrażliwością na substancję czynną lub na którąkolwiek substancję pomocniczą. Nie stosować u pacjentów, u których występuje aktualnie napad dny moczanowej lub zwiększone stężenie kwasu moczowego we krwi. </w:t>
      </w:r>
      <w:r w:rsidRPr="00332C7E">
        <w:rPr>
          <w:rFonts w:asciiTheme="majorHAnsi" w:hAnsiTheme="majorHAnsi" w:cs="Tahoma"/>
          <w:b/>
          <w:sz w:val="18"/>
          <w:lang w:val="pl-PL"/>
        </w:rPr>
        <w:t>Podmiot odpowiedzialny</w:t>
      </w:r>
      <w:r w:rsidRPr="00332C7E">
        <w:rPr>
          <w:rFonts w:asciiTheme="majorHAnsi" w:hAnsiTheme="majorHAnsi" w:cs="Tahoma"/>
          <w:sz w:val="18"/>
          <w:lang w:val="pl-PL"/>
        </w:rPr>
        <w:t xml:space="preserve">: Gedeon Richter Polska Spółka z o.o. ul. ks. J. Poniatowskiego 5, 05-825 Grodzisk Mazowiecki. </w:t>
      </w:r>
      <w:r w:rsidRPr="00332C7E">
        <w:rPr>
          <w:rFonts w:asciiTheme="majorHAnsi" w:hAnsiTheme="majorHAnsi" w:cs="Tahoma"/>
          <w:b/>
          <w:sz w:val="18"/>
          <w:lang w:val="pl-PL"/>
        </w:rPr>
        <w:t>Leki OTC</w:t>
      </w:r>
      <w:r w:rsidRPr="00332C7E">
        <w:rPr>
          <w:rFonts w:asciiTheme="majorHAnsi" w:hAnsiTheme="majorHAnsi" w:cs="Tahoma"/>
          <w:sz w:val="18"/>
          <w:lang w:val="pl-PL"/>
        </w:rPr>
        <w:t>.</w:t>
      </w:r>
    </w:p>
    <w:p w:rsidR="00CC71F2" w:rsidRPr="006827EE" w:rsidRDefault="00CC71F2" w:rsidP="00CC71F2">
      <w:pPr>
        <w:spacing w:before="120"/>
        <w:jc w:val="both"/>
        <w:rPr>
          <w:rFonts w:asciiTheme="majorHAnsi" w:hAnsiTheme="majorHAnsi"/>
          <w:lang w:val="pl-PL"/>
        </w:rPr>
      </w:pPr>
      <w:r w:rsidRPr="00332C7E">
        <w:rPr>
          <w:rFonts w:asciiTheme="majorHAnsi" w:hAnsiTheme="majorHAnsi" w:cs="Tahoma"/>
          <w:b/>
          <w:sz w:val="18"/>
          <w:lang w:val="pl-PL"/>
        </w:rPr>
        <w:t>Przed użyciem zapoznaj się z ulotką, bądź skonsultuj się z lekarzem lub farmaceutą, gdyż każdy lek niewłaściwie stosowany zagraża Twojemu życiu lub zdrowiu.</w:t>
      </w:r>
    </w:p>
    <w:p w:rsidR="000D7A4A" w:rsidRPr="006B1CB5" w:rsidRDefault="000D7A4A" w:rsidP="000D7A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ahoma" w:eastAsia="Times New Roman" w:hAnsi="Tahoma" w:cs="Tahoma"/>
          <w:color w:val="auto"/>
          <w:sz w:val="22"/>
          <w:szCs w:val="22"/>
          <w:bdr w:val="none" w:sz="0" w:space="0" w:color="auto"/>
          <w:lang w:val="pl-PL" w:eastAsia="pl-PL"/>
        </w:rPr>
      </w:pPr>
    </w:p>
    <w:p w:rsidR="000D7A4A" w:rsidRPr="00CC71F2" w:rsidRDefault="000D7A4A" w:rsidP="000D7A4A">
      <w:pPr>
        <w:spacing w:before="240" w:after="240"/>
        <w:jc w:val="both"/>
        <w:rPr>
          <w:rFonts w:ascii="Tahoma" w:hAnsi="Tahoma" w:cs="Tahoma"/>
          <w:b/>
          <w:i/>
          <w:iCs/>
          <w:sz w:val="22"/>
          <w:szCs w:val="22"/>
          <w:lang w:val="pl-PL"/>
        </w:rPr>
      </w:pPr>
      <w:r w:rsidRPr="00CC71F2">
        <w:rPr>
          <w:rStyle w:val="Uwydatnienie"/>
          <w:rFonts w:ascii="Tahoma" w:hAnsi="Tahoma" w:cs="Tahoma"/>
          <w:b/>
          <w:i w:val="0"/>
          <w:iCs/>
          <w:sz w:val="22"/>
          <w:szCs w:val="22"/>
          <w:lang w:val="pl-PL"/>
        </w:rPr>
        <w:t xml:space="preserve">Kontakt dla mediów: </w:t>
      </w:r>
    </w:p>
    <w:p w:rsidR="000D7A4A" w:rsidRPr="00CC71F2" w:rsidRDefault="000D7A4A" w:rsidP="000D7A4A">
      <w:pPr>
        <w:jc w:val="both"/>
        <w:rPr>
          <w:rStyle w:val="Uwydatnienie"/>
          <w:rFonts w:ascii="Tahoma" w:hAnsi="Tahoma" w:cs="Tahoma"/>
          <w:i w:val="0"/>
          <w:sz w:val="22"/>
          <w:szCs w:val="22"/>
          <w:lang w:val="pl-PL"/>
        </w:rPr>
      </w:pPr>
      <w:r w:rsidRPr="00CC71F2">
        <w:rPr>
          <w:rStyle w:val="Uwydatnienie"/>
          <w:rFonts w:ascii="Tahoma" w:hAnsi="Tahoma" w:cs="Tahoma"/>
          <w:b/>
          <w:i w:val="0"/>
          <w:iCs/>
          <w:sz w:val="22"/>
          <w:szCs w:val="22"/>
          <w:lang w:val="pl-PL"/>
        </w:rPr>
        <w:t>Monika Witoń</w:t>
      </w:r>
    </w:p>
    <w:p w:rsidR="000D7A4A" w:rsidRPr="00CC71F2" w:rsidRDefault="000D7A4A" w:rsidP="000D7A4A">
      <w:pPr>
        <w:jc w:val="both"/>
        <w:rPr>
          <w:rStyle w:val="Uwydatnienie"/>
          <w:rFonts w:ascii="Tahoma" w:hAnsi="Tahoma" w:cs="Tahoma"/>
          <w:i w:val="0"/>
          <w:iCs/>
          <w:sz w:val="22"/>
          <w:szCs w:val="22"/>
          <w:lang w:val="pl-PL"/>
        </w:rPr>
      </w:pPr>
      <w:r w:rsidRPr="00CC71F2">
        <w:rPr>
          <w:rStyle w:val="Uwydatnienie"/>
          <w:rFonts w:ascii="Tahoma" w:hAnsi="Tahoma" w:cs="Tahoma"/>
          <w:i w:val="0"/>
          <w:iCs/>
          <w:sz w:val="22"/>
          <w:szCs w:val="22"/>
          <w:lang w:val="pl-PL"/>
        </w:rPr>
        <w:t xml:space="preserve">Senior PR </w:t>
      </w:r>
      <w:proofErr w:type="spellStart"/>
      <w:r w:rsidRPr="00CC71F2">
        <w:rPr>
          <w:rStyle w:val="Uwydatnienie"/>
          <w:rFonts w:ascii="Tahoma" w:hAnsi="Tahoma" w:cs="Tahoma"/>
          <w:i w:val="0"/>
          <w:iCs/>
          <w:sz w:val="22"/>
          <w:szCs w:val="22"/>
          <w:lang w:val="pl-PL"/>
        </w:rPr>
        <w:t>Specialist</w:t>
      </w:r>
      <w:proofErr w:type="spellEnd"/>
    </w:p>
    <w:p w:rsidR="000D7A4A" w:rsidRPr="00CC71F2" w:rsidRDefault="000D7A4A" w:rsidP="000D7A4A">
      <w:pPr>
        <w:jc w:val="both"/>
        <w:rPr>
          <w:rStyle w:val="Uwydatnienie"/>
          <w:rFonts w:ascii="Tahoma" w:hAnsi="Tahoma" w:cs="Tahoma"/>
          <w:i w:val="0"/>
          <w:iCs/>
          <w:sz w:val="22"/>
          <w:szCs w:val="22"/>
        </w:rPr>
      </w:pPr>
      <w:r w:rsidRPr="00CC71F2">
        <w:rPr>
          <w:rStyle w:val="Uwydatnienie"/>
          <w:rFonts w:ascii="Tahoma" w:hAnsi="Tahoma" w:cs="Tahoma"/>
          <w:i w:val="0"/>
          <w:iCs/>
          <w:sz w:val="22"/>
          <w:szCs w:val="22"/>
        </w:rPr>
        <w:t>Dentsu Aegis Network</w:t>
      </w:r>
    </w:p>
    <w:p w:rsidR="000D7A4A" w:rsidRPr="00CC71F2" w:rsidRDefault="000D7A4A" w:rsidP="000D7A4A">
      <w:pPr>
        <w:jc w:val="both"/>
        <w:rPr>
          <w:rStyle w:val="Uwydatnienie"/>
          <w:rFonts w:ascii="Tahoma" w:hAnsi="Tahoma" w:cs="Tahoma"/>
          <w:i w:val="0"/>
          <w:iCs/>
          <w:sz w:val="22"/>
          <w:szCs w:val="22"/>
        </w:rPr>
      </w:pPr>
      <w:r w:rsidRPr="00CC71F2">
        <w:rPr>
          <w:rStyle w:val="Uwydatnienie"/>
          <w:rFonts w:ascii="Tahoma" w:hAnsi="Tahoma" w:cs="Tahoma"/>
          <w:i w:val="0"/>
          <w:iCs/>
          <w:sz w:val="22"/>
          <w:szCs w:val="22"/>
        </w:rPr>
        <w:t>Mobile: +48 734 172 721</w:t>
      </w:r>
    </w:p>
    <w:p w:rsidR="000D7A4A" w:rsidRPr="006B1CB5" w:rsidRDefault="000D7A4A" w:rsidP="000D7A4A">
      <w:pPr>
        <w:jc w:val="center"/>
        <w:rPr>
          <w:rFonts w:ascii="Tahoma" w:hAnsi="Tahoma" w:cs="Tahoma"/>
          <w:sz w:val="22"/>
          <w:szCs w:val="22"/>
          <w:lang w:val="pl-PL"/>
        </w:rPr>
      </w:pPr>
    </w:p>
    <w:p w:rsidR="006E7D12" w:rsidRPr="006B1CB5" w:rsidRDefault="006E7D12">
      <w:pPr>
        <w:jc w:val="both"/>
        <w:rPr>
          <w:rFonts w:ascii="Tahoma" w:hAnsi="Tahoma" w:cs="Tahoma"/>
          <w:sz w:val="22"/>
          <w:szCs w:val="22"/>
          <w:lang w:val="pl-PL"/>
        </w:rPr>
      </w:pPr>
    </w:p>
    <w:sectPr w:rsidR="006E7D12" w:rsidRPr="006B1CB5">
      <w:headerReference w:type="default" r:id="rId1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A9A" w:rsidRDefault="00A01A9A">
      <w:r>
        <w:separator/>
      </w:r>
    </w:p>
  </w:endnote>
  <w:endnote w:type="continuationSeparator" w:id="0">
    <w:p w:rsidR="00A01A9A" w:rsidRDefault="00A0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A9A" w:rsidRDefault="00A01A9A">
      <w:r>
        <w:separator/>
      </w:r>
    </w:p>
  </w:footnote>
  <w:footnote w:type="continuationSeparator" w:id="0">
    <w:p w:rsidR="00A01A9A" w:rsidRDefault="00A01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12" w:rsidRDefault="006E7D12">
    <w:pPr>
      <w:pStyle w:val="Nagwek"/>
      <w:tabs>
        <w:tab w:val="clear" w:pos="9072"/>
        <w:tab w:val="right" w:pos="904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E7D12"/>
    <w:rsid w:val="000979A2"/>
    <w:rsid w:val="000D7A4A"/>
    <w:rsid w:val="00637E3B"/>
    <w:rsid w:val="00653A21"/>
    <w:rsid w:val="006B1CB5"/>
    <w:rsid w:val="006E7D12"/>
    <w:rsid w:val="007E38CB"/>
    <w:rsid w:val="00A01A9A"/>
    <w:rsid w:val="00A7746D"/>
    <w:rsid w:val="00B27D7D"/>
    <w:rsid w:val="00CC71F2"/>
    <w:rsid w:val="00D6417C"/>
    <w:rsid w:val="00D90D62"/>
    <w:rsid w:val="00D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D7D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B2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D7D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styleId="Uwydatnienie">
    <w:name w:val="Emphasis"/>
    <w:basedOn w:val="Domylnaczcionkaakapitu"/>
    <w:uiPriority w:val="99"/>
    <w:qFormat/>
    <w:rsid w:val="000D7A4A"/>
    <w:rPr>
      <w:rFonts w:ascii="Times New Roman" w:hAnsi="Times New Roman" w:cs="Times New Roman" w:hint="default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D7D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B2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D7D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styleId="Uwydatnienie">
    <w:name w:val="Emphasis"/>
    <w:basedOn w:val="Domylnaczcionkaakapitu"/>
    <w:uiPriority w:val="99"/>
    <w:qFormat/>
    <w:rsid w:val="000D7A4A"/>
    <w:rPr>
      <w:rFonts w:ascii="Times New Roman" w:hAnsi="Times New Roman" w:cs="Times New Roman" w:hint="default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goo.gl/DrWuC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oprinosin.p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Witon</dc:creator>
  <cp:lastModifiedBy>Monika Witon</cp:lastModifiedBy>
  <cp:revision>3</cp:revision>
  <dcterms:created xsi:type="dcterms:W3CDTF">2016-03-09T20:21:00Z</dcterms:created>
  <dcterms:modified xsi:type="dcterms:W3CDTF">2016-03-11T10:15:00Z</dcterms:modified>
</cp:coreProperties>
</file>