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0DF8A" w14:textId="77777777" w:rsidR="00107D8B" w:rsidRDefault="00107D8B" w:rsidP="00107D8B">
      <w:pPr>
        <w:jc w:val="right"/>
        <w:rPr>
          <w:rFonts w:ascii="Arial" w:hAnsi="Arial" w:cs="Arial"/>
          <w:b/>
          <w:color w:val="0070C0"/>
          <w:sz w:val="28"/>
        </w:rPr>
      </w:pPr>
      <w:r w:rsidRPr="0082499A">
        <w:rPr>
          <w:rFonts w:ascii="Arial" w:hAnsi="Arial" w:cs="Arial"/>
          <w:b/>
          <w:noProof/>
          <w:color w:val="1F497D"/>
          <w:sz w:val="28"/>
          <w:lang w:eastAsia="pl-PL"/>
        </w:rPr>
        <w:drawing>
          <wp:inline distT="0" distB="0" distL="0" distR="0" wp14:anchorId="068BC06F" wp14:editId="3A620F5B">
            <wp:extent cx="2061845" cy="1276985"/>
            <wp:effectExtent l="0" t="0" r="0" b="0"/>
            <wp:docPr id="3" name="Obraz 3" descr="Medico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cover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A2B9" w14:textId="77777777" w:rsidR="00107D8B" w:rsidRDefault="00107D8B" w:rsidP="002926D8">
      <w:pPr>
        <w:jc w:val="center"/>
        <w:rPr>
          <w:rFonts w:ascii="Arial" w:hAnsi="Arial" w:cs="Arial"/>
          <w:b/>
          <w:color w:val="0070C0"/>
          <w:sz w:val="28"/>
        </w:rPr>
      </w:pPr>
    </w:p>
    <w:p w14:paraId="48FB7B22" w14:textId="77777777" w:rsidR="002926D8" w:rsidRPr="00E15EF1" w:rsidRDefault="00777E3C" w:rsidP="002926D8">
      <w:pPr>
        <w:jc w:val="center"/>
        <w:rPr>
          <w:rFonts w:ascii="Arial" w:hAnsi="Arial" w:cs="Arial"/>
          <w:b/>
          <w:color w:val="1F4E79" w:themeColor="accent5" w:themeShade="80"/>
          <w:sz w:val="28"/>
        </w:rPr>
      </w:pPr>
      <w:r>
        <w:rPr>
          <w:rFonts w:ascii="Arial" w:hAnsi="Arial" w:cs="Arial"/>
          <w:b/>
          <w:color w:val="1F4E79" w:themeColor="accent5" w:themeShade="80"/>
          <w:sz w:val="28"/>
        </w:rPr>
        <w:t xml:space="preserve">Cukrzyca to wyzwanie dla systemu opieki zdrowotnej  </w:t>
      </w:r>
    </w:p>
    <w:p w14:paraId="72AF9ECA" w14:textId="77777777" w:rsidR="002926D8" w:rsidRDefault="002926D8" w:rsidP="002926D8">
      <w:pPr>
        <w:jc w:val="both"/>
        <w:rPr>
          <w:rFonts w:ascii="Arial" w:hAnsi="Arial" w:cs="Arial"/>
          <w:b/>
        </w:rPr>
      </w:pPr>
    </w:p>
    <w:p w14:paraId="566BAA9C" w14:textId="77777777" w:rsidR="00077D0F" w:rsidRDefault="00077D0F" w:rsidP="002926D8">
      <w:pPr>
        <w:jc w:val="both"/>
        <w:rPr>
          <w:rFonts w:ascii="Arial" w:hAnsi="Arial" w:cs="Arial"/>
          <w:b/>
        </w:rPr>
      </w:pPr>
      <w:r w:rsidRPr="002926D8">
        <w:rPr>
          <w:rFonts w:ascii="Arial" w:hAnsi="Arial" w:cs="Arial"/>
          <w:b/>
        </w:rPr>
        <w:t>Na świecie żyje 425 mln osób chorych na cukrzycę</w:t>
      </w:r>
      <w:r w:rsidR="002926D8">
        <w:rPr>
          <w:rStyle w:val="Odwoanieprzypisudolnego"/>
          <w:rFonts w:ascii="Arial" w:hAnsi="Arial" w:cs="Arial"/>
          <w:b/>
        </w:rPr>
        <w:footnoteReference w:id="1"/>
      </w:r>
      <w:r w:rsidRPr="002926D8">
        <w:rPr>
          <w:rFonts w:ascii="Arial" w:hAnsi="Arial" w:cs="Arial"/>
          <w:b/>
        </w:rPr>
        <w:t xml:space="preserve">. </w:t>
      </w:r>
      <w:r w:rsidR="002926D8">
        <w:rPr>
          <w:rFonts w:ascii="Arial" w:hAnsi="Arial" w:cs="Arial"/>
          <w:b/>
        </w:rPr>
        <w:t>Prognozy m</w:t>
      </w:r>
      <w:r w:rsidR="000A28CB">
        <w:rPr>
          <w:rFonts w:ascii="Arial" w:hAnsi="Arial" w:cs="Arial"/>
          <w:b/>
        </w:rPr>
        <w:t>ówią, że</w:t>
      </w:r>
      <w:r w:rsidRPr="002926D8">
        <w:rPr>
          <w:rFonts w:ascii="Arial" w:hAnsi="Arial" w:cs="Arial"/>
          <w:b/>
        </w:rPr>
        <w:t xml:space="preserve"> w 2045 roku będzie to już 629 mln. Szacuje się, że</w:t>
      </w:r>
      <w:r w:rsidR="000A28CB">
        <w:rPr>
          <w:rFonts w:ascii="Arial" w:hAnsi="Arial" w:cs="Arial"/>
          <w:b/>
        </w:rPr>
        <w:t xml:space="preserve"> w krajach OECD aż </w:t>
      </w:r>
      <w:r w:rsidRPr="002926D8">
        <w:rPr>
          <w:rFonts w:ascii="Arial" w:hAnsi="Arial" w:cs="Arial"/>
          <w:b/>
        </w:rPr>
        <w:t xml:space="preserve">39 milionów dorosłych </w:t>
      </w:r>
      <w:r w:rsidR="000A28CB">
        <w:rPr>
          <w:rFonts w:ascii="Arial" w:hAnsi="Arial" w:cs="Arial"/>
          <w:b/>
        </w:rPr>
        <w:t xml:space="preserve">żyje z nierozpoznaną cukrzycą. W obliczu tych faktów ogromne znaczenie zyskuje efektywność opieki medycznej, której istotnym elementem są nowoczesne technologie. </w:t>
      </w:r>
    </w:p>
    <w:p w14:paraId="7B7D0CFE" w14:textId="77777777" w:rsidR="000A28CB" w:rsidRPr="002926D8" w:rsidRDefault="000A28CB" w:rsidP="002926D8">
      <w:pPr>
        <w:jc w:val="both"/>
        <w:rPr>
          <w:rFonts w:ascii="Arial" w:hAnsi="Arial" w:cs="Arial"/>
          <w:b/>
        </w:rPr>
      </w:pPr>
    </w:p>
    <w:p w14:paraId="076862D0" w14:textId="77777777" w:rsidR="00C25526" w:rsidRPr="0018215F" w:rsidRDefault="00C25526" w:rsidP="000A28CB">
      <w:pPr>
        <w:jc w:val="both"/>
        <w:rPr>
          <w:rFonts w:ascii="Arial" w:hAnsi="Arial" w:cs="Arial"/>
        </w:rPr>
      </w:pPr>
      <w:r w:rsidRPr="002926D8">
        <w:rPr>
          <w:rFonts w:ascii="Arial" w:hAnsi="Arial" w:cs="Arial"/>
        </w:rPr>
        <w:t>Cukrzyca nie jest wyłącznie chorobą seniorów. Stanowi</w:t>
      </w:r>
      <w:r w:rsidR="000A28CB">
        <w:rPr>
          <w:rFonts w:ascii="Arial" w:hAnsi="Arial" w:cs="Arial"/>
        </w:rPr>
        <w:t xml:space="preserve"> ona</w:t>
      </w:r>
      <w:r w:rsidRPr="002926D8">
        <w:rPr>
          <w:rFonts w:ascii="Arial" w:hAnsi="Arial" w:cs="Arial"/>
        </w:rPr>
        <w:t xml:space="preserve"> duży problem całej populacji – również osób aktywnych zawodowo. </w:t>
      </w:r>
      <w:r w:rsidR="008B155E">
        <w:rPr>
          <w:rFonts w:ascii="Arial" w:hAnsi="Arial" w:cs="Arial"/>
        </w:rPr>
        <w:t>Źródło takiej skali zachorowań wyraźnie pokazują dane mówiące o stylu życia i stanie naszej kondycji fizycznej</w:t>
      </w:r>
      <w:r w:rsidR="00CF4420">
        <w:rPr>
          <w:rFonts w:ascii="Arial" w:hAnsi="Arial" w:cs="Arial"/>
        </w:rPr>
        <w:t xml:space="preserve">. </w:t>
      </w:r>
      <w:r w:rsidR="008B155E">
        <w:rPr>
          <w:rFonts w:ascii="Arial" w:hAnsi="Arial" w:cs="Arial"/>
        </w:rPr>
        <w:t>Poziom otyłoś</w:t>
      </w:r>
      <w:r w:rsidR="00CF4420">
        <w:rPr>
          <w:rFonts w:ascii="Arial" w:hAnsi="Arial" w:cs="Arial"/>
        </w:rPr>
        <w:t>ci</w:t>
      </w:r>
      <w:r w:rsidR="008B155E">
        <w:rPr>
          <w:rFonts w:ascii="Arial" w:hAnsi="Arial" w:cs="Arial"/>
        </w:rPr>
        <w:t xml:space="preserve"> w ostatnich dziesięcioleciach wzrósł niemal we wszystkich krajach OECD. Obecnie średnio 56 proc. ludności </w:t>
      </w:r>
      <w:r w:rsidR="008B155E" w:rsidRPr="0018215F">
        <w:rPr>
          <w:rFonts w:ascii="Arial" w:hAnsi="Arial" w:cs="Arial"/>
        </w:rPr>
        <w:t xml:space="preserve">ma nadwagę lub jest otyła. </w:t>
      </w:r>
    </w:p>
    <w:p w14:paraId="4AA386D3" w14:textId="5684E238" w:rsidR="00077D0F" w:rsidRPr="0018215F" w:rsidRDefault="008B155E" w:rsidP="0018215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  <w:r w:rsidRPr="0018215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- </w:t>
      </w:r>
      <w:r w:rsidR="0018215F" w:rsidRPr="0018215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Przyczyną otyłości jest przede wszystkim niezdrowy tryb życia. W przypadku diety wpływ ma przede wszystkim nadmierne spożywanie słonych, słodkich i wysoko przetworzonych produktów. Drugim </w:t>
      </w:r>
      <w:r w:rsidR="00EA0F44">
        <w:rPr>
          <w:rFonts w:ascii="Arial" w:eastAsiaTheme="minorHAnsi" w:hAnsi="Arial" w:cs="Arial"/>
          <w:i/>
          <w:sz w:val="22"/>
          <w:szCs w:val="22"/>
          <w:lang w:eastAsia="en-US"/>
        </w:rPr>
        <w:t>czynnikiem</w:t>
      </w:r>
      <w:r w:rsidR="0018215F" w:rsidRPr="0018215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jest brak aktywności fizycznej. </w:t>
      </w:r>
      <w:r w:rsidR="00EA0F4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A towarzyszący nam na co dzień </w:t>
      </w:r>
      <w:r w:rsidR="0018215F" w:rsidRPr="0018215F">
        <w:rPr>
          <w:rFonts w:ascii="Arial" w:eastAsiaTheme="minorHAnsi" w:hAnsi="Arial" w:cs="Arial"/>
          <w:i/>
          <w:sz w:val="22"/>
          <w:szCs w:val="22"/>
          <w:lang w:eastAsia="en-US"/>
        </w:rPr>
        <w:t>stres</w:t>
      </w:r>
      <w:r w:rsidR="00EA0F4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="0018215F" w:rsidRPr="0018215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często powoduje wzmożony apetyt, chęć podjadania produktów, które są łatwo dostępne. </w:t>
      </w:r>
      <w:r w:rsidR="00EA0F44">
        <w:rPr>
          <w:rFonts w:ascii="Arial" w:eastAsiaTheme="minorHAnsi" w:hAnsi="Arial" w:cs="Arial"/>
          <w:i/>
          <w:sz w:val="22"/>
          <w:szCs w:val="22"/>
          <w:lang w:eastAsia="en-US"/>
        </w:rPr>
        <w:t>To główne czynniki</w:t>
      </w:r>
      <w:r w:rsidR="0018215F" w:rsidRPr="0018215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, </w:t>
      </w:r>
      <w:r w:rsidR="00EA0F44">
        <w:rPr>
          <w:rFonts w:ascii="Arial" w:eastAsiaTheme="minorHAnsi" w:hAnsi="Arial" w:cs="Arial"/>
          <w:i/>
          <w:sz w:val="22"/>
          <w:szCs w:val="22"/>
          <w:lang w:eastAsia="en-US"/>
        </w:rPr>
        <w:t>które powodują, iż</w:t>
      </w:r>
      <w:r w:rsidR="0018215F" w:rsidRPr="0018215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nabieramy kilogramów i jesteśmy bardziej zagrożeni zachorowaniem</w:t>
      </w:r>
      <w:r w:rsidR="00EA0F44">
        <w:rPr>
          <w:rFonts w:ascii="Arial" w:eastAsiaTheme="minorHAnsi" w:hAnsi="Arial" w:cs="Arial"/>
          <w:i/>
          <w:sz w:val="22"/>
          <w:szCs w:val="22"/>
          <w:lang w:eastAsia="en-US"/>
        </w:rPr>
        <w:t>,</w:t>
      </w:r>
      <w:r w:rsidR="0018215F" w:rsidRPr="0018215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m.in. na cukrzycę</w:t>
      </w:r>
      <w:r w:rsidR="0018215F" w:rsidRPr="0018215F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18215F">
        <w:rPr>
          <w:rFonts w:ascii="Arial" w:eastAsiaTheme="minorHAnsi" w:hAnsi="Arial" w:cs="Arial"/>
          <w:sz w:val="22"/>
          <w:szCs w:val="22"/>
          <w:lang w:eastAsia="en-US"/>
        </w:rPr>
        <w:t xml:space="preserve">– </w:t>
      </w:r>
      <w:r w:rsidR="00CF4420" w:rsidRPr="0018215F">
        <w:rPr>
          <w:rFonts w:ascii="Arial" w:eastAsiaTheme="minorHAnsi" w:hAnsi="Arial" w:cs="Arial"/>
          <w:sz w:val="22"/>
          <w:szCs w:val="22"/>
          <w:lang w:eastAsia="en-US"/>
        </w:rPr>
        <w:t>mówi</w:t>
      </w:r>
      <w:r w:rsidR="00CF4420" w:rsidRPr="0018215F">
        <w:rPr>
          <w:rFonts w:ascii="Arial" w:hAnsi="Arial" w:cs="Arial"/>
          <w:sz w:val="22"/>
          <w:szCs w:val="22"/>
        </w:rPr>
        <w:t xml:space="preserve"> </w:t>
      </w:r>
      <w:r w:rsidR="00CF4420" w:rsidRPr="0018215F">
        <w:rPr>
          <w:rFonts w:ascii="Arial" w:hAnsi="Arial" w:cs="Arial"/>
          <w:b/>
          <w:sz w:val="22"/>
          <w:szCs w:val="22"/>
        </w:rPr>
        <w:t xml:space="preserve">dr n. med. </w:t>
      </w:r>
      <w:r w:rsidR="00455719" w:rsidRPr="0018215F">
        <w:rPr>
          <w:rFonts w:ascii="Arial" w:hAnsi="Arial" w:cs="Arial"/>
          <w:b/>
          <w:sz w:val="22"/>
          <w:szCs w:val="22"/>
        </w:rPr>
        <w:t>Patrycja Wachowska-Kelly, lekarz specjalista chorób wewnętrznych i leczenia otyłości, Szpital Medicover.</w:t>
      </w:r>
      <w:r w:rsidR="00455719" w:rsidRPr="0018215F">
        <w:rPr>
          <w:rFonts w:ascii="Arial" w:hAnsi="Arial" w:cs="Arial"/>
          <w:color w:val="555555"/>
          <w:sz w:val="22"/>
          <w:szCs w:val="22"/>
          <w:shd w:val="clear" w:color="auto" w:fill="FFFFFF"/>
        </w:rPr>
        <w:t xml:space="preserve"> </w:t>
      </w:r>
    </w:p>
    <w:p w14:paraId="639D139B" w14:textId="0E30CFAE" w:rsidR="00866540" w:rsidRPr="0018215F" w:rsidRDefault="00A57E19" w:rsidP="00CF4420">
      <w:pPr>
        <w:jc w:val="both"/>
        <w:rPr>
          <w:rFonts w:ascii="Arial" w:hAnsi="Arial" w:cs="Arial"/>
          <w:b/>
        </w:rPr>
      </w:pPr>
      <w:r w:rsidRPr="0018215F">
        <w:rPr>
          <w:rFonts w:ascii="Arial" w:hAnsi="Arial" w:cs="Arial"/>
          <w:b/>
        </w:rPr>
        <w:t xml:space="preserve">Cukrzyca jest chorobą przewlekłą, w której </w:t>
      </w:r>
      <w:r w:rsidR="00CF4420" w:rsidRPr="0018215F">
        <w:rPr>
          <w:rFonts w:ascii="Arial" w:hAnsi="Arial" w:cs="Arial"/>
          <w:b/>
        </w:rPr>
        <w:t xml:space="preserve">bardzo silnie </w:t>
      </w:r>
      <w:r w:rsidR="006832ED">
        <w:rPr>
          <w:rFonts w:ascii="Arial" w:hAnsi="Arial" w:cs="Arial"/>
          <w:b/>
        </w:rPr>
        <w:t>widoczna</w:t>
      </w:r>
      <w:r w:rsidRPr="0018215F">
        <w:rPr>
          <w:rFonts w:ascii="Arial" w:hAnsi="Arial" w:cs="Arial"/>
          <w:b/>
        </w:rPr>
        <w:t xml:space="preserve"> jest potrzeba samoleczenia.</w:t>
      </w:r>
      <w:r w:rsidR="00CF4420" w:rsidRPr="0018215F">
        <w:rPr>
          <w:rFonts w:ascii="Arial" w:hAnsi="Arial" w:cs="Arial"/>
          <w:b/>
        </w:rPr>
        <w:t xml:space="preserve"> </w:t>
      </w:r>
    </w:p>
    <w:p w14:paraId="0C67033E" w14:textId="77777777" w:rsidR="0018215F" w:rsidRDefault="00CF4420" w:rsidP="00866540">
      <w:pPr>
        <w:jc w:val="both"/>
        <w:rPr>
          <w:rFonts w:ascii="Arial" w:hAnsi="Arial" w:cs="Arial"/>
          <w:b/>
        </w:rPr>
      </w:pPr>
      <w:r w:rsidRPr="00CF4420">
        <w:rPr>
          <w:rFonts w:ascii="Arial" w:hAnsi="Arial" w:cs="Arial"/>
          <w:i/>
        </w:rPr>
        <w:t>- Chory musi nauczyć się</w:t>
      </w:r>
      <w:r w:rsidR="00A57E19" w:rsidRPr="00CF4420">
        <w:rPr>
          <w:rFonts w:ascii="Arial" w:hAnsi="Arial" w:cs="Arial"/>
          <w:i/>
        </w:rPr>
        <w:t>, jak czytać wyniki glikemii, jak dostosowywać dawkę insuliny, czy leku doustnego</w:t>
      </w:r>
      <w:r w:rsidRPr="00CF4420">
        <w:rPr>
          <w:rFonts w:ascii="Arial" w:hAnsi="Arial" w:cs="Arial"/>
          <w:i/>
        </w:rPr>
        <w:t>. Kluczowa jest jednak zmiana stylu życia – należy zadbać o dietę, kondycję fizyczną, zarządzić takimi czynnikami ryzyka, jak palenie tytuniu, czy nadciśnienie tętnicze krwi</w:t>
      </w:r>
      <w:r>
        <w:rPr>
          <w:rFonts w:ascii="Arial" w:hAnsi="Arial" w:cs="Arial"/>
          <w:i/>
        </w:rPr>
        <w:t>. Dla większości pacjentów to stanowi największe wyzwanie</w:t>
      </w:r>
      <w:r>
        <w:rPr>
          <w:rFonts w:ascii="Arial" w:hAnsi="Arial" w:cs="Arial"/>
        </w:rPr>
        <w:t xml:space="preserve"> - mówi </w:t>
      </w:r>
      <w:r w:rsidR="0018215F" w:rsidRPr="0018215F">
        <w:rPr>
          <w:rFonts w:ascii="Arial" w:hAnsi="Arial" w:cs="Arial"/>
          <w:b/>
        </w:rPr>
        <w:t>dr n. med. Patrycja Wachowska-Kelly</w:t>
      </w:r>
      <w:r w:rsidR="0018215F">
        <w:rPr>
          <w:rFonts w:ascii="Arial" w:hAnsi="Arial" w:cs="Arial"/>
          <w:b/>
        </w:rPr>
        <w:t>.</w:t>
      </w:r>
    </w:p>
    <w:p w14:paraId="2F5AD1A1" w14:textId="0C03BBEE" w:rsidR="00866540" w:rsidRDefault="00CF4420" w:rsidP="00866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Opieka nad pacjentem z cukrzycą powinna koncentrować się </w:t>
      </w:r>
      <w:r w:rsidR="00EA0F44">
        <w:rPr>
          <w:rFonts w:ascii="Arial" w:hAnsi="Arial" w:cs="Arial"/>
        </w:rPr>
        <w:t xml:space="preserve">na wsparciu </w:t>
      </w:r>
      <w:r w:rsidR="00866540">
        <w:rPr>
          <w:rFonts w:ascii="Arial" w:hAnsi="Arial" w:cs="Arial"/>
        </w:rPr>
        <w:t xml:space="preserve">w tej części procesu leczenia, która odbywa się poza gabinetem lekarskim. Dzięki takiemu podejściu zarówno </w:t>
      </w:r>
      <w:r w:rsidR="00866540" w:rsidRPr="002926D8">
        <w:rPr>
          <w:rFonts w:ascii="Arial" w:hAnsi="Arial" w:cs="Arial"/>
        </w:rPr>
        <w:t xml:space="preserve">osiągane efekty </w:t>
      </w:r>
      <w:r w:rsidR="00866540">
        <w:rPr>
          <w:rFonts w:ascii="Arial" w:hAnsi="Arial" w:cs="Arial"/>
        </w:rPr>
        <w:t xml:space="preserve">zdrowotne </w:t>
      </w:r>
      <w:r w:rsidR="00866540" w:rsidRPr="002926D8">
        <w:rPr>
          <w:rFonts w:ascii="Arial" w:hAnsi="Arial" w:cs="Arial"/>
        </w:rPr>
        <w:t>są lepsze, jak i mniejsze jest ryzyko hospitalizacji.</w:t>
      </w:r>
      <w:r w:rsidR="00866540">
        <w:rPr>
          <w:rFonts w:ascii="Arial" w:hAnsi="Arial" w:cs="Arial"/>
        </w:rPr>
        <w:t xml:space="preserve"> Doświadczenia Medicover Polska pokazują, że fundamentalne są trzy elementy: </w:t>
      </w:r>
    </w:p>
    <w:p w14:paraId="4A28DBF0" w14:textId="23CCFCF6" w:rsidR="008F3D2B" w:rsidRDefault="008F3D2B" w:rsidP="008F3D2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7D8B">
        <w:rPr>
          <w:rFonts w:ascii="Arial" w:hAnsi="Arial" w:cs="Arial"/>
          <w:b/>
        </w:rPr>
        <w:t xml:space="preserve">Koordynacja opieki zdrowotnej z </w:t>
      </w:r>
      <w:r w:rsidR="00866540" w:rsidRPr="00107D8B">
        <w:rPr>
          <w:rFonts w:ascii="Arial" w:hAnsi="Arial" w:cs="Arial"/>
          <w:b/>
        </w:rPr>
        <w:t>dostęp</w:t>
      </w:r>
      <w:r w:rsidRPr="00107D8B">
        <w:rPr>
          <w:rFonts w:ascii="Arial" w:hAnsi="Arial" w:cs="Arial"/>
          <w:b/>
        </w:rPr>
        <w:t>em</w:t>
      </w:r>
      <w:r w:rsidR="00866540" w:rsidRPr="00107D8B">
        <w:rPr>
          <w:rFonts w:ascii="Arial" w:hAnsi="Arial" w:cs="Arial"/>
          <w:b/>
        </w:rPr>
        <w:t xml:space="preserve"> do badań diagnostycznych</w:t>
      </w:r>
      <w:r w:rsidRPr="00107D8B">
        <w:rPr>
          <w:rFonts w:ascii="Arial" w:hAnsi="Arial" w:cs="Arial"/>
          <w:b/>
        </w:rPr>
        <w:t xml:space="preserve"> i konsultacji specjalistów</w:t>
      </w:r>
      <w:r w:rsidR="00107D8B" w:rsidRPr="00107D8B">
        <w:rPr>
          <w:rFonts w:ascii="Arial" w:hAnsi="Arial" w:cs="Arial"/>
          <w:b/>
        </w:rPr>
        <w:t>.</w:t>
      </w:r>
      <w:r w:rsidR="00107D8B">
        <w:rPr>
          <w:rFonts w:ascii="Arial" w:hAnsi="Arial" w:cs="Arial"/>
        </w:rPr>
        <w:t xml:space="preserve"> </w:t>
      </w:r>
      <w:r w:rsidRPr="00107D8B">
        <w:rPr>
          <w:rFonts w:ascii="Arial" w:hAnsi="Arial" w:cs="Arial"/>
        </w:rPr>
        <w:t>W przypadku schorzeń przewlekłych takich jak cukrzyca, na znaczeniu zyskuje całościowe podejście do zdrowia pacjenta. Wymaga nie tylko systematycznego kontaktu z lekarzem POZ czy diabetologiem, ale również doraźnych konsultacji ze specjalistami – okulistą, neurologiem</w:t>
      </w:r>
      <w:r w:rsidR="009A1DF2">
        <w:rPr>
          <w:rFonts w:ascii="Arial" w:hAnsi="Arial" w:cs="Arial"/>
        </w:rPr>
        <w:t>, nefro</w:t>
      </w:r>
      <w:bookmarkStart w:id="0" w:name="_GoBack"/>
      <w:bookmarkEnd w:id="0"/>
      <w:r w:rsidR="009A1DF2">
        <w:rPr>
          <w:rFonts w:ascii="Arial" w:hAnsi="Arial" w:cs="Arial"/>
        </w:rPr>
        <w:t>logiem</w:t>
      </w:r>
      <w:r w:rsidRPr="00107D8B">
        <w:rPr>
          <w:rFonts w:ascii="Arial" w:hAnsi="Arial" w:cs="Arial"/>
        </w:rPr>
        <w:t xml:space="preserve">, czy endokrynologiem. </w:t>
      </w:r>
    </w:p>
    <w:p w14:paraId="1C8A66D9" w14:textId="77777777" w:rsidR="00107D8B" w:rsidRPr="00107D8B" w:rsidRDefault="00107D8B" w:rsidP="00107D8B">
      <w:pPr>
        <w:pStyle w:val="Akapitzlist"/>
        <w:jc w:val="both"/>
        <w:rPr>
          <w:rFonts w:ascii="Arial" w:hAnsi="Arial" w:cs="Arial"/>
        </w:rPr>
      </w:pPr>
    </w:p>
    <w:p w14:paraId="357394E8" w14:textId="36B50218" w:rsidR="004927C4" w:rsidRPr="004927C4" w:rsidRDefault="00866540" w:rsidP="00A424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C4">
        <w:rPr>
          <w:rFonts w:ascii="Arial" w:hAnsi="Arial" w:cs="Arial"/>
          <w:b/>
        </w:rPr>
        <w:t xml:space="preserve">Świadomość zdrowotna pacjentów zbudowana dzięki skutecznej edukacji. </w:t>
      </w:r>
      <w:r w:rsidR="004927C4" w:rsidRPr="004927C4">
        <w:rPr>
          <w:rFonts w:ascii="Arial" w:hAnsi="Arial" w:cs="Arial"/>
        </w:rPr>
        <w:t>Bardzo ważnym aspektem jest motywacja pacjenta do stosowania zaleceń lekarza oraz możliwość uzyskania wiedzy na tematy medyczne, które pomogą pacjentowi lepiej zarządzać swoim zdrowiem.</w:t>
      </w:r>
      <w:r w:rsidR="004927C4">
        <w:rPr>
          <w:rFonts w:ascii="Arial" w:hAnsi="Arial" w:cs="Arial"/>
        </w:rPr>
        <w:t xml:space="preserve"> </w:t>
      </w:r>
      <w:r w:rsidR="004927C4" w:rsidRPr="004927C4">
        <w:rPr>
          <w:rFonts w:ascii="Arial" w:hAnsi="Arial" w:cs="Arial"/>
        </w:rPr>
        <w:t xml:space="preserve">Dobrym przykładem takiego wsparcia jest portal medicover.pl, w którym pacjent może </w:t>
      </w:r>
      <w:r w:rsidR="00EA0F44">
        <w:rPr>
          <w:rFonts w:ascii="Arial" w:hAnsi="Arial" w:cs="Arial"/>
        </w:rPr>
        <w:t xml:space="preserve">znaleźć </w:t>
      </w:r>
      <w:r w:rsidR="004927C4" w:rsidRPr="004927C4">
        <w:rPr>
          <w:rFonts w:ascii="Arial" w:hAnsi="Arial" w:cs="Arial"/>
        </w:rPr>
        <w:t xml:space="preserve">rzetelną informację na temat zdrowia i swoich problemów oraz </w:t>
      </w:r>
      <w:r w:rsidR="00EA0F44">
        <w:rPr>
          <w:rFonts w:ascii="Arial" w:hAnsi="Arial" w:cs="Arial"/>
        </w:rPr>
        <w:t xml:space="preserve">uzyskać </w:t>
      </w:r>
      <w:r w:rsidR="004927C4" w:rsidRPr="004927C4">
        <w:rPr>
          <w:rFonts w:ascii="Arial" w:hAnsi="Arial" w:cs="Arial"/>
        </w:rPr>
        <w:t>odpowiedzi na nurtujące pytania</w:t>
      </w:r>
      <w:r w:rsidR="00EA0F44">
        <w:rPr>
          <w:rFonts w:ascii="Arial" w:hAnsi="Arial" w:cs="Arial"/>
        </w:rPr>
        <w:t xml:space="preserve"> związane z chorobą</w:t>
      </w:r>
      <w:r w:rsidR="004927C4" w:rsidRPr="004927C4">
        <w:rPr>
          <w:rFonts w:ascii="Arial" w:hAnsi="Arial" w:cs="Arial"/>
        </w:rPr>
        <w:t>.</w:t>
      </w:r>
    </w:p>
    <w:p w14:paraId="629FC16B" w14:textId="77777777" w:rsidR="00107D8B" w:rsidRDefault="00107D8B" w:rsidP="00107D8B">
      <w:pPr>
        <w:pStyle w:val="Akapitzlist"/>
        <w:jc w:val="both"/>
        <w:rPr>
          <w:rFonts w:ascii="Arial" w:hAnsi="Arial" w:cs="Arial"/>
        </w:rPr>
      </w:pPr>
    </w:p>
    <w:p w14:paraId="4A354665" w14:textId="77777777" w:rsidR="00B73150" w:rsidRDefault="00866540" w:rsidP="00B7315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7D8B">
        <w:rPr>
          <w:rFonts w:ascii="Arial" w:hAnsi="Arial" w:cs="Arial"/>
          <w:b/>
        </w:rPr>
        <w:t xml:space="preserve">Możliwość regularnego kontaktu </w:t>
      </w:r>
      <w:r w:rsidR="00C2145E" w:rsidRPr="00107D8B">
        <w:rPr>
          <w:rFonts w:ascii="Arial" w:hAnsi="Arial" w:cs="Arial"/>
          <w:b/>
        </w:rPr>
        <w:t>z lekarzem</w:t>
      </w:r>
      <w:r w:rsidR="00D503FD" w:rsidRPr="00107D8B">
        <w:rPr>
          <w:rFonts w:ascii="Arial" w:hAnsi="Arial" w:cs="Arial"/>
          <w:b/>
        </w:rPr>
        <w:t xml:space="preserve"> nie tylko </w:t>
      </w:r>
      <w:r w:rsidR="00C25526" w:rsidRPr="00107D8B">
        <w:rPr>
          <w:rFonts w:ascii="Arial" w:hAnsi="Arial" w:cs="Arial"/>
          <w:b/>
        </w:rPr>
        <w:t>podczas stacjonarnej wizyty, ale również w formie zdalnej</w:t>
      </w:r>
      <w:r w:rsidRPr="00107D8B">
        <w:rPr>
          <w:rFonts w:ascii="Arial" w:hAnsi="Arial" w:cs="Arial"/>
          <w:b/>
        </w:rPr>
        <w:t xml:space="preserve"> porady.</w:t>
      </w:r>
      <w:r w:rsidRPr="00107D8B">
        <w:rPr>
          <w:rFonts w:ascii="Arial" w:hAnsi="Arial" w:cs="Arial"/>
        </w:rPr>
        <w:t xml:space="preserve"> </w:t>
      </w:r>
    </w:p>
    <w:p w14:paraId="78DA5BEB" w14:textId="77777777" w:rsidR="00B73150" w:rsidRPr="00B73150" w:rsidRDefault="00B73150" w:rsidP="00B73150">
      <w:pPr>
        <w:pStyle w:val="Akapitzlist"/>
        <w:rPr>
          <w:rFonts w:ascii="Arial" w:hAnsi="Arial" w:cs="Arial"/>
          <w:i/>
        </w:rPr>
      </w:pPr>
    </w:p>
    <w:p w14:paraId="25CC1631" w14:textId="58EFDC53" w:rsidR="00C2145E" w:rsidRPr="00107D8B" w:rsidRDefault="008F3D2B" w:rsidP="00B73150">
      <w:pPr>
        <w:pStyle w:val="Akapitzlist"/>
        <w:jc w:val="both"/>
        <w:rPr>
          <w:rFonts w:ascii="Arial" w:hAnsi="Arial" w:cs="Arial"/>
        </w:rPr>
      </w:pPr>
      <w:r w:rsidRPr="00B73150">
        <w:rPr>
          <w:rFonts w:ascii="Arial" w:hAnsi="Arial" w:cs="Arial"/>
          <w:i/>
        </w:rPr>
        <w:t>- Usługi telemedyczne są szczególnie istotne przy chorobach przewlekłych, ponieważ stały kontakt z lekarzem i nadzór nad procesem daje zdecydowanie lepsze efekty niż sporadyczne wizyty u lekarza. Telemedycyna pozwala</w:t>
      </w:r>
      <w:r w:rsidR="00EA0F44">
        <w:rPr>
          <w:rFonts w:ascii="Arial" w:hAnsi="Arial" w:cs="Arial"/>
          <w:i/>
        </w:rPr>
        <w:t>,</w:t>
      </w:r>
      <w:r w:rsidRPr="00B73150">
        <w:rPr>
          <w:rFonts w:ascii="Arial" w:hAnsi="Arial" w:cs="Arial"/>
          <w:i/>
        </w:rPr>
        <w:t xml:space="preserve"> m.in. na ciągły nadzór nad kluczowymi parametrami </w:t>
      </w:r>
      <w:r w:rsidRPr="00B73150">
        <w:rPr>
          <w:rFonts w:ascii="Arial" w:hAnsi="Arial" w:cs="Arial"/>
        </w:rPr>
        <w:t xml:space="preserve">– wyjaśnia </w:t>
      </w:r>
      <w:r w:rsidR="00B73150" w:rsidRPr="00B73150">
        <w:rPr>
          <w:rFonts w:ascii="Arial" w:hAnsi="Arial" w:cs="Arial"/>
          <w:b/>
        </w:rPr>
        <w:t>dr n. med. Piotr Soszyński</w:t>
      </w:r>
      <w:r w:rsidR="00B73150">
        <w:rPr>
          <w:rFonts w:ascii="Arial" w:hAnsi="Arial" w:cs="Arial"/>
          <w:b/>
        </w:rPr>
        <w:t xml:space="preserve">, Dyrektor ds. </w:t>
      </w:r>
      <w:r w:rsidR="00B73150" w:rsidRPr="00B73150">
        <w:rPr>
          <w:rFonts w:ascii="Arial" w:hAnsi="Arial" w:cs="Arial"/>
          <w:b/>
        </w:rPr>
        <w:t>Medycznego Doradztwa Strategicznego Medicover Polska.</w:t>
      </w:r>
      <w:r w:rsidR="00B73150">
        <w:rPr>
          <w:rFonts w:ascii="Arial" w:hAnsi="Arial" w:cs="Arial"/>
          <w:b/>
        </w:rPr>
        <w:t xml:space="preserve"> </w:t>
      </w:r>
      <w:r w:rsidR="00107D8B">
        <w:rPr>
          <w:rFonts w:ascii="Arial" w:hAnsi="Arial" w:cs="Arial"/>
        </w:rPr>
        <w:t>Osoby z cukrzycą mogą być wspierane również poprzez aplikacje mobilne, które automatyz</w:t>
      </w:r>
      <w:r w:rsidR="00EA0F44">
        <w:rPr>
          <w:rFonts w:ascii="Arial" w:hAnsi="Arial" w:cs="Arial"/>
        </w:rPr>
        <w:t>ują</w:t>
      </w:r>
      <w:r w:rsidR="00107D8B">
        <w:rPr>
          <w:rFonts w:ascii="Arial" w:hAnsi="Arial" w:cs="Arial"/>
        </w:rPr>
        <w:t xml:space="preserve"> wiele zadań, takich jak przypomnienie o przyjęciu leków, czy nadzór na wynikami pomiarów.  </w:t>
      </w:r>
    </w:p>
    <w:p w14:paraId="217C13FE" w14:textId="422620E0" w:rsidR="00C25526" w:rsidRDefault="00107D8B" w:rsidP="00B73150">
      <w:pPr>
        <w:jc w:val="both"/>
        <w:rPr>
          <w:rFonts w:ascii="Arial" w:hAnsi="Arial" w:cs="Arial"/>
          <w:b/>
        </w:rPr>
      </w:pPr>
      <w:r w:rsidRPr="00107D8B">
        <w:rPr>
          <w:rFonts w:ascii="Arial" w:hAnsi="Arial" w:cs="Arial"/>
          <w:b/>
        </w:rPr>
        <w:t xml:space="preserve">Świadome zarządzanie procesem leczenia </w:t>
      </w:r>
      <w:r>
        <w:rPr>
          <w:rFonts w:ascii="Arial" w:hAnsi="Arial" w:cs="Arial"/>
          <w:b/>
        </w:rPr>
        <w:t xml:space="preserve">osób z chorych przewlekle </w:t>
      </w:r>
      <w:r w:rsidRPr="00107D8B">
        <w:rPr>
          <w:rFonts w:ascii="Arial" w:hAnsi="Arial" w:cs="Arial"/>
          <w:b/>
        </w:rPr>
        <w:t>daje wymierne korzyści</w:t>
      </w:r>
      <w:r w:rsidR="00EA0F44">
        <w:rPr>
          <w:rFonts w:ascii="Arial" w:hAnsi="Arial" w:cs="Arial"/>
          <w:b/>
        </w:rPr>
        <w:t>.</w:t>
      </w:r>
    </w:p>
    <w:p w14:paraId="3017C7F9" w14:textId="6D8DB023" w:rsidR="00107D8B" w:rsidRPr="00107D8B" w:rsidRDefault="00107D8B" w:rsidP="00107D8B">
      <w:pPr>
        <w:jc w:val="both"/>
        <w:rPr>
          <w:rFonts w:ascii="Arial" w:hAnsi="Arial" w:cs="Arial"/>
        </w:rPr>
      </w:pPr>
      <w:r w:rsidRPr="00107D8B">
        <w:rPr>
          <w:rFonts w:ascii="Arial" w:hAnsi="Arial" w:cs="Arial"/>
        </w:rPr>
        <w:t xml:space="preserve">Z </w:t>
      </w:r>
      <w:r w:rsidR="0018215F">
        <w:rPr>
          <w:rFonts w:ascii="Arial" w:hAnsi="Arial" w:cs="Arial"/>
        </w:rPr>
        <w:t xml:space="preserve">opracowanego przez ekspertów Medicover </w:t>
      </w:r>
      <w:r w:rsidRPr="00107D8B">
        <w:rPr>
          <w:rFonts w:ascii="Arial" w:hAnsi="Arial" w:cs="Arial"/>
        </w:rPr>
        <w:t xml:space="preserve">raportu </w:t>
      </w:r>
      <w:r>
        <w:rPr>
          <w:rFonts w:ascii="Arial" w:hAnsi="Arial" w:cs="Arial"/>
        </w:rPr>
        <w:t>„Praca. Zdrowie. Ekonomia” wynika, że Medicover Polska osiąg</w:t>
      </w:r>
      <w:r w:rsidR="00EA0F4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trzykrotnie lepsze wyniki leczenia osób z cukrzycą niż średnio w systemie publicznym w Polsce. Przekłada się to również na korzyści ekonomiczne. </w:t>
      </w:r>
      <w:r w:rsidRPr="00107D8B">
        <w:rPr>
          <w:rFonts w:ascii="Arial" w:hAnsi="Arial" w:cs="Arial"/>
        </w:rPr>
        <w:t xml:space="preserve">Koszt </w:t>
      </w:r>
      <w:r w:rsidR="00EA0F44">
        <w:rPr>
          <w:rFonts w:ascii="Arial" w:hAnsi="Arial" w:cs="Arial"/>
        </w:rPr>
        <w:t xml:space="preserve">leczenia </w:t>
      </w:r>
      <w:r w:rsidRPr="00107D8B">
        <w:rPr>
          <w:rFonts w:ascii="Arial" w:hAnsi="Arial" w:cs="Arial"/>
        </w:rPr>
        <w:t>cukrzycy na jednego pracownika pod opieką Medicover jest ponad 6 razy niższy niż w przypadku przeciętnego pracownika w Polsce.</w:t>
      </w:r>
    </w:p>
    <w:p w14:paraId="1B5F66FD" w14:textId="50DE0410" w:rsidR="00CF4420" w:rsidRDefault="00CF4420" w:rsidP="00866540">
      <w:pPr>
        <w:jc w:val="both"/>
        <w:rPr>
          <w:rFonts w:ascii="Arial" w:hAnsi="Arial" w:cs="Arial"/>
          <w:b/>
        </w:rPr>
      </w:pPr>
      <w:r w:rsidRPr="00CF4420">
        <w:rPr>
          <w:rFonts w:ascii="Arial" w:hAnsi="Arial" w:cs="Arial"/>
          <w:i/>
        </w:rPr>
        <w:t xml:space="preserve">- </w:t>
      </w:r>
      <w:r w:rsidR="00B73150">
        <w:rPr>
          <w:rFonts w:ascii="Arial" w:hAnsi="Arial" w:cs="Arial"/>
          <w:i/>
        </w:rPr>
        <w:t xml:space="preserve">System zdrowia w Polsce coraz silniej dostrzega potrzebę zarządzania </w:t>
      </w:r>
      <w:r w:rsidR="00077D0F" w:rsidRPr="00CF4420">
        <w:rPr>
          <w:rFonts w:ascii="Arial" w:hAnsi="Arial" w:cs="Arial"/>
          <w:i/>
        </w:rPr>
        <w:t xml:space="preserve"> </w:t>
      </w:r>
      <w:r w:rsidR="00B73150">
        <w:rPr>
          <w:rFonts w:ascii="Arial" w:hAnsi="Arial" w:cs="Arial"/>
          <w:i/>
        </w:rPr>
        <w:t xml:space="preserve">opieką medyczną w sposób ukierunkowany przede wszystkim na efekty leczenia. </w:t>
      </w:r>
      <w:r>
        <w:rPr>
          <w:rFonts w:ascii="Arial" w:hAnsi="Arial" w:cs="Arial"/>
          <w:i/>
        </w:rPr>
        <w:t xml:space="preserve">Z naszej perspektywy to bardzo potrzebny trend. </w:t>
      </w:r>
      <w:r w:rsidRPr="00CF4420">
        <w:rPr>
          <w:rFonts w:ascii="Arial" w:hAnsi="Arial" w:cs="Arial"/>
          <w:i/>
        </w:rPr>
        <w:t>W Medicover Polska już od lat cyklicznie monitorujemy wskaźniki jakościowe, które pozwalają badać efektywność leczenia chorób przewlekłych</w:t>
      </w:r>
      <w:r w:rsidR="00866540">
        <w:rPr>
          <w:rFonts w:ascii="Arial" w:hAnsi="Arial" w:cs="Arial"/>
          <w:i/>
        </w:rPr>
        <w:t xml:space="preserve"> – </w:t>
      </w:r>
      <w:r w:rsidR="00866540">
        <w:rPr>
          <w:rFonts w:ascii="Arial" w:hAnsi="Arial" w:cs="Arial"/>
        </w:rPr>
        <w:t xml:space="preserve">podsumowuje </w:t>
      </w:r>
      <w:r w:rsidR="00866540" w:rsidRPr="008B155E">
        <w:rPr>
          <w:rFonts w:ascii="Arial" w:hAnsi="Arial" w:cs="Arial"/>
          <w:b/>
        </w:rPr>
        <w:t>dr n. med. Piotr Soszyński</w:t>
      </w:r>
      <w:r w:rsidR="00866540">
        <w:rPr>
          <w:rFonts w:ascii="Arial" w:hAnsi="Arial" w:cs="Arial"/>
          <w:b/>
        </w:rPr>
        <w:t xml:space="preserve">. </w:t>
      </w:r>
    </w:p>
    <w:p w14:paraId="704EA843" w14:textId="39ADC944" w:rsidR="006832ED" w:rsidRDefault="006832ED" w:rsidP="00866540">
      <w:pPr>
        <w:jc w:val="both"/>
        <w:rPr>
          <w:rFonts w:ascii="Arial" w:hAnsi="Arial" w:cs="Arial"/>
        </w:rPr>
      </w:pPr>
    </w:p>
    <w:p w14:paraId="5B0F13D0" w14:textId="712BFD05" w:rsidR="006832ED" w:rsidRPr="006832ED" w:rsidRDefault="006832ED" w:rsidP="006832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5AF42202" w14:textId="05F2E12F" w:rsidR="006832ED" w:rsidRPr="006832ED" w:rsidRDefault="006832ED" w:rsidP="006832E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32ED">
        <w:rPr>
          <w:rFonts w:ascii="Arial" w:hAnsi="Arial" w:cs="Arial"/>
          <w:sz w:val="22"/>
          <w:szCs w:val="22"/>
        </w:rPr>
        <w:t xml:space="preserve">Raport „Praca. Zdrowie. Ekonomia. Perspektywa 2013-2017” dostępny jest na stronie: </w:t>
      </w:r>
      <w:hyperlink r:id="rId9" w:history="1">
        <w:r w:rsidRPr="006832ED">
          <w:rPr>
            <w:rFonts w:ascii="Arial" w:hAnsi="Arial" w:cs="Arial"/>
          </w:rPr>
          <w:t>http://biuroprasowe.medicover.pl/54571-inwestowanie-w-zdrowie-osob-aktywnych-zawodowo-szansa-na-poprawe-wydajnosci-pracy-i-oszczednosci-dla-pracodawcy</w:t>
        </w:r>
      </w:hyperlink>
      <w:r>
        <w:rPr>
          <w:rFonts w:ascii="Arial" w:hAnsi="Arial" w:cs="Arial"/>
        </w:rPr>
        <w:t xml:space="preserve"> </w:t>
      </w:r>
    </w:p>
    <w:p w14:paraId="35FEAEFC" w14:textId="292A64C5" w:rsidR="00CF4420" w:rsidRDefault="00CF4420">
      <w:pPr>
        <w:rPr>
          <w:rFonts w:ascii="Arial" w:hAnsi="Arial" w:cs="Arial"/>
        </w:rPr>
      </w:pPr>
    </w:p>
    <w:p w14:paraId="6D8B292D" w14:textId="0EB79D7C" w:rsidR="00EA0F44" w:rsidRDefault="00EA0F44">
      <w:pPr>
        <w:rPr>
          <w:rFonts w:ascii="Arial" w:hAnsi="Arial" w:cs="Arial"/>
        </w:rPr>
      </w:pPr>
    </w:p>
    <w:p w14:paraId="3669A512" w14:textId="77777777" w:rsidR="00EA0F44" w:rsidRPr="002926D8" w:rsidRDefault="00EA0F44">
      <w:pPr>
        <w:rPr>
          <w:rFonts w:ascii="Arial" w:hAnsi="Arial" w:cs="Arial"/>
        </w:rPr>
      </w:pPr>
    </w:p>
    <w:sectPr w:rsidR="00EA0F44" w:rsidRPr="002926D8" w:rsidSect="00107D8B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A813" w14:textId="77777777" w:rsidR="00114EF6" w:rsidRDefault="00114EF6" w:rsidP="000925FC">
      <w:pPr>
        <w:spacing w:after="0" w:line="240" w:lineRule="auto"/>
      </w:pPr>
      <w:r>
        <w:separator/>
      </w:r>
    </w:p>
  </w:endnote>
  <w:endnote w:type="continuationSeparator" w:id="0">
    <w:p w14:paraId="632A8FE8" w14:textId="77777777" w:rsidR="00114EF6" w:rsidRDefault="00114EF6" w:rsidP="0009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11BC1" w14:textId="77777777" w:rsidR="00114EF6" w:rsidRDefault="00114EF6" w:rsidP="000925FC">
      <w:pPr>
        <w:spacing w:after="0" w:line="240" w:lineRule="auto"/>
      </w:pPr>
      <w:r>
        <w:separator/>
      </w:r>
    </w:p>
  </w:footnote>
  <w:footnote w:type="continuationSeparator" w:id="0">
    <w:p w14:paraId="4E462555" w14:textId="77777777" w:rsidR="00114EF6" w:rsidRDefault="00114EF6" w:rsidP="000925FC">
      <w:pPr>
        <w:spacing w:after="0" w:line="240" w:lineRule="auto"/>
      </w:pPr>
      <w:r>
        <w:continuationSeparator/>
      </w:r>
    </w:p>
  </w:footnote>
  <w:footnote w:id="1">
    <w:p w14:paraId="3E59FC56" w14:textId="77777777" w:rsidR="002926D8" w:rsidRPr="00A81882" w:rsidRDefault="002926D8" w:rsidP="002926D8">
      <w:pPr>
        <w:rPr>
          <w:rFonts w:ascii="Arial" w:hAnsi="Arial" w:cs="Arial"/>
          <w:sz w:val="16"/>
          <w:szCs w:val="16"/>
          <w:lang w:val="en-US"/>
        </w:rPr>
      </w:pPr>
      <w:r w:rsidRPr="002926D8">
        <w:rPr>
          <w:rFonts w:ascii="Arial" w:hAnsi="Arial" w:cs="Arial"/>
          <w:sz w:val="16"/>
          <w:szCs w:val="16"/>
        </w:rPr>
        <w:footnoteRef/>
      </w:r>
      <w:r w:rsidRPr="00A81882">
        <w:rPr>
          <w:rFonts w:ascii="Arial" w:hAnsi="Arial" w:cs="Arial"/>
          <w:sz w:val="16"/>
          <w:szCs w:val="16"/>
          <w:lang w:val="en-US"/>
        </w:rPr>
        <w:t xml:space="preserve"> Health at a Glance 2019, OECD Indicators, 2019</w:t>
      </w:r>
    </w:p>
    <w:p w14:paraId="1D323AD9" w14:textId="77777777" w:rsidR="002926D8" w:rsidRPr="002926D8" w:rsidRDefault="002926D8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9B1"/>
    <w:multiLevelType w:val="hybridMultilevel"/>
    <w:tmpl w:val="874AA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5E"/>
    <w:rsid w:val="00075B47"/>
    <w:rsid w:val="00077D0F"/>
    <w:rsid w:val="000925FC"/>
    <w:rsid w:val="000A28CB"/>
    <w:rsid w:val="00107D8B"/>
    <w:rsid w:val="00114EF6"/>
    <w:rsid w:val="0018215F"/>
    <w:rsid w:val="001907B1"/>
    <w:rsid w:val="002926D8"/>
    <w:rsid w:val="00455719"/>
    <w:rsid w:val="004927C4"/>
    <w:rsid w:val="00560346"/>
    <w:rsid w:val="006832ED"/>
    <w:rsid w:val="00777E3C"/>
    <w:rsid w:val="007E54B6"/>
    <w:rsid w:val="00805F0F"/>
    <w:rsid w:val="008540FA"/>
    <w:rsid w:val="00866540"/>
    <w:rsid w:val="008B155E"/>
    <w:rsid w:val="008F3D2B"/>
    <w:rsid w:val="009A1DF2"/>
    <w:rsid w:val="00A57E19"/>
    <w:rsid w:val="00A81882"/>
    <w:rsid w:val="00B73150"/>
    <w:rsid w:val="00C2145E"/>
    <w:rsid w:val="00C2440E"/>
    <w:rsid w:val="00C25526"/>
    <w:rsid w:val="00C55DD8"/>
    <w:rsid w:val="00CF4420"/>
    <w:rsid w:val="00D503FD"/>
    <w:rsid w:val="00DC4EBE"/>
    <w:rsid w:val="00E15EF1"/>
    <w:rsid w:val="00EA0F44"/>
    <w:rsid w:val="00F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8A7B"/>
  <w15:docId w15:val="{E39C227C-49A6-43CF-AFC6-D0A36E4D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2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92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5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6D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926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26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eries">
    <w:name w:val="series"/>
    <w:basedOn w:val="Normalny"/>
    <w:rsid w:val="0029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ew-more">
    <w:name w:val="view-more"/>
    <w:basedOn w:val="Domylnaczcionkaakapitu"/>
    <w:rsid w:val="002926D8"/>
  </w:style>
  <w:style w:type="character" w:styleId="Hipercze">
    <w:name w:val="Hyperlink"/>
    <w:basedOn w:val="Domylnaczcionkaakapitu"/>
    <w:uiPriority w:val="99"/>
    <w:unhideWhenUsed/>
    <w:rsid w:val="002926D8"/>
    <w:rPr>
      <w:color w:val="0000FF"/>
      <w:u w:val="single"/>
    </w:rPr>
  </w:style>
  <w:style w:type="paragraph" w:customStyle="1" w:styleId="pub-info">
    <w:name w:val="pub-info"/>
    <w:basedOn w:val="Normalny"/>
    <w:rsid w:val="0029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b-date">
    <w:name w:val="pub-date"/>
    <w:basedOn w:val="Domylnaczcionkaakapitu"/>
    <w:rsid w:val="002926D8"/>
  </w:style>
  <w:style w:type="character" w:styleId="Uwydatnienie">
    <w:name w:val="Emphasis"/>
    <w:basedOn w:val="Domylnaczcionkaakapitu"/>
    <w:uiPriority w:val="20"/>
    <w:qFormat/>
    <w:rsid w:val="008B155E"/>
    <w:rPr>
      <w:i/>
      <w:iCs/>
    </w:rPr>
  </w:style>
  <w:style w:type="paragraph" w:styleId="Akapitzlist">
    <w:name w:val="List Paragraph"/>
    <w:basedOn w:val="Normalny"/>
    <w:uiPriority w:val="34"/>
    <w:qFormat/>
    <w:rsid w:val="008665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D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8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8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uroprasowe.medicover.pl/54571-inwestowanie-w-zdrowie-osob-aktywnych-zawodowo-szansa-na-poprawe-wydajnosci-pracy-i-oszczednosci-dla-pracodaw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75E2-9A5E-4A3C-9022-21C07C52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Wieńska</dc:creator>
  <cp:lastModifiedBy>Magdalena Wieńska</cp:lastModifiedBy>
  <cp:revision>2</cp:revision>
  <dcterms:created xsi:type="dcterms:W3CDTF">2019-11-14T15:07:00Z</dcterms:created>
  <dcterms:modified xsi:type="dcterms:W3CDTF">2019-11-14T15:07:00Z</dcterms:modified>
</cp:coreProperties>
</file>