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ED938" w14:textId="77777777" w:rsidR="00584B0C" w:rsidRDefault="00584B0C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Logistický a industriální report / Q3</w:t>
      </w:r>
    </w:p>
    <w:p w14:paraId="2F502504" w14:textId="77777777" w:rsidR="00A03381" w:rsidRPr="00584B0C" w:rsidRDefault="00B42FA7">
      <w:pPr>
        <w:rPr>
          <w:rFonts w:ascii="Georgia" w:hAnsi="Georgia"/>
          <w:b/>
          <w:sz w:val="36"/>
          <w:szCs w:val="36"/>
        </w:rPr>
      </w:pPr>
      <w:r w:rsidRPr="00584B0C">
        <w:rPr>
          <w:rFonts w:ascii="Georgia" w:hAnsi="Georgia"/>
          <w:b/>
          <w:sz w:val="36"/>
          <w:szCs w:val="36"/>
        </w:rPr>
        <w:t>Poptávka po skladech v ČR stále roste</w:t>
      </w:r>
    </w:p>
    <w:p w14:paraId="30A8E4F8" w14:textId="77777777" w:rsidR="00B42FA7" w:rsidRPr="003811F3" w:rsidRDefault="003811F3">
      <w:pPr>
        <w:rPr>
          <w:rFonts w:ascii="Georgia" w:hAnsi="Georgia"/>
          <w:b/>
        </w:rPr>
      </w:pPr>
      <w:r w:rsidRPr="003811F3">
        <w:rPr>
          <w:rFonts w:ascii="Georgia" w:hAnsi="Georgia"/>
          <w:b/>
        </w:rPr>
        <w:t xml:space="preserve">Pokud bychom měli vývoj ekonomiky odvozovat od výkonu trhu průmyslových prostor, je jakékoliv zpomalení v nedohlednu. Naopak, ve 3. čtvrtletí se pronajalo o 17 % skladových a výrobních ploch </w:t>
      </w:r>
      <w:r w:rsidR="00584B0C">
        <w:rPr>
          <w:rFonts w:ascii="Georgia" w:hAnsi="Georgia"/>
          <w:b/>
        </w:rPr>
        <w:t xml:space="preserve">více </w:t>
      </w:r>
      <w:r w:rsidRPr="003811F3">
        <w:rPr>
          <w:rFonts w:ascii="Georgia" w:hAnsi="Georgia"/>
          <w:b/>
        </w:rPr>
        <w:t>než ve stejném období vloni.</w:t>
      </w:r>
    </w:p>
    <w:p w14:paraId="5A64C1C1" w14:textId="4C1136E1" w:rsidR="003811F3" w:rsidRDefault="003811F3">
      <w:pPr>
        <w:rPr>
          <w:rFonts w:ascii="Georgia" w:hAnsi="Georgia"/>
        </w:rPr>
      </w:pPr>
      <w:r>
        <w:rPr>
          <w:rFonts w:ascii="Georgia" w:hAnsi="Georgia"/>
        </w:rPr>
        <w:t xml:space="preserve">Ta čísla jsou výjimečná (a výmluvná) pro celý region střední Evropy. </w:t>
      </w:r>
      <w:r w:rsidRPr="00584B0C">
        <w:rPr>
          <w:rFonts w:ascii="Georgia" w:hAnsi="Georgia"/>
          <w:b/>
        </w:rPr>
        <w:t>Od července do září</w:t>
      </w:r>
      <w:r w:rsidR="005C055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se v Česku pronajalo </w:t>
      </w:r>
      <w:r w:rsidRPr="00584B0C">
        <w:rPr>
          <w:rFonts w:ascii="Georgia" w:hAnsi="Georgia"/>
          <w:b/>
        </w:rPr>
        <w:t>407 600 m</w:t>
      </w:r>
      <w:r w:rsidR="00584B0C" w:rsidRPr="00584B0C">
        <w:rPr>
          <w:rFonts w:ascii="Georgia" w:hAnsi="Georgia"/>
          <w:b/>
          <w:vertAlign w:val="superscript"/>
        </w:rPr>
        <w:t>2</w:t>
      </w:r>
      <w:r w:rsidRPr="00584B0C">
        <w:rPr>
          <w:rFonts w:ascii="Georgia" w:hAnsi="Georgia"/>
          <w:b/>
        </w:rPr>
        <w:t xml:space="preserve"> ploch</w:t>
      </w:r>
      <w:r>
        <w:rPr>
          <w:rFonts w:ascii="Georgia" w:hAnsi="Georgia"/>
        </w:rPr>
        <w:t xml:space="preserve"> v průmyslových nemovitostech. </w:t>
      </w:r>
      <w:r w:rsidRPr="00584B0C">
        <w:rPr>
          <w:rFonts w:ascii="Georgia" w:hAnsi="Georgia"/>
          <w:b/>
        </w:rPr>
        <w:t>Nové pronájmy</w:t>
      </w:r>
      <w:r>
        <w:rPr>
          <w:rFonts w:ascii="Georgia" w:hAnsi="Georgia"/>
        </w:rPr>
        <w:t>, očištěné o přejednané pronájmy</w:t>
      </w:r>
      <w:r w:rsidR="00712374">
        <w:rPr>
          <w:rFonts w:ascii="Georgia" w:hAnsi="Georgia"/>
        </w:rPr>
        <w:t xml:space="preserve"> (renegotiations)</w:t>
      </w:r>
      <w:r>
        <w:rPr>
          <w:rFonts w:ascii="Georgia" w:hAnsi="Georgia"/>
        </w:rPr>
        <w:t xml:space="preserve">, přesáhly </w:t>
      </w:r>
      <w:r w:rsidRPr="00584B0C">
        <w:rPr>
          <w:rFonts w:ascii="Georgia" w:hAnsi="Georgia"/>
          <w:b/>
        </w:rPr>
        <w:t>266 000 m</w:t>
      </w:r>
      <w:r w:rsidR="00584B0C" w:rsidRPr="00584B0C">
        <w:rPr>
          <w:rFonts w:ascii="Georgia" w:hAnsi="Georgia"/>
          <w:b/>
          <w:vertAlign w:val="superscript"/>
        </w:rPr>
        <w:t>2</w:t>
      </w:r>
      <w:r>
        <w:rPr>
          <w:rFonts w:ascii="Georgia" w:hAnsi="Georgia"/>
        </w:rPr>
        <w:t>.</w:t>
      </w:r>
    </w:p>
    <w:p w14:paraId="6669E3C6" w14:textId="77777777" w:rsidR="003811F3" w:rsidRDefault="003811F3">
      <w:pPr>
        <w:rPr>
          <w:rFonts w:ascii="Georgia" w:hAnsi="Georgia"/>
        </w:rPr>
      </w:pPr>
      <w:r>
        <w:rPr>
          <w:rFonts w:ascii="Georgia" w:hAnsi="Georgia"/>
        </w:rPr>
        <w:t>Takové výsledky nečekali ani velcí optimisté. I mezi developery. Ti totiž na trh ve 3. čtvrtletí dodali „pouhých“ 125 000 m</w:t>
      </w:r>
      <w:r w:rsidR="00BC03BC"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. Pravdou ale je, že dalších téměř </w:t>
      </w:r>
      <w:r w:rsidRPr="00BC03BC">
        <w:rPr>
          <w:rFonts w:ascii="Georgia" w:hAnsi="Georgia"/>
          <w:b/>
        </w:rPr>
        <w:t>550 000 m</w:t>
      </w:r>
      <w:r w:rsidR="00BC03BC" w:rsidRPr="00BC03BC">
        <w:rPr>
          <w:rFonts w:ascii="Georgia" w:hAnsi="Georgia"/>
          <w:b/>
          <w:vertAlign w:val="superscript"/>
        </w:rPr>
        <w:t>2</w:t>
      </w:r>
      <w:r w:rsidRPr="00BC03BC">
        <w:rPr>
          <w:rFonts w:ascii="Georgia" w:hAnsi="Georgia"/>
          <w:b/>
        </w:rPr>
        <w:t xml:space="preserve"> se aktuálně staví</w:t>
      </w:r>
      <w:r>
        <w:rPr>
          <w:rFonts w:ascii="Georgia" w:hAnsi="Georgia"/>
        </w:rPr>
        <w:t>.</w:t>
      </w:r>
    </w:p>
    <w:p w14:paraId="07541AE5" w14:textId="77777777" w:rsidR="00E52EE0" w:rsidRDefault="003811F3">
      <w:pPr>
        <w:rPr>
          <w:rFonts w:ascii="Georgia" w:hAnsi="Georgia"/>
        </w:rPr>
      </w:pPr>
      <w:r>
        <w:rPr>
          <w:rFonts w:ascii="Georgia" w:hAnsi="Georgia"/>
        </w:rPr>
        <w:t xml:space="preserve">O záviděníhodné kondici </w:t>
      </w:r>
      <w:r w:rsidR="00E52EE0">
        <w:rPr>
          <w:rFonts w:ascii="Georgia" w:hAnsi="Georgia"/>
        </w:rPr>
        <w:t xml:space="preserve">tuzemského trhu průmyslových prostor svědčí mimo jiné to, že </w:t>
      </w:r>
      <w:r w:rsidR="00E52EE0" w:rsidRPr="00BC03BC">
        <w:rPr>
          <w:rFonts w:ascii="Georgia" w:hAnsi="Georgia"/>
          <w:b/>
        </w:rPr>
        <w:t>3. čtvrtletí</w:t>
      </w:r>
      <w:r w:rsidR="00E52EE0">
        <w:rPr>
          <w:rFonts w:ascii="Georgia" w:hAnsi="Georgia"/>
        </w:rPr>
        <w:t xml:space="preserve"> znamená </w:t>
      </w:r>
      <w:r w:rsidR="00BC03BC" w:rsidRPr="00BC03BC">
        <w:rPr>
          <w:rFonts w:ascii="Georgia" w:hAnsi="Georgia"/>
          <w:b/>
        </w:rPr>
        <w:t>druhý</w:t>
      </w:r>
      <w:r w:rsidR="00E52EE0" w:rsidRPr="00BC03BC">
        <w:rPr>
          <w:rFonts w:ascii="Georgia" w:hAnsi="Georgia"/>
          <w:b/>
        </w:rPr>
        <w:t xml:space="preserve"> nejlepší výkon od jara 2016</w:t>
      </w:r>
      <w:r w:rsidR="00E52EE0">
        <w:rPr>
          <w:rFonts w:ascii="Georgia" w:hAnsi="Georgia"/>
        </w:rPr>
        <w:t xml:space="preserve">. A zároveň je vidět </w:t>
      </w:r>
      <w:r w:rsidR="00E52EE0" w:rsidRPr="00BC03BC">
        <w:rPr>
          <w:rFonts w:ascii="Georgia" w:hAnsi="Georgia"/>
          <w:b/>
        </w:rPr>
        <w:t>patrné oživení i v regionech</w:t>
      </w:r>
      <w:r w:rsidR="00E52EE0">
        <w:rPr>
          <w:rFonts w:ascii="Georgia" w:hAnsi="Georgia"/>
        </w:rPr>
        <w:t>, které zůstávaly delší dobu mimo hledáček developerů i nájemců.</w:t>
      </w:r>
    </w:p>
    <w:p w14:paraId="40986F40" w14:textId="77777777" w:rsidR="00E52EE0" w:rsidRDefault="00E52EE0">
      <w:pPr>
        <w:rPr>
          <w:rFonts w:ascii="Georgia" w:hAnsi="Georgia"/>
        </w:rPr>
      </w:pPr>
      <w:r>
        <w:rPr>
          <w:rFonts w:ascii="Georgia" w:hAnsi="Georgia"/>
        </w:rPr>
        <w:t xml:space="preserve">Dle očekávání je </w:t>
      </w:r>
      <w:r w:rsidRPr="00BC03BC">
        <w:rPr>
          <w:rFonts w:ascii="Georgia" w:hAnsi="Georgia"/>
          <w:b/>
        </w:rPr>
        <w:t>nejvíce transakcí</w:t>
      </w:r>
      <w:r>
        <w:rPr>
          <w:rFonts w:ascii="Georgia" w:hAnsi="Georgia"/>
        </w:rPr>
        <w:t xml:space="preserve"> realizováno </w:t>
      </w:r>
      <w:r w:rsidRPr="00BC03BC">
        <w:rPr>
          <w:rFonts w:ascii="Georgia" w:hAnsi="Georgia"/>
          <w:b/>
        </w:rPr>
        <w:t>v okolí Prahy</w:t>
      </w:r>
      <w:r>
        <w:rPr>
          <w:rFonts w:ascii="Georgia" w:hAnsi="Georgia"/>
        </w:rPr>
        <w:t xml:space="preserve">, následně v Moravskoslezském a Plzeňském kraji. </w:t>
      </w:r>
      <w:r w:rsidR="00112904">
        <w:rPr>
          <w:rFonts w:ascii="Georgia" w:hAnsi="Georgia"/>
        </w:rPr>
        <w:t xml:space="preserve">Rozdílům v jednotlivých regionech se obšírně věnujeme v nejaktuálnější studii </w:t>
      </w:r>
      <w:hyperlink r:id="rId7" w:history="1">
        <w:r w:rsidR="00112904" w:rsidRPr="00BC03BC">
          <w:rPr>
            <w:rStyle w:val="Hypertextovodkaz"/>
            <w:rFonts w:ascii="Georgia" w:hAnsi="Georgia"/>
            <w:b/>
          </w:rPr>
          <w:t>At A Glance 3Q 2019</w:t>
        </w:r>
      </w:hyperlink>
      <w:r w:rsidR="00112904">
        <w:rPr>
          <w:rFonts w:ascii="Georgia" w:hAnsi="Georgia"/>
        </w:rPr>
        <w:t>. Sledujeme a srovnáváme několik základních údajů pro každý kraj: celkovou nabídku, realizovanou výstavbu, míru neobsazenosti a nejvyšší dosahované nájemné.</w:t>
      </w:r>
    </w:p>
    <w:p w14:paraId="32F0BC99" w14:textId="77777777" w:rsidR="00112904" w:rsidRDefault="00A62245">
      <w:pPr>
        <w:rPr>
          <w:rFonts w:ascii="Georgia" w:hAnsi="Georgia"/>
        </w:rPr>
      </w:pPr>
      <w:r>
        <w:rPr>
          <w:rFonts w:ascii="Georgia" w:hAnsi="Georgia"/>
        </w:rPr>
        <w:t xml:space="preserve">Suverénně </w:t>
      </w:r>
      <w:r w:rsidRPr="00BC03BC">
        <w:rPr>
          <w:rFonts w:ascii="Georgia" w:hAnsi="Georgia"/>
          <w:b/>
        </w:rPr>
        <w:t>nejnižší aktivitu</w:t>
      </w:r>
      <w:r>
        <w:rPr>
          <w:rFonts w:ascii="Georgia" w:hAnsi="Georgia"/>
        </w:rPr>
        <w:t xml:space="preserve"> vykazuje </w:t>
      </w:r>
      <w:r w:rsidRPr="00BC03BC">
        <w:rPr>
          <w:rFonts w:ascii="Georgia" w:hAnsi="Georgia"/>
          <w:b/>
        </w:rPr>
        <w:t>Jihočeský kraj</w:t>
      </w:r>
      <w:r>
        <w:rPr>
          <w:rFonts w:ascii="Georgia" w:hAnsi="Georgia"/>
        </w:rPr>
        <w:t>, kde zůstává dokončených cca 50 000 m</w:t>
      </w:r>
      <w:r w:rsidR="00BC03BC"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skladů při 8,3% neobsazenosti. Velmi podobně je na tom s výstavbou </w:t>
      </w:r>
      <w:r w:rsidRPr="00BC03BC">
        <w:rPr>
          <w:rFonts w:ascii="Georgia" w:hAnsi="Georgia"/>
          <w:b/>
        </w:rPr>
        <w:t>Kraj Vysočina</w:t>
      </w:r>
      <w:r>
        <w:rPr>
          <w:rFonts w:ascii="Georgia" w:hAnsi="Georgia"/>
        </w:rPr>
        <w:t>, kde přitom není volný ani jeden „logistický“ metr.</w:t>
      </w:r>
    </w:p>
    <w:p w14:paraId="588004F5" w14:textId="1CAC7666" w:rsidR="00A62245" w:rsidRDefault="00A62245" w:rsidP="00A62245">
      <w:pPr>
        <w:rPr>
          <w:rFonts w:ascii="Georgia" w:hAnsi="Georgia"/>
        </w:rPr>
      </w:pPr>
      <w:r>
        <w:rPr>
          <w:rFonts w:ascii="Georgia" w:hAnsi="Georgia"/>
        </w:rPr>
        <w:t xml:space="preserve">Z druhé strany ani </w:t>
      </w:r>
      <w:r w:rsidRPr="00BC03BC">
        <w:rPr>
          <w:rFonts w:ascii="Georgia" w:hAnsi="Georgia"/>
          <w:b/>
        </w:rPr>
        <w:t>20% neobsazenost</w:t>
      </w:r>
      <w:r>
        <w:rPr>
          <w:rFonts w:ascii="Georgia" w:hAnsi="Georgia"/>
        </w:rPr>
        <w:t xml:space="preserve"> není překážkou pro výstavbu dalších 66 000 m</w:t>
      </w:r>
      <w:r w:rsidR="00BC03BC"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nových skladů </w:t>
      </w:r>
      <w:r w:rsidRPr="00BC03BC">
        <w:rPr>
          <w:rFonts w:ascii="Georgia" w:hAnsi="Georgia"/>
          <w:b/>
        </w:rPr>
        <w:t>v Ústeckém kraji</w:t>
      </w:r>
      <w:r>
        <w:rPr>
          <w:rFonts w:ascii="Georgia" w:hAnsi="Georgia"/>
        </w:rPr>
        <w:t xml:space="preserve">. Tento údaj je ale </w:t>
      </w:r>
      <w:r w:rsidR="004A6248">
        <w:rPr>
          <w:rFonts w:ascii="Georgia" w:hAnsi="Georgia"/>
        </w:rPr>
        <w:t xml:space="preserve">ovlivněn zejména obřím projektem P3 Lovosice hala A o celkové ploše 60 450 </w:t>
      </w:r>
      <w:r w:rsidR="004A6248" w:rsidRPr="00A62245">
        <w:rPr>
          <w:rFonts w:ascii="Georgia" w:hAnsi="Georgia"/>
        </w:rPr>
        <w:t>m²</w:t>
      </w:r>
      <w:bookmarkStart w:id="0" w:name="_GoBack"/>
      <w:bookmarkEnd w:id="0"/>
      <w:r w:rsidR="004A6248">
        <w:rPr>
          <w:rFonts w:ascii="Georgia" w:hAnsi="Georgia"/>
        </w:rPr>
        <w:t>, který je momentálně ve výstavbě.</w:t>
      </w:r>
      <w:r w:rsidRPr="00A62245">
        <w:rPr>
          <w:rFonts w:ascii="Georgia" w:hAnsi="Georgia"/>
        </w:rPr>
        <w:t xml:space="preserve"> </w:t>
      </w:r>
    </w:p>
    <w:p w14:paraId="424B20DE" w14:textId="77777777" w:rsidR="00A62245" w:rsidRDefault="00A62245" w:rsidP="00A62245">
      <w:pPr>
        <w:rPr>
          <w:rFonts w:ascii="Georgia" w:hAnsi="Georgia"/>
        </w:rPr>
      </w:pPr>
      <w:r w:rsidRPr="00BC03BC">
        <w:rPr>
          <w:rFonts w:ascii="Georgia" w:hAnsi="Georgia"/>
          <w:b/>
        </w:rPr>
        <w:t>Druhá nejvyšší neobsazenost</w:t>
      </w:r>
      <w:r>
        <w:rPr>
          <w:rFonts w:ascii="Georgia" w:hAnsi="Georgia"/>
        </w:rPr>
        <w:t xml:space="preserve"> ke konci 3. čtvrtletí byla </w:t>
      </w:r>
      <w:r w:rsidRPr="00BC03BC">
        <w:rPr>
          <w:rFonts w:ascii="Georgia" w:hAnsi="Georgia"/>
          <w:b/>
        </w:rPr>
        <w:t>v Karlovarském kraji</w:t>
      </w:r>
      <w:r>
        <w:rPr>
          <w:rFonts w:ascii="Georgia" w:hAnsi="Georgia"/>
        </w:rPr>
        <w:t xml:space="preserve"> – 15 %. Jde však vlastně jen o nově dokončenou halu</w:t>
      </w:r>
      <w:r w:rsidRPr="00A62245">
        <w:rPr>
          <w:rFonts w:ascii="Georgia" w:hAnsi="Georgia"/>
        </w:rPr>
        <w:t xml:space="preserve"> 1. fáze </w:t>
      </w:r>
      <w:r>
        <w:rPr>
          <w:rFonts w:ascii="Georgia" w:hAnsi="Georgia"/>
        </w:rPr>
        <w:t xml:space="preserve">CTParku Cheb </w:t>
      </w:r>
      <w:r w:rsidRPr="00A62245">
        <w:rPr>
          <w:rFonts w:ascii="Georgia" w:hAnsi="Georgia"/>
        </w:rPr>
        <w:t xml:space="preserve">(33 270 m²). </w:t>
      </w:r>
      <w:r>
        <w:rPr>
          <w:rFonts w:ascii="Georgia" w:hAnsi="Georgia"/>
        </w:rPr>
        <w:t xml:space="preserve">I přes vcelku skromnou poptávku developeři tomuto regionu věří a mají </w:t>
      </w:r>
      <w:r w:rsidRPr="00BC03BC">
        <w:rPr>
          <w:rFonts w:ascii="Georgia" w:hAnsi="Georgia"/>
          <w:b/>
        </w:rPr>
        <w:t>rozestavěných téměř 40 000 m</w:t>
      </w:r>
      <w:r w:rsidR="00BC03BC" w:rsidRPr="00BC03BC">
        <w:rPr>
          <w:rFonts w:ascii="Georgia" w:hAnsi="Georgia"/>
          <w:b/>
          <w:vertAlign w:val="superscript"/>
        </w:rPr>
        <w:t>2</w:t>
      </w:r>
      <w:r>
        <w:rPr>
          <w:rFonts w:ascii="Georgia" w:hAnsi="Georgia"/>
        </w:rPr>
        <w:t xml:space="preserve"> ploch v nových distribučních centrech.</w:t>
      </w:r>
    </w:p>
    <w:p w14:paraId="5738B3C6" w14:textId="77777777" w:rsidR="001B7504" w:rsidRDefault="00A62245" w:rsidP="00A62245">
      <w:pPr>
        <w:rPr>
          <w:rFonts w:ascii="Georgia" w:hAnsi="Georgia"/>
        </w:rPr>
      </w:pPr>
      <w:r>
        <w:rPr>
          <w:rFonts w:ascii="Georgia" w:hAnsi="Georgia"/>
        </w:rPr>
        <w:t>Zvláštní pozornost si podle nás v </w:t>
      </w:r>
      <w:hyperlink r:id="rId8" w:history="1">
        <w:r w:rsidRPr="00BC03BC">
          <w:rPr>
            <w:rStyle w:val="Hypertextovodkaz"/>
            <w:rFonts w:ascii="Georgia" w:hAnsi="Georgia"/>
            <w:b/>
          </w:rPr>
          <w:t>BNP Paribas Real Estate</w:t>
        </w:r>
      </w:hyperlink>
      <w:r>
        <w:rPr>
          <w:rFonts w:ascii="Georgia" w:hAnsi="Georgia"/>
        </w:rPr>
        <w:t xml:space="preserve"> zaslouží </w:t>
      </w:r>
      <w:r w:rsidRPr="00BC03BC">
        <w:rPr>
          <w:rFonts w:ascii="Georgia" w:hAnsi="Georgia"/>
          <w:b/>
        </w:rPr>
        <w:t>Pardubický</w:t>
      </w:r>
      <w:r w:rsidR="001B7504">
        <w:rPr>
          <w:rFonts w:ascii="Georgia" w:hAnsi="Georgia"/>
        </w:rPr>
        <w:t xml:space="preserve"> a </w:t>
      </w:r>
      <w:r w:rsidR="001B7504" w:rsidRPr="00BC03BC">
        <w:rPr>
          <w:rFonts w:ascii="Georgia" w:hAnsi="Georgia"/>
          <w:b/>
        </w:rPr>
        <w:t>Královéhradecký kraj</w:t>
      </w:r>
      <w:r w:rsidR="00BC03BC">
        <w:rPr>
          <w:rFonts w:ascii="Georgia" w:hAnsi="Georgia"/>
        </w:rPr>
        <w:t xml:space="preserve">, kde se i </w:t>
      </w:r>
      <w:r w:rsidR="001B7504">
        <w:rPr>
          <w:rFonts w:ascii="Georgia" w:hAnsi="Georgia"/>
        </w:rPr>
        <w:t xml:space="preserve">přes kvalitní makroekonomické výsledky, rozvinutý průmysl zejména v Pardubicích a nulovou neobsazenost nové výrobní ani skladové prostory </w:t>
      </w:r>
      <w:r w:rsidR="00712374">
        <w:rPr>
          <w:rFonts w:ascii="Georgia" w:hAnsi="Georgia"/>
        </w:rPr>
        <w:t xml:space="preserve">zatím </w:t>
      </w:r>
      <w:r w:rsidR="001B7504">
        <w:rPr>
          <w:rFonts w:ascii="Georgia" w:hAnsi="Georgia"/>
        </w:rPr>
        <w:t>nestaví.</w:t>
      </w:r>
      <w:r w:rsidR="00BC03BC">
        <w:rPr>
          <w:rFonts w:ascii="Georgia" w:hAnsi="Georgia"/>
        </w:rPr>
        <w:t xml:space="preserve"> </w:t>
      </w:r>
      <w:r w:rsidR="001B7504">
        <w:rPr>
          <w:rFonts w:ascii="Georgia" w:hAnsi="Georgia"/>
        </w:rPr>
        <w:t>Lze</w:t>
      </w:r>
      <w:r w:rsidR="00BC03BC">
        <w:rPr>
          <w:rFonts w:ascii="Georgia" w:hAnsi="Georgia"/>
        </w:rPr>
        <w:t xml:space="preserve"> nicméně </w:t>
      </w:r>
      <w:r w:rsidR="001B7504">
        <w:rPr>
          <w:rFonts w:ascii="Georgia" w:hAnsi="Georgia"/>
        </w:rPr>
        <w:t>očekávat, že ke změně dojde s dokončením dálnice D11 v roce 2024. A zároveň D35 propojující Hradec Králové s Olomoucí, od které se očekává především odklon dopravy z D1.</w:t>
      </w:r>
    </w:p>
    <w:p w14:paraId="35558594" w14:textId="77777777" w:rsidR="00A62245" w:rsidRPr="00B42FA7" w:rsidRDefault="00BC03BC">
      <w:pPr>
        <w:rPr>
          <w:rFonts w:ascii="Georgia" w:hAnsi="Georgia"/>
        </w:rPr>
      </w:pPr>
      <w:r w:rsidRPr="00BC03BC">
        <w:rPr>
          <w:rFonts w:ascii="Georgia" w:hAnsi="Georgia"/>
          <w:b/>
        </w:rPr>
        <w:t xml:space="preserve">Celý </w:t>
      </w:r>
      <w:r w:rsidR="00C35727" w:rsidRPr="00BC03BC">
        <w:rPr>
          <w:rFonts w:ascii="Georgia" w:hAnsi="Georgia"/>
          <w:b/>
        </w:rPr>
        <w:t>report</w:t>
      </w:r>
      <w:r w:rsidR="00C35727" w:rsidRPr="00C35727">
        <w:rPr>
          <w:rFonts w:ascii="Georgia" w:hAnsi="Georgia"/>
        </w:rPr>
        <w:t xml:space="preserve"> si můžete stáhnout </w:t>
      </w:r>
      <w:hyperlink r:id="rId9" w:history="1">
        <w:r w:rsidR="00C35727" w:rsidRPr="00BC03BC">
          <w:rPr>
            <w:rStyle w:val="Hypertextovodkaz"/>
            <w:rFonts w:ascii="Georgia" w:hAnsi="Georgia"/>
            <w:b/>
          </w:rPr>
          <w:t>zde</w:t>
        </w:r>
      </w:hyperlink>
      <w:r w:rsidR="00C35727" w:rsidRPr="00C35727">
        <w:rPr>
          <w:rFonts w:ascii="Georgia" w:hAnsi="Georgia"/>
        </w:rPr>
        <w:t>.</w:t>
      </w:r>
    </w:p>
    <w:sectPr w:rsidR="00A62245" w:rsidRPr="00B4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CEECE" w14:textId="77777777" w:rsidR="004C5554" w:rsidRDefault="004C5554" w:rsidP="00BC03BC">
      <w:pPr>
        <w:spacing w:after="0" w:line="240" w:lineRule="auto"/>
      </w:pPr>
      <w:r>
        <w:separator/>
      </w:r>
    </w:p>
  </w:endnote>
  <w:endnote w:type="continuationSeparator" w:id="0">
    <w:p w14:paraId="7D5698C9" w14:textId="77777777" w:rsidR="004C5554" w:rsidRDefault="004C5554" w:rsidP="00BC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NPP Sans">
    <w:altName w:val="BNPP Sans Light"/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D2C45" w14:textId="77777777" w:rsidR="004C5554" w:rsidRDefault="004C5554" w:rsidP="00BC03BC">
      <w:pPr>
        <w:spacing w:after="0" w:line="240" w:lineRule="auto"/>
      </w:pPr>
      <w:r>
        <w:separator/>
      </w:r>
    </w:p>
  </w:footnote>
  <w:footnote w:type="continuationSeparator" w:id="0">
    <w:p w14:paraId="190B1BD7" w14:textId="77777777" w:rsidR="004C5554" w:rsidRDefault="004C5554" w:rsidP="00BC0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74"/>
    <w:rsid w:val="00112904"/>
    <w:rsid w:val="001B7504"/>
    <w:rsid w:val="003811F3"/>
    <w:rsid w:val="00403974"/>
    <w:rsid w:val="004A6248"/>
    <w:rsid w:val="004C5554"/>
    <w:rsid w:val="005775FE"/>
    <w:rsid w:val="00584B0C"/>
    <w:rsid w:val="005C0558"/>
    <w:rsid w:val="00712374"/>
    <w:rsid w:val="00766389"/>
    <w:rsid w:val="007C58F3"/>
    <w:rsid w:val="00940F22"/>
    <w:rsid w:val="00A03381"/>
    <w:rsid w:val="00A62245"/>
    <w:rsid w:val="00B42FA7"/>
    <w:rsid w:val="00BC03BC"/>
    <w:rsid w:val="00C35727"/>
    <w:rsid w:val="00E5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E8E48F"/>
  <w15:chartTrackingRefBased/>
  <w15:docId w15:val="{8B155B51-1536-4153-B99C-8A92DCB9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2245"/>
    <w:pPr>
      <w:autoSpaceDE w:val="0"/>
      <w:autoSpaceDN w:val="0"/>
      <w:adjustRightInd w:val="0"/>
      <w:spacing w:after="0" w:line="240" w:lineRule="auto"/>
    </w:pPr>
    <w:rPr>
      <w:rFonts w:ascii="BNPP Sans" w:hAnsi="BNPP Sans" w:cs="BNPP Sans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84B0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1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3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37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lestate.bnpparibas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alestate.bnpparibas.cz/bnppre/cs/vynosova-mira-pro-pikove-sklady-ve-tetim-tvrtleti-poklesla-p_177437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alestate.bnpparibas.cz/bnppre/cs/vynosova-mira-pro-pikove-sklady-ve-tetim-tvrtleti-poklesla-p_1774372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52F8-CF58-4C48-8D59-4E1A8082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424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Kristyna KREMENOVA</cp:lastModifiedBy>
  <cp:revision>3</cp:revision>
  <dcterms:created xsi:type="dcterms:W3CDTF">2019-11-28T15:13:00Z</dcterms:created>
  <dcterms:modified xsi:type="dcterms:W3CDTF">2019-11-28T15:36:00Z</dcterms:modified>
</cp:coreProperties>
</file>