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D99D8" w14:textId="77777777" w:rsidR="00A535B1" w:rsidRDefault="00CF54A2" w:rsidP="00A535B1">
      <w:pPr>
        <w:spacing w:before="0" w:after="160" w:line="259" w:lineRule="auto"/>
        <w:jc w:val="right"/>
      </w:pPr>
      <w:r>
        <w:rPr>
          <w:noProof/>
          <w:lang w:eastAsia="en-GB"/>
        </w:rPr>
        <w:drawing>
          <wp:anchor distT="0" distB="0" distL="114300" distR="114300" simplePos="0" relativeHeight="251658240" behindDoc="0" locked="0" layoutInCell="1" allowOverlap="1" wp14:anchorId="07B02F69" wp14:editId="0D178087">
            <wp:simplePos x="0" y="0"/>
            <wp:positionH relativeFrom="margin">
              <wp:align>right</wp:align>
            </wp:positionH>
            <wp:positionV relativeFrom="margin">
              <wp:posOffset>307340</wp:posOffset>
            </wp:positionV>
            <wp:extent cx="1163955" cy="787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0D23D853" w14:textId="77777777" w:rsidR="00BF1681" w:rsidRDefault="00BF1681" w:rsidP="00A535B1">
      <w:pPr>
        <w:spacing w:before="0" w:after="160" w:line="259" w:lineRule="auto"/>
        <w:jc w:val="right"/>
      </w:pPr>
    </w:p>
    <w:p w14:paraId="332EAE5C" w14:textId="77777777" w:rsidR="00E63B80" w:rsidRPr="00B068F5" w:rsidRDefault="00E63B80" w:rsidP="00B068F5">
      <w:pPr>
        <w:pStyle w:val="BodyText"/>
        <w:ind w:right="180"/>
        <w:jc w:val="center"/>
        <w:rPr>
          <w:rFonts w:ascii="Arial" w:hAnsi="Arial" w:cs="Arial"/>
          <w:b/>
          <w:szCs w:val="26"/>
        </w:rPr>
      </w:pPr>
    </w:p>
    <w:p w14:paraId="465F2989" w14:textId="4BC93573" w:rsidR="007A20ED" w:rsidRDefault="007A20ED" w:rsidP="00C4218E">
      <w:pPr>
        <w:pStyle w:val="BodyText"/>
        <w:ind w:right="180"/>
        <w:rPr>
          <w:rFonts w:ascii="Arial" w:hAnsi="Arial" w:cs="Arial"/>
          <w:sz w:val="22"/>
          <w:szCs w:val="22"/>
        </w:rPr>
      </w:pPr>
      <w:bookmarkStart w:id="0" w:name="_Hlk11944751"/>
      <w:bookmarkStart w:id="1" w:name="_Hlk12011489"/>
    </w:p>
    <w:p w14:paraId="01145DF7" w14:textId="05657066" w:rsidR="007A20ED" w:rsidRDefault="007A20ED" w:rsidP="00C4218E">
      <w:pPr>
        <w:pStyle w:val="BodyText"/>
        <w:ind w:right="180"/>
        <w:rPr>
          <w:rFonts w:ascii="Arial" w:hAnsi="Arial" w:cs="Arial"/>
          <w:sz w:val="22"/>
          <w:szCs w:val="22"/>
        </w:rPr>
      </w:pPr>
    </w:p>
    <w:p w14:paraId="6429BF65" w14:textId="77777777" w:rsidR="00E30974" w:rsidRDefault="00E30974" w:rsidP="007A20ED">
      <w:pPr>
        <w:pStyle w:val="BodyText"/>
        <w:ind w:right="180"/>
        <w:jc w:val="center"/>
        <w:rPr>
          <w:rFonts w:ascii="Arial" w:hAnsi="Arial" w:cs="Arial"/>
          <w:b/>
          <w:bCs/>
          <w:sz w:val="24"/>
          <w:szCs w:val="24"/>
        </w:rPr>
      </w:pPr>
    </w:p>
    <w:p w14:paraId="4F40EA9E" w14:textId="77777777" w:rsidR="00A57A50" w:rsidRPr="00A57A50" w:rsidRDefault="00A57A50" w:rsidP="00A57A50">
      <w:pPr>
        <w:jc w:val="center"/>
        <w:rPr>
          <w:rFonts w:ascii="Arial" w:hAnsi="Arial" w:cs="Arial"/>
          <w:sz w:val="24"/>
          <w:szCs w:val="24"/>
        </w:rPr>
      </w:pPr>
      <w:bookmarkStart w:id="2" w:name="_Hlk20474836"/>
    </w:p>
    <w:p w14:paraId="08759049" w14:textId="18ABF739" w:rsidR="00A57A50" w:rsidRPr="00A57A50" w:rsidRDefault="00A57A50" w:rsidP="00A57A50">
      <w:pPr>
        <w:jc w:val="center"/>
        <w:rPr>
          <w:rFonts w:ascii="Arial" w:hAnsi="Arial" w:cs="Arial"/>
          <w:b/>
          <w:sz w:val="24"/>
          <w:szCs w:val="24"/>
        </w:rPr>
      </w:pPr>
      <w:r w:rsidRPr="00A57A50">
        <w:rPr>
          <w:rFonts w:ascii="Arial" w:hAnsi="Arial" w:cs="Arial"/>
          <w:b/>
          <w:sz w:val="24"/>
          <w:szCs w:val="24"/>
        </w:rPr>
        <w:t xml:space="preserve">Appetite from investors for all asset classes in CEE remains positive </w:t>
      </w:r>
      <w:r w:rsidR="001F2113">
        <w:rPr>
          <w:rFonts w:ascii="Arial" w:hAnsi="Arial" w:cs="Arial"/>
          <w:b/>
          <w:sz w:val="24"/>
          <w:szCs w:val="24"/>
        </w:rPr>
        <w:t xml:space="preserve">at the end of </w:t>
      </w:r>
      <w:r w:rsidRPr="00A57A50">
        <w:rPr>
          <w:rFonts w:ascii="Arial" w:hAnsi="Arial" w:cs="Arial"/>
          <w:b/>
          <w:sz w:val="24"/>
          <w:szCs w:val="24"/>
        </w:rPr>
        <w:t>Q3 2019</w:t>
      </w:r>
      <w:r w:rsidR="001F2113">
        <w:rPr>
          <w:rFonts w:ascii="Arial" w:hAnsi="Arial" w:cs="Arial"/>
          <w:b/>
          <w:sz w:val="24"/>
          <w:szCs w:val="24"/>
        </w:rPr>
        <w:t>,</w:t>
      </w:r>
      <w:r w:rsidRPr="00A57A50">
        <w:rPr>
          <w:rFonts w:ascii="Arial" w:hAnsi="Arial" w:cs="Arial"/>
          <w:b/>
          <w:sz w:val="24"/>
          <w:szCs w:val="24"/>
        </w:rPr>
        <w:t xml:space="preserve"> but many investors are </w:t>
      </w:r>
      <w:r w:rsidR="001F2113">
        <w:rPr>
          <w:rFonts w:ascii="Arial" w:hAnsi="Arial" w:cs="Arial"/>
          <w:b/>
          <w:sz w:val="24"/>
          <w:szCs w:val="24"/>
        </w:rPr>
        <w:t xml:space="preserve">also </w:t>
      </w:r>
      <w:r w:rsidRPr="00A57A50">
        <w:rPr>
          <w:rFonts w:ascii="Arial" w:hAnsi="Arial" w:cs="Arial"/>
          <w:b/>
          <w:sz w:val="24"/>
          <w:szCs w:val="24"/>
        </w:rPr>
        <w:t xml:space="preserve">starting to look </w:t>
      </w:r>
      <w:r w:rsidR="001F2113">
        <w:rPr>
          <w:rFonts w:ascii="Arial" w:hAnsi="Arial" w:cs="Arial"/>
          <w:b/>
          <w:sz w:val="24"/>
          <w:szCs w:val="24"/>
        </w:rPr>
        <w:t xml:space="preserve">at alternative strategies and </w:t>
      </w:r>
      <w:r w:rsidRPr="00A57A50">
        <w:rPr>
          <w:rFonts w:ascii="Arial" w:hAnsi="Arial" w:cs="Arial"/>
          <w:b/>
          <w:sz w:val="24"/>
          <w:szCs w:val="24"/>
        </w:rPr>
        <w:t xml:space="preserve">alternative sectors </w:t>
      </w:r>
      <w:r w:rsidR="001F2113">
        <w:rPr>
          <w:rFonts w:ascii="Arial" w:hAnsi="Arial" w:cs="Arial"/>
          <w:b/>
          <w:sz w:val="24"/>
          <w:szCs w:val="24"/>
        </w:rPr>
        <w:t>to adjust to market conditions</w:t>
      </w:r>
    </w:p>
    <w:p w14:paraId="212CEEAD" w14:textId="77777777" w:rsidR="00A57A50" w:rsidRPr="00A57A50" w:rsidRDefault="00A57A50" w:rsidP="00A57A50">
      <w:pPr>
        <w:jc w:val="center"/>
        <w:rPr>
          <w:rFonts w:ascii="Arial" w:hAnsi="Arial" w:cs="Arial"/>
          <w:b/>
          <w:sz w:val="24"/>
          <w:szCs w:val="24"/>
        </w:rPr>
      </w:pPr>
    </w:p>
    <w:p w14:paraId="53CD387D" w14:textId="77777777" w:rsidR="00A57A50" w:rsidRPr="00A57A50" w:rsidRDefault="00A57A50" w:rsidP="00A57A50">
      <w:pPr>
        <w:jc w:val="center"/>
        <w:rPr>
          <w:rFonts w:ascii="Arial" w:hAnsi="Arial" w:cs="Arial"/>
          <w:i/>
          <w:sz w:val="24"/>
          <w:szCs w:val="24"/>
        </w:rPr>
      </w:pPr>
      <w:r w:rsidRPr="00A57A50">
        <w:rPr>
          <w:rFonts w:ascii="Arial" w:hAnsi="Arial" w:cs="Arial"/>
          <w:i/>
          <w:sz w:val="24"/>
          <w:szCs w:val="24"/>
        </w:rPr>
        <w:t xml:space="preserve">Colliers International presents Q3 2019 CEE Investment Scene report </w:t>
      </w:r>
    </w:p>
    <w:p w14:paraId="3FAFF92F" w14:textId="77777777" w:rsidR="00A57A50" w:rsidRPr="00A57A50" w:rsidRDefault="00A57A50" w:rsidP="00A57A50">
      <w:pPr>
        <w:spacing w:before="0" w:after="0"/>
        <w:jc w:val="both"/>
        <w:rPr>
          <w:rFonts w:ascii="Arial" w:hAnsi="Arial" w:cs="Arial"/>
          <w:b/>
          <w:color w:val="auto"/>
          <w:sz w:val="22"/>
          <w:lang w:val="en-US"/>
        </w:rPr>
      </w:pPr>
    </w:p>
    <w:p w14:paraId="5CF75FAF" w14:textId="77777777" w:rsidR="00A57A50" w:rsidRPr="00A57A50" w:rsidRDefault="00A57A50" w:rsidP="00A57A50">
      <w:pPr>
        <w:spacing w:before="0" w:after="0"/>
        <w:jc w:val="both"/>
        <w:rPr>
          <w:rFonts w:ascii="Arial" w:hAnsi="Arial" w:cs="Arial"/>
          <w:b/>
          <w:color w:val="auto"/>
          <w:sz w:val="22"/>
          <w:lang w:val="en-US"/>
        </w:rPr>
      </w:pPr>
    </w:p>
    <w:p w14:paraId="191EA4BA" w14:textId="77777777" w:rsidR="00A57A50" w:rsidRPr="00A57A50" w:rsidRDefault="00A57A50" w:rsidP="00A57A50">
      <w:pPr>
        <w:spacing w:before="0" w:after="0"/>
        <w:jc w:val="both"/>
        <w:rPr>
          <w:rFonts w:ascii="Arial" w:hAnsi="Arial" w:cs="Arial"/>
          <w:color w:val="auto"/>
          <w:sz w:val="24"/>
          <w:szCs w:val="24"/>
          <w:lang w:val="en-US"/>
        </w:rPr>
      </w:pPr>
      <w:r w:rsidRPr="00A57A50">
        <w:rPr>
          <w:rFonts w:ascii="Arial" w:hAnsi="Arial" w:cs="Arial"/>
          <w:b/>
          <w:color w:val="auto"/>
          <w:sz w:val="24"/>
          <w:szCs w:val="24"/>
          <w:lang w:val="en-US"/>
        </w:rPr>
        <w:t>Warsaw, 28 November, 2019</w:t>
      </w:r>
      <w:r w:rsidRPr="00A57A50">
        <w:rPr>
          <w:rFonts w:ascii="Arial" w:hAnsi="Arial" w:cs="Arial"/>
          <w:color w:val="auto"/>
          <w:sz w:val="24"/>
          <w:szCs w:val="24"/>
          <w:lang w:val="en-US"/>
        </w:rPr>
        <w:t>. For the first three quarters of 2019, the CEE region has recorded an investment volume of ca. €9 billion. Offices dominate the deal flows with a 58% share, followed by a much slower retail sector with 18%, Industrial &amp; Logistics (9%) and Hotels (8%).</w:t>
      </w:r>
    </w:p>
    <w:p w14:paraId="47A2397A" w14:textId="77777777" w:rsidR="00A57A50" w:rsidRPr="00A57A50" w:rsidRDefault="00A57A50" w:rsidP="00A57A50">
      <w:pPr>
        <w:spacing w:before="0" w:after="0"/>
        <w:jc w:val="both"/>
        <w:rPr>
          <w:rFonts w:ascii="Arial" w:hAnsi="Arial" w:cs="Arial"/>
          <w:color w:val="auto"/>
          <w:sz w:val="24"/>
          <w:szCs w:val="24"/>
          <w:lang w:val="en-US"/>
        </w:rPr>
      </w:pPr>
    </w:p>
    <w:p w14:paraId="3583E938" w14:textId="77777777" w:rsidR="00A57A50" w:rsidRPr="00A57A50" w:rsidRDefault="00A57A50" w:rsidP="00A57A50">
      <w:pPr>
        <w:spacing w:before="0" w:after="0"/>
        <w:jc w:val="both"/>
        <w:rPr>
          <w:rFonts w:ascii="Arial" w:hAnsi="Arial" w:cs="Arial"/>
          <w:color w:val="auto"/>
          <w:sz w:val="24"/>
          <w:szCs w:val="24"/>
          <w:lang w:val="en-US"/>
        </w:rPr>
      </w:pPr>
      <w:r w:rsidRPr="00A57A50">
        <w:rPr>
          <w:rFonts w:ascii="Arial" w:hAnsi="Arial" w:cs="Arial"/>
          <w:color w:val="auto"/>
          <w:sz w:val="24"/>
          <w:szCs w:val="24"/>
          <w:lang w:val="en-US"/>
        </w:rPr>
        <w:t xml:space="preserve">Kevin Turpin, Regional Director of Research,  CEE comments: </w:t>
      </w:r>
      <w:r w:rsidRPr="00A57A50">
        <w:rPr>
          <w:rFonts w:ascii="Arial" w:hAnsi="Arial" w:cs="Arial"/>
          <w:i/>
          <w:color w:val="auto"/>
          <w:sz w:val="24"/>
          <w:szCs w:val="24"/>
          <w:lang w:val="en-US"/>
        </w:rPr>
        <w:t>“With the exception of the Czech Republic and Poland, most markets are down on Q1-Q3 volumes versus 2018 &amp; 2017 respectively. However, with the fourth quarter of the year typically being the most active in terms of transaction closures, we expect the region to maintain a similar momentum to the previous 3 years and forecast a full year investment volume of between €12.5 and €13.5 billion.”</w:t>
      </w:r>
    </w:p>
    <w:p w14:paraId="2096D267" w14:textId="77777777" w:rsidR="00A57A50" w:rsidRPr="00A57A50" w:rsidRDefault="00A57A50" w:rsidP="00A57A50">
      <w:pPr>
        <w:spacing w:before="0" w:after="0"/>
        <w:jc w:val="both"/>
        <w:rPr>
          <w:rFonts w:ascii="Arial" w:hAnsi="Arial" w:cs="Arial"/>
          <w:color w:val="auto"/>
          <w:sz w:val="24"/>
          <w:szCs w:val="24"/>
          <w:lang w:val="en-US"/>
        </w:rPr>
      </w:pPr>
    </w:p>
    <w:p w14:paraId="551270B7" w14:textId="39CEEA2C" w:rsidR="00A57A50" w:rsidRPr="00A57A50" w:rsidRDefault="00A57A50" w:rsidP="00A57A50">
      <w:pPr>
        <w:spacing w:before="0" w:after="0"/>
        <w:jc w:val="both"/>
        <w:rPr>
          <w:rFonts w:ascii="Arial" w:hAnsi="Arial" w:cs="Arial"/>
          <w:color w:val="auto"/>
          <w:sz w:val="24"/>
          <w:szCs w:val="24"/>
          <w:lang w:val="en-US"/>
        </w:rPr>
      </w:pPr>
      <w:r w:rsidRPr="00A57A50">
        <w:rPr>
          <w:rFonts w:ascii="Arial" w:hAnsi="Arial" w:cs="Arial"/>
          <w:color w:val="auto"/>
          <w:sz w:val="24"/>
          <w:szCs w:val="24"/>
          <w:lang w:val="en-US"/>
        </w:rPr>
        <w:t xml:space="preserve">Appetite from investors for all asset classes in CEE remains positive, particularly as a vast amount of capital is seeking allocation and the market fundamentals in the region remain compelling. A shortage of core and core plus product can be found in some markets and sectors, as many of such properties are in the hands of </w:t>
      </w:r>
      <w:r w:rsidR="001F2113" w:rsidRPr="00A57A50">
        <w:rPr>
          <w:rFonts w:ascii="Arial" w:hAnsi="Arial" w:cs="Arial"/>
          <w:color w:val="auto"/>
          <w:sz w:val="24"/>
          <w:szCs w:val="24"/>
          <w:lang w:val="en-US"/>
        </w:rPr>
        <w:t>long-term</w:t>
      </w:r>
      <w:r w:rsidRPr="00A57A50">
        <w:rPr>
          <w:rFonts w:ascii="Arial" w:hAnsi="Arial" w:cs="Arial"/>
          <w:color w:val="auto"/>
          <w:sz w:val="24"/>
          <w:szCs w:val="24"/>
          <w:lang w:val="en-US"/>
        </w:rPr>
        <w:t xml:space="preserve"> holders, portfolios and platforms. In addition, some owners may be hesitant to sell without the opportunity for redeploying their capital. </w:t>
      </w:r>
    </w:p>
    <w:p w14:paraId="3F7AF845" w14:textId="77777777" w:rsidR="00A57A50" w:rsidRPr="00A57A50" w:rsidRDefault="00A57A50" w:rsidP="00A57A50">
      <w:pPr>
        <w:spacing w:before="0" w:after="0"/>
        <w:jc w:val="both"/>
        <w:rPr>
          <w:rFonts w:ascii="Arial" w:hAnsi="Arial" w:cs="Arial"/>
          <w:color w:val="auto"/>
          <w:sz w:val="24"/>
          <w:szCs w:val="24"/>
          <w:lang w:val="en-US"/>
        </w:rPr>
      </w:pPr>
    </w:p>
    <w:p w14:paraId="6B933619" w14:textId="77777777" w:rsidR="00A57A50" w:rsidRPr="00A57A50" w:rsidRDefault="00A57A50" w:rsidP="00A57A50">
      <w:pPr>
        <w:spacing w:before="0" w:after="0"/>
        <w:jc w:val="both"/>
        <w:rPr>
          <w:rFonts w:ascii="Arial" w:hAnsi="Arial" w:cs="Arial"/>
          <w:color w:val="auto"/>
          <w:sz w:val="24"/>
          <w:szCs w:val="24"/>
          <w:lang w:val="en-US"/>
        </w:rPr>
      </w:pPr>
      <w:r w:rsidRPr="00A57A50">
        <w:rPr>
          <w:rFonts w:ascii="Arial" w:hAnsi="Arial" w:cs="Arial"/>
          <w:color w:val="auto"/>
          <w:sz w:val="24"/>
          <w:szCs w:val="24"/>
          <w:lang w:val="en-US"/>
        </w:rPr>
        <w:t>As a result, many investors are looking at different strategies such as value-add and opportunistic plays, plus looking into alternative sectors such as student housing, healthcare, private rental (residential), amongst others, although these are still in a relative early phase in terms of availability. More than 50% of capital deployed in the first three quarters of 2019 has come from continental Europe (incl. CEE), with 25% of the total volume coming from CEE investors alone. Asian Capital, particularly from South Korea, has also been active with a share of around 16%.</w:t>
      </w:r>
    </w:p>
    <w:p w14:paraId="098F3E6B" w14:textId="77777777" w:rsidR="00A57A50" w:rsidRPr="00A57A50" w:rsidRDefault="00A57A50" w:rsidP="00A57A50">
      <w:pPr>
        <w:spacing w:before="0" w:after="0"/>
        <w:jc w:val="both"/>
        <w:rPr>
          <w:rFonts w:ascii="Arial" w:hAnsi="Arial" w:cs="Arial"/>
          <w:color w:val="auto"/>
          <w:sz w:val="24"/>
          <w:szCs w:val="24"/>
          <w:lang w:val="en-US"/>
        </w:rPr>
      </w:pPr>
    </w:p>
    <w:p w14:paraId="575A408C" w14:textId="77777777" w:rsidR="00A57A50" w:rsidRPr="00A57A50" w:rsidRDefault="00A57A50" w:rsidP="00A57A50">
      <w:pPr>
        <w:spacing w:before="0" w:after="0"/>
        <w:jc w:val="both"/>
        <w:rPr>
          <w:rFonts w:ascii="Arial" w:hAnsi="Arial" w:cs="Arial"/>
          <w:color w:val="auto"/>
          <w:sz w:val="24"/>
          <w:szCs w:val="24"/>
          <w:lang w:val="en-US"/>
        </w:rPr>
      </w:pPr>
    </w:p>
    <w:p w14:paraId="3C6B251C" w14:textId="77777777" w:rsidR="00A57A50" w:rsidRPr="00A57A50" w:rsidRDefault="00A57A50" w:rsidP="00A57A50">
      <w:pPr>
        <w:spacing w:before="0" w:after="0"/>
        <w:jc w:val="both"/>
        <w:rPr>
          <w:rFonts w:ascii="Arial" w:hAnsi="Arial" w:cs="Arial"/>
          <w:color w:val="auto"/>
          <w:sz w:val="24"/>
          <w:szCs w:val="24"/>
          <w:lang w:val="en-US"/>
        </w:rPr>
      </w:pPr>
      <w:r w:rsidRPr="00A57A50">
        <w:rPr>
          <w:rFonts w:ascii="Arial" w:hAnsi="Arial" w:cs="Arial"/>
          <w:color w:val="auto"/>
          <w:sz w:val="24"/>
          <w:szCs w:val="24"/>
          <w:lang w:val="en-US"/>
        </w:rPr>
        <w:t>Flows by origin of capital in Q1 – Q3 2019 (%):</w:t>
      </w:r>
    </w:p>
    <w:p w14:paraId="757B6C60" w14:textId="77777777" w:rsidR="00A57A50" w:rsidRPr="00A57A50" w:rsidRDefault="00A57A50" w:rsidP="00A57A50">
      <w:pPr>
        <w:spacing w:before="0" w:after="0"/>
        <w:jc w:val="both"/>
        <w:rPr>
          <w:rFonts w:ascii="Arial" w:hAnsi="Arial" w:cs="Arial"/>
          <w:color w:val="auto"/>
          <w:sz w:val="24"/>
          <w:szCs w:val="24"/>
          <w:lang w:val="en-US"/>
        </w:rPr>
      </w:pPr>
    </w:p>
    <w:p w14:paraId="1AF98A7A" w14:textId="77777777" w:rsidR="00A57A50" w:rsidRPr="00A57A50" w:rsidRDefault="00A57A50" w:rsidP="00A57A50">
      <w:pPr>
        <w:spacing w:before="0" w:after="0"/>
        <w:jc w:val="center"/>
        <w:rPr>
          <w:rFonts w:ascii="Arial" w:hAnsi="Arial" w:cs="Arial"/>
          <w:color w:val="auto"/>
          <w:sz w:val="24"/>
          <w:szCs w:val="24"/>
          <w:lang w:val="en-US"/>
        </w:rPr>
      </w:pPr>
      <w:r w:rsidRPr="00A57A50">
        <w:rPr>
          <w:rFonts w:ascii="Arial" w:hAnsi="Arial" w:cs="Arial"/>
          <w:noProof/>
          <w:color w:val="auto"/>
          <w:sz w:val="24"/>
          <w:szCs w:val="24"/>
          <w:lang w:val="en-US"/>
        </w:rPr>
        <w:drawing>
          <wp:inline distT="0" distB="0" distL="0" distR="0" wp14:anchorId="43D377E3" wp14:editId="22AB2A64">
            <wp:extent cx="3514725" cy="2922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3764" cy="2929871"/>
                    </a:xfrm>
                    <a:prstGeom prst="rect">
                      <a:avLst/>
                    </a:prstGeom>
                  </pic:spPr>
                </pic:pic>
              </a:graphicData>
            </a:graphic>
          </wp:inline>
        </w:drawing>
      </w:r>
    </w:p>
    <w:p w14:paraId="72421780" w14:textId="77777777" w:rsidR="00A57A50" w:rsidRPr="00A57A50" w:rsidRDefault="00A57A50" w:rsidP="00A57A50">
      <w:pPr>
        <w:spacing w:before="0" w:after="0"/>
        <w:jc w:val="both"/>
        <w:rPr>
          <w:rFonts w:ascii="Arial" w:hAnsi="Arial" w:cs="Arial"/>
          <w:color w:val="auto"/>
          <w:sz w:val="24"/>
          <w:szCs w:val="24"/>
          <w:lang w:val="en-US"/>
        </w:rPr>
      </w:pPr>
    </w:p>
    <w:p w14:paraId="6C8C77A4" w14:textId="77777777" w:rsidR="00A57A50" w:rsidRPr="00A57A50" w:rsidRDefault="00A57A50" w:rsidP="00A57A50">
      <w:pPr>
        <w:spacing w:before="0" w:after="0"/>
        <w:jc w:val="both"/>
        <w:rPr>
          <w:rFonts w:ascii="Arial" w:hAnsi="Arial" w:cs="Arial"/>
          <w:color w:val="auto"/>
          <w:sz w:val="24"/>
          <w:szCs w:val="24"/>
          <w:lang w:val="en-US"/>
        </w:rPr>
      </w:pPr>
      <w:r w:rsidRPr="00A57A50">
        <w:rPr>
          <w:rFonts w:ascii="Arial" w:hAnsi="Arial" w:cs="Arial"/>
          <w:color w:val="auto"/>
          <w:sz w:val="24"/>
          <w:szCs w:val="24"/>
          <w:lang w:val="en-US"/>
        </w:rPr>
        <w:t xml:space="preserve"> </w:t>
      </w:r>
    </w:p>
    <w:p w14:paraId="63D6CF61" w14:textId="77777777" w:rsidR="00A57A50" w:rsidRPr="00A57A50" w:rsidRDefault="00A57A50" w:rsidP="00A57A50">
      <w:pPr>
        <w:spacing w:before="0" w:after="0"/>
        <w:jc w:val="both"/>
        <w:rPr>
          <w:rFonts w:ascii="Arial" w:hAnsi="Arial" w:cs="Arial"/>
          <w:color w:val="auto"/>
          <w:sz w:val="24"/>
          <w:szCs w:val="24"/>
          <w:lang w:val="en-US"/>
        </w:rPr>
      </w:pPr>
      <w:r w:rsidRPr="00A57A50">
        <w:rPr>
          <w:rFonts w:ascii="Arial" w:hAnsi="Arial" w:cs="Arial"/>
          <w:color w:val="auto"/>
          <w:sz w:val="24"/>
          <w:szCs w:val="24"/>
          <w:lang w:val="en-US"/>
        </w:rPr>
        <w:t xml:space="preserve">Prime yields across all countries and sectors are below, or close to, previous historical lows (pre-GFC). Despite the 375bps spread between Sofia (8.0%) and Prague (4.25%) on Prime offices, there is a further spread to similar product in Germany (3.0%) and to other, perceived, more risk averse investment vehicles, such as government bonds. Further yield compression should be limited, with a few exceptions as highlighted in the report. </w:t>
      </w:r>
    </w:p>
    <w:p w14:paraId="7194BEE6" w14:textId="53593BDA" w:rsidR="00A57A50" w:rsidRPr="00A57A50" w:rsidRDefault="00A57A50" w:rsidP="00A57A50">
      <w:pPr>
        <w:spacing w:before="0" w:after="0"/>
        <w:jc w:val="both"/>
        <w:rPr>
          <w:rFonts w:ascii="Arial" w:hAnsi="Arial" w:cs="Arial"/>
          <w:color w:val="auto"/>
          <w:sz w:val="24"/>
          <w:szCs w:val="24"/>
          <w:lang w:val="en-US"/>
        </w:rPr>
      </w:pPr>
    </w:p>
    <w:p w14:paraId="726C7104" w14:textId="77777777" w:rsidR="00A57A50" w:rsidRPr="00A57A50" w:rsidRDefault="00A57A50" w:rsidP="00A57A50">
      <w:pPr>
        <w:autoSpaceDE w:val="0"/>
        <w:autoSpaceDN w:val="0"/>
        <w:adjustRightInd w:val="0"/>
        <w:jc w:val="center"/>
        <w:rPr>
          <w:rFonts w:ascii="Arial" w:hAnsi="Arial" w:cs="Arial"/>
          <w:b/>
          <w:sz w:val="24"/>
          <w:szCs w:val="24"/>
        </w:rPr>
      </w:pPr>
      <w:r w:rsidRPr="00A57A50">
        <w:rPr>
          <w:rFonts w:ascii="Arial" w:hAnsi="Arial" w:cs="Arial"/>
          <w:b/>
          <w:sz w:val="24"/>
          <w:szCs w:val="24"/>
        </w:rPr>
        <w:t>***</w:t>
      </w:r>
    </w:p>
    <w:p w14:paraId="4538A335" w14:textId="77777777" w:rsidR="00A57A50" w:rsidRPr="00A57A50" w:rsidRDefault="00A57A50" w:rsidP="00A57A50">
      <w:pPr>
        <w:autoSpaceDE w:val="0"/>
        <w:autoSpaceDN w:val="0"/>
        <w:adjustRightInd w:val="0"/>
        <w:rPr>
          <w:rFonts w:cs="Arial"/>
          <w:b/>
          <w:sz w:val="18"/>
          <w:szCs w:val="18"/>
        </w:rPr>
      </w:pPr>
    </w:p>
    <w:p w14:paraId="0583BD73" w14:textId="77777777" w:rsidR="00A57A50" w:rsidRPr="00A57A50" w:rsidRDefault="00A57A50" w:rsidP="00A57A50">
      <w:pPr>
        <w:autoSpaceDE w:val="0"/>
        <w:autoSpaceDN w:val="0"/>
        <w:adjustRightInd w:val="0"/>
        <w:jc w:val="both"/>
        <w:rPr>
          <w:rFonts w:ascii="Arial" w:hAnsi="Arial" w:cs="Arial"/>
          <w:b/>
          <w:szCs w:val="20"/>
        </w:rPr>
      </w:pPr>
      <w:r w:rsidRPr="00A57A50">
        <w:rPr>
          <w:rFonts w:ascii="Arial" w:hAnsi="Arial" w:cs="Arial"/>
          <w:b/>
          <w:szCs w:val="20"/>
        </w:rPr>
        <w:t>About Colliers International</w:t>
      </w:r>
    </w:p>
    <w:p w14:paraId="2A079316" w14:textId="77777777" w:rsidR="00A57A50" w:rsidRPr="00A57A50" w:rsidRDefault="00A57A50" w:rsidP="00A57A50">
      <w:pPr>
        <w:jc w:val="both"/>
        <w:rPr>
          <w:rFonts w:ascii="Arial" w:eastAsia="Calibri" w:hAnsi="Arial" w:cs="Arial"/>
          <w:color w:val="auto"/>
          <w:szCs w:val="20"/>
        </w:rPr>
      </w:pPr>
      <w:r w:rsidRPr="00A57A50">
        <w:rPr>
          <w:rFonts w:ascii="Arial" w:eastAsia="Calibri" w:hAnsi="Arial" w:cs="Arial"/>
          <w:color w:val="auto"/>
          <w:szCs w:val="20"/>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w:t>
      </w:r>
    </w:p>
    <w:p w14:paraId="15B78A75" w14:textId="77777777" w:rsidR="00A57A50" w:rsidRPr="00A57A50" w:rsidRDefault="00A57A50" w:rsidP="00A57A50">
      <w:pPr>
        <w:jc w:val="both"/>
        <w:rPr>
          <w:rFonts w:ascii="Arial" w:eastAsia="Calibri" w:hAnsi="Arial" w:cs="Arial"/>
          <w:color w:val="auto"/>
          <w:szCs w:val="20"/>
        </w:rPr>
      </w:pPr>
      <w:r w:rsidRPr="00A57A50">
        <w:rPr>
          <w:rFonts w:ascii="Arial" w:eastAsia="Calibri" w:hAnsi="Arial" w:cs="Arial"/>
          <w:color w:val="auto"/>
          <w:szCs w:val="20"/>
        </w:rPr>
        <w:t xml:space="preserve">Learn more about how we accelerate success at </w:t>
      </w:r>
      <w:hyperlink r:id="rId10" w:history="1">
        <w:r w:rsidRPr="00A57A50">
          <w:rPr>
            <w:rFonts w:ascii="Arial" w:hAnsi="Arial" w:cs="Arial"/>
            <w:color w:val="0563C1" w:themeColor="hyperlink"/>
            <w:szCs w:val="20"/>
            <w:u w:val="single"/>
            <w:lang w:val="ro-RO"/>
          </w:rPr>
          <w:t>www2.colliers.com/en-RO</w:t>
        </w:r>
      </w:hyperlink>
      <w:r w:rsidRPr="00A57A50">
        <w:rPr>
          <w:rFonts w:ascii="Arial" w:hAnsi="Arial" w:cs="Arial"/>
          <w:szCs w:val="20"/>
          <w:lang w:val="ro-RO"/>
        </w:rPr>
        <w:t xml:space="preserve">, </w:t>
      </w:r>
      <w:hyperlink r:id="rId11" w:history="1">
        <w:r w:rsidRPr="00A57A50">
          <w:rPr>
            <w:rFonts w:ascii="Arial" w:hAnsi="Arial" w:cs="Arial"/>
            <w:color w:val="0563C1" w:themeColor="hyperlink"/>
            <w:szCs w:val="20"/>
            <w:u w:val="single"/>
            <w:lang w:val="ro-RO"/>
          </w:rPr>
          <w:t>Facebook</w:t>
        </w:r>
      </w:hyperlink>
      <w:r w:rsidRPr="00A57A50">
        <w:rPr>
          <w:rFonts w:ascii="Arial" w:hAnsi="Arial" w:cs="Arial"/>
          <w:szCs w:val="20"/>
          <w:lang w:val="ro-RO"/>
        </w:rPr>
        <w:t xml:space="preserve">, </w:t>
      </w:r>
      <w:hyperlink r:id="rId12" w:history="1">
        <w:r w:rsidRPr="00A57A50">
          <w:rPr>
            <w:rFonts w:ascii="Arial" w:hAnsi="Arial" w:cs="Arial"/>
            <w:color w:val="0563C1" w:themeColor="hyperlink"/>
            <w:szCs w:val="20"/>
            <w:u w:val="single"/>
            <w:lang w:val="ro-RO"/>
          </w:rPr>
          <w:t>LinkedIn</w:t>
        </w:r>
      </w:hyperlink>
      <w:r w:rsidRPr="00A57A50">
        <w:rPr>
          <w:rFonts w:ascii="Arial" w:hAnsi="Arial" w:cs="Arial"/>
          <w:szCs w:val="20"/>
          <w:lang w:val="ro-RO"/>
        </w:rPr>
        <w:t xml:space="preserve"> and </w:t>
      </w:r>
      <w:hyperlink r:id="rId13" w:history="1">
        <w:r w:rsidRPr="00A57A50">
          <w:rPr>
            <w:rFonts w:ascii="Arial" w:hAnsi="Arial" w:cs="Arial"/>
            <w:color w:val="0563C1" w:themeColor="hyperlink"/>
            <w:szCs w:val="20"/>
            <w:u w:val="single"/>
            <w:lang w:val="ro-RO"/>
          </w:rPr>
          <w:t>Instagram</w:t>
        </w:r>
      </w:hyperlink>
      <w:r w:rsidRPr="00A57A50">
        <w:rPr>
          <w:rFonts w:ascii="Arial" w:eastAsia="Calibri" w:hAnsi="Arial" w:cs="Arial"/>
          <w:color w:val="auto"/>
          <w:szCs w:val="20"/>
        </w:rPr>
        <w:t xml:space="preserve">. </w:t>
      </w:r>
    </w:p>
    <w:p w14:paraId="760FB64D" w14:textId="77777777" w:rsidR="00A57A50" w:rsidRPr="00A57A50" w:rsidRDefault="00A57A50" w:rsidP="00A57A50">
      <w:pPr>
        <w:rPr>
          <w:rFonts w:ascii="Arial" w:eastAsia="Calibri" w:hAnsi="Arial" w:cs="Arial"/>
          <w:b/>
          <w:color w:val="auto"/>
          <w:szCs w:val="20"/>
        </w:rPr>
      </w:pPr>
      <w:r w:rsidRPr="00A57A50">
        <w:rPr>
          <w:rFonts w:ascii="Arial" w:eastAsia="Calibri" w:hAnsi="Arial" w:cs="Arial"/>
          <w:b/>
          <w:color w:val="auto"/>
          <w:szCs w:val="20"/>
        </w:rPr>
        <w:t>For more information, please contact:</w:t>
      </w:r>
    </w:p>
    <w:p w14:paraId="2B72EC03" w14:textId="77777777" w:rsidR="00A57A50" w:rsidRPr="00A57A50" w:rsidRDefault="00A57A50" w:rsidP="00A57A50">
      <w:pPr>
        <w:rPr>
          <w:rFonts w:ascii="Arial" w:eastAsia="Calibri" w:hAnsi="Arial" w:cs="Arial"/>
          <w:color w:val="auto"/>
          <w:szCs w:val="20"/>
        </w:rPr>
      </w:pPr>
      <w:r w:rsidRPr="00A57A50">
        <w:rPr>
          <w:rFonts w:ascii="Arial" w:eastAsia="Calibri" w:hAnsi="Arial" w:cs="Arial"/>
          <w:color w:val="auto"/>
          <w:szCs w:val="20"/>
        </w:rPr>
        <w:t>Aleksandra Wasilewska</w:t>
      </w:r>
    </w:p>
    <w:p w14:paraId="72D4FDE9" w14:textId="520D36AF" w:rsidR="00A57A50" w:rsidRDefault="00A57A50" w:rsidP="00A57A50">
      <w:pPr>
        <w:rPr>
          <w:rFonts w:ascii="Arial" w:eastAsia="Calibri" w:hAnsi="Arial" w:cs="Arial"/>
          <w:color w:val="auto"/>
          <w:szCs w:val="20"/>
        </w:rPr>
      </w:pPr>
      <w:r w:rsidRPr="00A57A50">
        <w:rPr>
          <w:rFonts w:ascii="Arial" w:eastAsia="Calibri" w:hAnsi="Arial" w:cs="Arial"/>
          <w:color w:val="auto"/>
          <w:szCs w:val="20"/>
        </w:rPr>
        <w:t xml:space="preserve">PR Director, </w:t>
      </w:r>
      <w:r w:rsidR="009A6302">
        <w:rPr>
          <w:rFonts w:ascii="Arial" w:eastAsia="Calibri" w:hAnsi="Arial" w:cs="Arial"/>
          <w:color w:val="auto"/>
          <w:szCs w:val="20"/>
        </w:rPr>
        <w:t>CEE/</w:t>
      </w:r>
      <w:bookmarkStart w:id="3" w:name="_GoBack"/>
      <w:bookmarkEnd w:id="3"/>
      <w:r w:rsidRPr="00A57A50">
        <w:rPr>
          <w:rFonts w:ascii="Arial" w:eastAsia="Calibri" w:hAnsi="Arial" w:cs="Arial"/>
          <w:color w:val="auto"/>
          <w:szCs w:val="20"/>
        </w:rPr>
        <w:t>EMEA</w:t>
      </w:r>
    </w:p>
    <w:p w14:paraId="48B75DD0" w14:textId="5B809A91" w:rsidR="00A57A50" w:rsidRPr="00A57A50" w:rsidRDefault="00A57A50" w:rsidP="00A57A50">
      <w:pPr>
        <w:rPr>
          <w:rFonts w:ascii="Arial" w:eastAsia="Calibri" w:hAnsi="Arial" w:cs="Arial"/>
          <w:color w:val="auto"/>
          <w:szCs w:val="20"/>
        </w:rPr>
      </w:pPr>
      <w:r>
        <w:rPr>
          <w:rFonts w:ascii="Arial" w:eastAsia="Calibri" w:hAnsi="Arial" w:cs="Arial"/>
          <w:color w:val="auto"/>
          <w:szCs w:val="20"/>
        </w:rPr>
        <w:t>Aleksandra.wasilewska@colliers.com</w:t>
      </w:r>
    </w:p>
    <w:p w14:paraId="69112C8A" w14:textId="701DD724" w:rsidR="00A57A50" w:rsidRDefault="00A57A50" w:rsidP="00A57A50">
      <w:pPr>
        <w:pStyle w:val="BodyText"/>
        <w:ind w:right="180"/>
        <w:rPr>
          <w:rFonts w:ascii="Arial" w:hAnsi="Arial" w:cs="Arial"/>
          <w:b/>
          <w:bCs/>
          <w:sz w:val="24"/>
          <w:szCs w:val="24"/>
        </w:rPr>
      </w:pPr>
      <w:r w:rsidRPr="00A57A50">
        <w:rPr>
          <w:rFonts w:ascii="Arial" w:eastAsia="DengXian" w:hAnsi="Arial" w:cs="Arial"/>
          <w:color w:val="000000" w:themeColor="text1"/>
          <w:sz w:val="20"/>
          <w:lang w:val="ro-RO"/>
        </w:rPr>
        <w:t xml:space="preserve">Phone: </w:t>
      </w:r>
      <w:r w:rsidRPr="00A57A50">
        <w:rPr>
          <w:rFonts w:ascii="Arial" w:eastAsia="DengXian" w:hAnsi="Arial" w:cs="Arial"/>
          <w:sz w:val="20"/>
          <w:lang w:val="ro-RO" w:eastAsia="zh-CN"/>
        </w:rPr>
        <w:t xml:space="preserve">+48 510 020 050  </w:t>
      </w:r>
    </w:p>
    <w:bookmarkEnd w:id="0"/>
    <w:bookmarkEnd w:id="1"/>
    <w:bookmarkEnd w:id="2"/>
    <w:p w14:paraId="50E54C62" w14:textId="77777777" w:rsidR="00BF1681" w:rsidRPr="00AA7522" w:rsidRDefault="00BF1681" w:rsidP="00BF1681">
      <w:pPr>
        <w:spacing w:before="0" w:after="160" w:line="259" w:lineRule="auto"/>
      </w:pPr>
    </w:p>
    <w:sectPr w:rsidR="00BF1681" w:rsidRPr="00AA7522" w:rsidSect="00AD73C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2DF5" w14:textId="77777777" w:rsidR="003C35D9" w:rsidRDefault="003C35D9" w:rsidP="007C68E7">
      <w:pPr>
        <w:spacing w:before="0" w:after="0" w:line="240" w:lineRule="auto"/>
      </w:pPr>
      <w:r>
        <w:separator/>
      </w:r>
    </w:p>
  </w:endnote>
  <w:endnote w:type="continuationSeparator" w:id="0">
    <w:p w14:paraId="76FEA669" w14:textId="77777777" w:rsidR="003C35D9" w:rsidRDefault="003C35D9"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aux Next Regular">
    <w:altName w:val="Calibri"/>
    <w:charset w:val="00"/>
    <w:family w:val="auto"/>
    <w:pitch w:val="variable"/>
    <w:sig w:usb0="A000006F" w:usb1="4000204B" w:usb2="00000000" w:usb3="00000000" w:csb0="00000093" w:csb1="00000000"/>
  </w:font>
  <w:font w:name="Aaux Next Bold">
    <w:altName w:val="Arial Narrow"/>
    <w:charset w:val="00"/>
    <w:family w:val="auto"/>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B194" w14:textId="77777777" w:rsidR="007863D8" w:rsidRDefault="00786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61E49D9E" w14:textId="77777777" w:rsidR="007863D8" w:rsidRPr="007C68E7" w:rsidRDefault="007863D8"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14:anchorId="24768952" wp14:editId="727EE64D">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8764"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14:anchorId="09561E2C" wp14:editId="47D03DC0">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6AF0D619" w14:textId="77777777" w:rsidR="007863D8" w:rsidRPr="00D452FD" w:rsidRDefault="007863D8"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61E2C"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6AF0D619" w14:textId="77777777" w:rsidR="007863D8" w:rsidRPr="00D452FD" w:rsidRDefault="007863D8"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eastAsia="en-GB"/>
          </w:rPr>
          <mc:AlternateContent>
            <mc:Choice Requires="wps">
              <w:drawing>
                <wp:anchor distT="0" distB="0" distL="114300" distR="114300" simplePos="0" relativeHeight="251677696" behindDoc="0" locked="0" layoutInCell="1" allowOverlap="1" wp14:anchorId="1ADDB855" wp14:editId="46F55697">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CCC84"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136AEF">
          <w:rPr>
            <w:noProof/>
            <w:color w:val="FFFFFF" w:themeColor="background1"/>
          </w:rPr>
          <w:t>2</w:t>
        </w:r>
        <w:r w:rsidRPr="007C68E7">
          <w:rPr>
            <w:noProof/>
            <w:color w:val="FFFFFF" w:themeColor="background1"/>
          </w:rPr>
          <w:fldChar w:fldCharType="end"/>
        </w:r>
      </w:p>
    </w:sdtContent>
  </w:sdt>
  <w:p w14:paraId="1A7F9AE1" w14:textId="77777777" w:rsidR="007863D8" w:rsidRDefault="00786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11E6" w14:textId="77777777" w:rsidR="007863D8" w:rsidRDefault="0078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5679D" w14:textId="77777777" w:rsidR="003C35D9" w:rsidRDefault="003C35D9" w:rsidP="007C68E7">
      <w:pPr>
        <w:spacing w:before="0" w:after="0" w:line="240" w:lineRule="auto"/>
      </w:pPr>
      <w:r>
        <w:separator/>
      </w:r>
    </w:p>
  </w:footnote>
  <w:footnote w:type="continuationSeparator" w:id="0">
    <w:p w14:paraId="69C89C8B" w14:textId="77777777" w:rsidR="003C35D9" w:rsidRDefault="003C35D9"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7C0" w14:textId="77777777" w:rsidR="007863D8" w:rsidRDefault="00786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71CB" w14:textId="77777777" w:rsidR="007863D8" w:rsidRPr="00AE3437" w:rsidRDefault="007863D8">
    <w:pPr>
      <w:pStyle w:val="Header"/>
    </w:pPr>
    <w:r>
      <w:rPr>
        <w:noProof/>
        <w:lang w:eastAsia="en-GB"/>
      </w:rPr>
      <mc:AlternateContent>
        <mc:Choice Requires="wps">
          <w:drawing>
            <wp:anchor distT="0" distB="0" distL="114300" distR="114300" simplePos="0" relativeHeight="251675648" behindDoc="0" locked="0" layoutInCell="1" allowOverlap="1" wp14:anchorId="6A1BC07D" wp14:editId="45B46A14">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4D07C428" w14:textId="77777777" w:rsidR="007863D8" w:rsidRPr="00D452FD" w:rsidRDefault="007863D8" w:rsidP="00D452FD">
                          <w:pPr>
                            <w:pStyle w:val="Header"/>
                            <w:jc w:val="center"/>
                            <w:rPr>
                              <w:color w:val="FFFFFF" w:themeColor="background1"/>
                            </w:rPr>
                          </w:pPr>
                          <w:r>
                            <w:rPr>
                              <w:color w:val="FFFFFF" w:themeColor="background1"/>
                            </w:rPr>
                            <w:t>NEWS RELEASE</w:t>
                          </w:r>
                        </w:p>
                        <w:p w14:paraId="3DFD228D" w14:textId="77777777" w:rsidR="007863D8" w:rsidRPr="00D452FD" w:rsidRDefault="007863D8"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BC07D"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4D07C428" w14:textId="77777777" w:rsidR="007863D8" w:rsidRPr="00D452FD" w:rsidRDefault="007863D8" w:rsidP="00D452FD">
                    <w:pPr>
                      <w:pStyle w:val="Header"/>
                      <w:jc w:val="center"/>
                      <w:rPr>
                        <w:color w:val="FFFFFF" w:themeColor="background1"/>
                      </w:rPr>
                    </w:pPr>
                    <w:r>
                      <w:rPr>
                        <w:color w:val="FFFFFF" w:themeColor="background1"/>
                      </w:rPr>
                      <w:t>NEWS RELEASE</w:t>
                    </w:r>
                  </w:p>
                  <w:p w14:paraId="3DFD228D" w14:textId="77777777" w:rsidR="007863D8" w:rsidRPr="00D452FD" w:rsidRDefault="007863D8"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355665F8" wp14:editId="4E92B9BA">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27ED"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6672" behindDoc="0" locked="0" layoutInCell="1" allowOverlap="1" wp14:anchorId="6DEBFE37" wp14:editId="11848888">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735AA"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923E" w14:textId="77777777" w:rsidR="007863D8" w:rsidRDefault="0078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8"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E29DE"/>
    <w:multiLevelType w:val="hybridMultilevel"/>
    <w:tmpl w:val="4AAAD6C6"/>
    <w:lvl w:ilvl="0" w:tplc="BAB402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10"/>
  </w:num>
  <w:num w:numId="6">
    <w:abstractNumId w:val="27"/>
  </w:num>
  <w:num w:numId="7">
    <w:abstractNumId w:val="2"/>
  </w:num>
  <w:num w:numId="8">
    <w:abstractNumId w:val="12"/>
  </w:num>
  <w:num w:numId="9">
    <w:abstractNumId w:val="8"/>
  </w:num>
  <w:num w:numId="10">
    <w:abstractNumId w:val="11"/>
  </w:num>
  <w:num w:numId="11">
    <w:abstractNumId w:val="0"/>
  </w:num>
  <w:num w:numId="12">
    <w:abstractNumId w:val="30"/>
  </w:num>
  <w:num w:numId="13">
    <w:abstractNumId w:val="14"/>
  </w:num>
  <w:num w:numId="14">
    <w:abstractNumId w:val="14"/>
  </w:num>
  <w:num w:numId="15">
    <w:abstractNumId w:val="14"/>
  </w:num>
  <w:num w:numId="16">
    <w:abstractNumId w:val="14"/>
  </w:num>
  <w:num w:numId="17">
    <w:abstractNumId w:val="14"/>
  </w:num>
  <w:num w:numId="18">
    <w:abstractNumId w:val="29"/>
  </w:num>
  <w:num w:numId="19">
    <w:abstractNumId w:val="1"/>
  </w:num>
  <w:num w:numId="20">
    <w:abstractNumId w:val="18"/>
  </w:num>
  <w:num w:numId="21">
    <w:abstractNumId w:val="13"/>
  </w:num>
  <w:num w:numId="22">
    <w:abstractNumId w:val="16"/>
  </w:num>
  <w:num w:numId="23">
    <w:abstractNumId w:val="14"/>
  </w:num>
  <w:num w:numId="24">
    <w:abstractNumId w:val="18"/>
  </w:num>
  <w:num w:numId="25">
    <w:abstractNumId w:val="1"/>
  </w:num>
  <w:num w:numId="26">
    <w:abstractNumId w:val="25"/>
  </w:num>
  <w:num w:numId="27">
    <w:abstractNumId w:val="23"/>
  </w:num>
  <w:num w:numId="28">
    <w:abstractNumId w:val="21"/>
  </w:num>
  <w:num w:numId="29">
    <w:abstractNumId w:val="6"/>
  </w:num>
  <w:num w:numId="30">
    <w:abstractNumId w:val="14"/>
  </w:num>
  <w:num w:numId="31">
    <w:abstractNumId w:val="3"/>
  </w:num>
  <w:num w:numId="32">
    <w:abstractNumId w:val="7"/>
  </w:num>
  <w:num w:numId="33">
    <w:abstractNumId w:val="14"/>
  </w:num>
  <w:num w:numId="34">
    <w:abstractNumId w:val="14"/>
  </w:num>
  <w:num w:numId="35">
    <w:abstractNumId w:val="14"/>
  </w:num>
  <w:num w:numId="36">
    <w:abstractNumId w:val="4"/>
  </w:num>
  <w:num w:numId="37">
    <w:abstractNumId w:val="28"/>
  </w:num>
  <w:num w:numId="38">
    <w:abstractNumId w:val="14"/>
  </w:num>
  <w:num w:numId="39">
    <w:abstractNumId w:val="14"/>
  </w:num>
  <w:num w:numId="40">
    <w:abstractNumId w:val="14"/>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6"/>
  </w:num>
  <w:num w:numId="45">
    <w:abstractNumId w:val="24"/>
  </w:num>
  <w:num w:numId="46">
    <w:abstractNumId w:val="20"/>
  </w:num>
  <w:num w:numId="4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27FA8"/>
    <w:rsid w:val="00045B50"/>
    <w:rsid w:val="0005355D"/>
    <w:rsid w:val="00057230"/>
    <w:rsid w:val="000B6C6E"/>
    <w:rsid w:val="000C2749"/>
    <w:rsid w:val="000F4293"/>
    <w:rsid w:val="000F600D"/>
    <w:rsid w:val="00103598"/>
    <w:rsid w:val="001042FF"/>
    <w:rsid w:val="00126400"/>
    <w:rsid w:val="00132DE6"/>
    <w:rsid w:val="00134F4A"/>
    <w:rsid w:val="00136AEF"/>
    <w:rsid w:val="001522F2"/>
    <w:rsid w:val="00174963"/>
    <w:rsid w:val="00181C88"/>
    <w:rsid w:val="00196180"/>
    <w:rsid w:val="001A331F"/>
    <w:rsid w:val="001B166F"/>
    <w:rsid w:val="001F2113"/>
    <w:rsid w:val="00200B2D"/>
    <w:rsid w:val="002313A1"/>
    <w:rsid w:val="00242F79"/>
    <w:rsid w:val="00245371"/>
    <w:rsid w:val="00246EAE"/>
    <w:rsid w:val="00262C4E"/>
    <w:rsid w:val="002635EA"/>
    <w:rsid w:val="00286251"/>
    <w:rsid w:val="00296ABC"/>
    <w:rsid w:val="002A02ED"/>
    <w:rsid w:val="002A1E33"/>
    <w:rsid w:val="002A48BB"/>
    <w:rsid w:val="002B10FF"/>
    <w:rsid w:val="002B492F"/>
    <w:rsid w:val="002D12A0"/>
    <w:rsid w:val="002D4C0A"/>
    <w:rsid w:val="002E2916"/>
    <w:rsid w:val="002F265D"/>
    <w:rsid w:val="002F4480"/>
    <w:rsid w:val="002F7E6E"/>
    <w:rsid w:val="003031F8"/>
    <w:rsid w:val="00320326"/>
    <w:rsid w:val="0032696E"/>
    <w:rsid w:val="003277DA"/>
    <w:rsid w:val="003460A5"/>
    <w:rsid w:val="00381B75"/>
    <w:rsid w:val="00384B0A"/>
    <w:rsid w:val="00387F1D"/>
    <w:rsid w:val="00392654"/>
    <w:rsid w:val="003B2A23"/>
    <w:rsid w:val="003C35D9"/>
    <w:rsid w:val="003D1C5E"/>
    <w:rsid w:val="003E1DE0"/>
    <w:rsid w:val="003F06BB"/>
    <w:rsid w:val="003F5400"/>
    <w:rsid w:val="00404D40"/>
    <w:rsid w:val="00412A8C"/>
    <w:rsid w:val="004361BF"/>
    <w:rsid w:val="00441CD1"/>
    <w:rsid w:val="0044429C"/>
    <w:rsid w:val="00453920"/>
    <w:rsid w:val="00471B1A"/>
    <w:rsid w:val="004740AB"/>
    <w:rsid w:val="00484710"/>
    <w:rsid w:val="004A606B"/>
    <w:rsid w:val="004C6347"/>
    <w:rsid w:val="004E2AE7"/>
    <w:rsid w:val="00501F4A"/>
    <w:rsid w:val="0051700E"/>
    <w:rsid w:val="00534CD3"/>
    <w:rsid w:val="0054606D"/>
    <w:rsid w:val="005465AF"/>
    <w:rsid w:val="00552096"/>
    <w:rsid w:val="00555F08"/>
    <w:rsid w:val="00580A78"/>
    <w:rsid w:val="00580DE1"/>
    <w:rsid w:val="005845D2"/>
    <w:rsid w:val="005849A0"/>
    <w:rsid w:val="0058745B"/>
    <w:rsid w:val="005B7286"/>
    <w:rsid w:val="005C1DCA"/>
    <w:rsid w:val="005C78BA"/>
    <w:rsid w:val="005D0205"/>
    <w:rsid w:val="005D278E"/>
    <w:rsid w:val="005D507F"/>
    <w:rsid w:val="005D5121"/>
    <w:rsid w:val="005D7A86"/>
    <w:rsid w:val="00600EEE"/>
    <w:rsid w:val="00605E80"/>
    <w:rsid w:val="00606DB1"/>
    <w:rsid w:val="00615640"/>
    <w:rsid w:val="00627D70"/>
    <w:rsid w:val="006359AD"/>
    <w:rsid w:val="006368DE"/>
    <w:rsid w:val="0066334B"/>
    <w:rsid w:val="00671B78"/>
    <w:rsid w:val="006728DD"/>
    <w:rsid w:val="00672D47"/>
    <w:rsid w:val="00676335"/>
    <w:rsid w:val="00677648"/>
    <w:rsid w:val="00683376"/>
    <w:rsid w:val="00696A8F"/>
    <w:rsid w:val="006A3FE0"/>
    <w:rsid w:val="006B255A"/>
    <w:rsid w:val="006D65A3"/>
    <w:rsid w:val="006D6C1E"/>
    <w:rsid w:val="006F779C"/>
    <w:rsid w:val="007301EC"/>
    <w:rsid w:val="00743CCF"/>
    <w:rsid w:val="0078271B"/>
    <w:rsid w:val="00783DF8"/>
    <w:rsid w:val="007863D8"/>
    <w:rsid w:val="007A20ED"/>
    <w:rsid w:val="007A60FA"/>
    <w:rsid w:val="007C68E7"/>
    <w:rsid w:val="007C7C23"/>
    <w:rsid w:val="007D3338"/>
    <w:rsid w:val="007E0A01"/>
    <w:rsid w:val="007E3D74"/>
    <w:rsid w:val="0084322D"/>
    <w:rsid w:val="00850AD7"/>
    <w:rsid w:val="00870DF4"/>
    <w:rsid w:val="008939FA"/>
    <w:rsid w:val="008A3C27"/>
    <w:rsid w:val="008A5EFF"/>
    <w:rsid w:val="008B3226"/>
    <w:rsid w:val="008F3772"/>
    <w:rsid w:val="00907454"/>
    <w:rsid w:val="00913A7C"/>
    <w:rsid w:val="00923C49"/>
    <w:rsid w:val="00926120"/>
    <w:rsid w:val="009461E1"/>
    <w:rsid w:val="00947453"/>
    <w:rsid w:val="00955D05"/>
    <w:rsid w:val="00956685"/>
    <w:rsid w:val="00965301"/>
    <w:rsid w:val="009839BC"/>
    <w:rsid w:val="0098591D"/>
    <w:rsid w:val="00993B8D"/>
    <w:rsid w:val="00993D2A"/>
    <w:rsid w:val="00994780"/>
    <w:rsid w:val="0099588E"/>
    <w:rsid w:val="009A6302"/>
    <w:rsid w:val="009B4DE7"/>
    <w:rsid w:val="009B6EEC"/>
    <w:rsid w:val="009C01F3"/>
    <w:rsid w:val="009E5544"/>
    <w:rsid w:val="009E655D"/>
    <w:rsid w:val="009F054C"/>
    <w:rsid w:val="00A0784E"/>
    <w:rsid w:val="00A22021"/>
    <w:rsid w:val="00A36624"/>
    <w:rsid w:val="00A37AAD"/>
    <w:rsid w:val="00A535B1"/>
    <w:rsid w:val="00A57A50"/>
    <w:rsid w:val="00A900BE"/>
    <w:rsid w:val="00A950C6"/>
    <w:rsid w:val="00A9765F"/>
    <w:rsid w:val="00A97BF2"/>
    <w:rsid w:val="00AA7522"/>
    <w:rsid w:val="00AD27BE"/>
    <w:rsid w:val="00AD5BD7"/>
    <w:rsid w:val="00AD5FB5"/>
    <w:rsid w:val="00AD73C4"/>
    <w:rsid w:val="00AE3437"/>
    <w:rsid w:val="00AE4B1B"/>
    <w:rsid w:val="00AF5B26"/>
    <w:rsid w:val="00B0452F"/>
    <w:rsid w:val="00B068F5"/>
    <w:rsid w:val="00B07781"/>
    <w:rsid w:val="00B21EFA"/>
    <w:rsid w:val="00B577C9"/>
    <w:rsid w:val="00B63E80"/>
    <w:rsid w:val="00B854A4"/>
    <w:rsid w:val="00B93AC0"/>
    <w:rsid w:val="00BA3543"/>
    <w:rsid w:val="00BB1971"/>
    <w:rsid w:val="00BC1D5F"/>
    <w:rsid w:val="00BC3DA1"/>
    <w:rsid w:val="00BC3EBC"/>
    <w:rsid w:val="00BE27EB"/>
    <w:rsid w:val="00BE4094"/>
    <w:rsid w:val="00BF1681"/>
    <w:rsid w:val="00C05D31"/>
    <w:rsid w:val="00C060D0"/>
    <w:rsid w:val="00C13823"/>
    <w:rsid w:val="00C23D66"/>
    <w:rsid w:val="00C4218E"/>
    <w:rsid w:val="00C4282B"/>
    <w:rsid w:val="00C55AAB"/>
    <w:rsid w:val="00C576A9"/>
    <w:rsid w:val="00C953F6"/>
    <w:rsid w:val="00CA14E8"/>
    <w:rsid w:val="00CA4D9F"/>
    <w:rsid w:val="00CB121A"/>
    <w:rsid w:val="00CB6526"/>
    <w:rsid w:val="00CC5DBC"/>
    <w:rsid w:val="00CE6120"/>
    <w:rsid w:val="00CF3DFE"/>
    <w:rsid w:val="00CF54A2"/>
    <w:rsid w:val="00CF7D5C"/>
    <w:rsid w:val="00D1533C"/>
    <w:rsid w:val="00D2596B"/>
    <w:rsid w:val="00D452FD"/>
    <w:rsid w:val="00D45B77"/>
    <w:rsid w:val="00D52CE5"/>
    <w:rsid w:val="00D57D94"/>
    <w:rsid w:val="00D639CA"/>
    <w:rsid w:val="00D64115"/>
    <w:rsid w:val="00DA32B7"/>
    <w:rsid w:val="00DA54E1"/>
    <w:rsid w:val="00DA67B1"/>
    <w:rsid w:val="00DC5509"/>
    <w:rsid w:val="00DD249C"/>
    <w:rsid w:val="00DD7F88"/>
    <w:rsid w:val="00DF7514"/>
    <w:rsid w:val="00E102FD"/>
    <w:rsid w:val="00E17F4A"/>
    <w:rsid w:val="00E202B5"/>
    <w:rsid w:val="00E241F5"/>
    <w:rsid w:val="00E24FEE"/>
    <w:rsid w:val="00E30974"/>
    <w:rsid w:val="00E30D13"/>
    <w:rsid w:val="00E31D52"/>
    <w:rsid w:val="00E56DE6"/>
    <w:rsid w:val="00E63B80"/>
    <w:rsid w:val="00E72900"/>
    <w:rsid w:val="00E72EFB"/>
    <w:rsid w:val="00E950B5"/>
    <w:rsid w:val="00EB1991"/>
    <w:rsid w:val="00EB19A6"/>
    <w:rsid w:val="00EB5133"/>
    <w:rsid w:val="00EC2935"/>
    <w:rsid w:val="00EC3C41"/>
    <w:rsid w:val="00ED368A"/>
    <w:rsid w:val="00EF0ECB"/>
    <w:rsid w:val="00F01D3D"/>
    <w:rsid w:val="00F10F8A"/>
    <w:rsid w:val="00F37811"/>
    <w:rsid w:val="00F62210"/>
    <w:rsid w:val="00F973A8"/>
    <w:rsid w:val="00FA3927"/>
    <w:rsid w:val="00FA632B"/>
    <w:rsid w:val="00FB47E0"/>
    <w:rsid w:val="00FB6BE6"/>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F9B3E"/>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8B3226"/>
    <w:rPr>
      <w:color w:val="605E5C"/>
      <w:shd w:val="clear" w:color="auto" w:fill="E1DFDD"/>
    </w:rPr>
  </w:style>
  <w:style w:type="character" w:styleId="UnresolvedMention">
    <w:name w:val="Unresolved Mention"/>
    <w:basedOn w:val="DefaultParagraphFont"/>
    <w:uiPriority w:val="99"/>
    <w:semiHidden/>
    <w:unhideWhenUsed/>
    <w:rsid w:val="00DA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857693711">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19035642">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412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colliers.romani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kedin.com/company/colliers-internation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lliersRoman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2.colliers.com/en-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5A59-87A8-41CC-AD63-3A109502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Wasilewska, Aleksandra</cp:lastModifiedBy>
  <cp:revision>5</cp:revision>
  <cp:lastPrinted>2016-10-18T08:10:00Z</cp:lastPrinted>
  <dcterms:created xsi:type="dcterms:W3CDTF">2019-11-28T10:24:00Z</dcterms:created>
  <dcterms:modified xsi:type="dcterms:W3CDTF">2019-11-28T16:51:00Z</dcterms:modified>
</cp:coreProperties>
</file>