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6CC" w:rsidRDefault="007376CC">
      <w:pPr>
        <w:rPr>
          <w:b/>
          <w:sz w:val="28"/>
          <w:szCs w:val="28"/>
        </w:rPr>
      </w:pPr>
    </w:p>
    <w:p w:rsidR="007376CC" w:rsidRDefault="007376CC">
      <w:pPr>
        <w:rPr>
          <w:b/>
          <w:sz w:val="28"/>
          <w:szCs w:val="28"/>
        </w:rPr>
      </w:pPr>
      <w:bookmarkStart w:id="0" w:name="_GoBack"/>
      <w:bookmarkEnd w:id="0"/>
    </w:p>
    <w:p w:rsidR="00EC0784" w:rsidRDefault="00E163BB">
      <w:pPr>
        <w:rPr>
          <w:b/>
          <w:sz w:val="28"/>
          <w:szCs w:val="28"/>
        </w:rPr>
      </w:pPr>
      <w:r w:rsidRPr="00E163BB">
        <w:rPr>
          <w:b/>
          <w:sz w:val="28"/>
          <w:szCs w:val="28"/>
        </w:rPr>
        <w:t xml:space="preserve">Ile </w:t>
      </w:r>
      <w:r>
        <w:rPr>
          <w:b/>
          <w:sz w:val="28"/>
          <w:szCs w:val="28"/>
        </w:rPr>
        <w:t xml:space="preserve">zapłacimy za </w:t>
      </w:r>
      <w:r w:rsidRPr="00E163BB">
        <w:rPr>
          <w:b/>
          <w:sz w:val="28"/>
          <w:szCs w:val="28"/>
        </w:rPr>
        <w:t xml:space="preserve">wakacje 2020? </w:t>
      </w:r>
    </w:p>
    <w:p w:rsidR="00E163BB" w:rsidRPr="00E72962" w:rsidRDefault="00E163BB" w:rsidP="00E72962">
      <w:pPr>
        <w:jc w:val="both"/>
        <w:rPr>
          <w:b/>
          <w:sz w:val="28"/>
          <w:szCs w:val="28"/>
        </w:rPr>
      </w:pPr>
      <w:r w:rsidRPr="00E72962">
        <w:rPr>
          <w:b/>
          <w:sz w:val="28"/>
          <w:szCs w:val="28"/>
        </w:rPr>
        <w:t xml:space="preserve">6517 złotych – tyle średnio wydamy w przyszłym roku na tygodniowy wyjazd za granicę. Ile wyda rodzina z dziećmi, a ile zapłacimy za osobę? Jak różnią się ceny w najpopularniejszych krajach i kiedy rezerwować, żeby wydać mniej? </w:t>
      </w:r>
    </w:p>
    <w:p w:rsidR="00E163BB" w:rsidRDefault="00E163BB" w:rsidP="00E16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Odpowiedzi </w:t>
      </w:r>
      <w:r w:rsidR="001F0641">
        <w:rPr>
          <w:sz w:val="28"/>
          <w:szCs w:val="28"/>
        </w:rPr>
        <w:t xml:space="preserve">znajdziemy </w:t>
      </w:r>
      <w:r>
        <w:rPr>
          <w:sz w:val="28"/>
          <w:szCs w:val="28"/>
        </w:rPr>
        <w:t xml:space="preserve">w dwóch źródłach. Pierwsze to dane sprzedażowe serwisu Wakacje.pl, który porównuje rezerwacje Polaków od momentu wystartowania przedsprzedaży w biurach podróży. Drugie źródło to raport Instytutu Badań </w:t>
      </w:r>
      <w:proofErr w:type="spellStart"/>
      <w:r>
        <w:rPr>
          <w:sz w:val="28"/>
          <w:szCs w:val="28"/>
        </w:rPr>
        <w:t>Traveldata</w:t>
      </w:r>
      <w:proofErr w:type="spellEnd"/>
      <w:r>
        <w:rPr>
          <w:sz w:val="28"/>
          <w:szCs w:val="28"/>
        </w:rPr>
        <w:t xml:space="preserve">, który porównał ceny i sprawdził, czy opłaci się czekać na </w:t>
      </w:r>
      <w:proofErr w:type="spellStart"/>
      <w:r>
        <w:rPr>
          <w:sz w:val="28"/>
          <w:szCs w:val="28"/>
        </w:rPr>
        <w:t>last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minute</w:t>
      </w:r>
      <w:proofErr w:type="spellEnd"/>
      <w:r>
        <w:rPr>
          <w:sz w:val="28"/>
          <w:szCs w:val="28"/>
        </w:rPr>
        <w:t xml:space="preserve">. </w:t>
      </w:r>
    </w:p>
    <w:p w:rsidR="00DC752A" w:rsidRDefault="00DC752A" w:rsidP="00E163BB">
      <w:pPr>
        <w:jc w:val="both"/>
        <w:rPr>
          <w:sz w:val="28"/>
          <w:szCs w:val="28"/>
        </w:rPr>
      </w:pPr>
    </w:p>
    <w:p w:rsidR="00DC752A" w:rsidRPr="00DC752A" w:rsidRDefault="00DC752A" w:rsidP="00DC752A">
      <w:pPr>
        <w:jc w:val="both"/>
        <w:rPr>
          <w:b/>
          <w:sz w:val="28"/>
          <w:szCs w:val="28"/>
        </w:rPr>
      </w:pPr>
      <w:r w:rsidRPr="00DC752A">
        <w:rPr>
          <w:b/>
          <w:sz w:val="28"/>
          <w:szCs w:val="28"/>
        </w:rPr>
        <w:t xml:space="preserve">Czas robi różnicę </w:t>
      </w:r>
    </w:p>
    <w:p w:rsidR="001572FE" w:rsidRDefault="00E72962" w:rsidP="00E16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Kolejny sezon letni rozpocznie się dla polskich turystów w kwietniu 2020, wraz z wystartowaniem pierwszych samolotów czarterowych do Grecji czy Bułgarii, ale Polacy już teraz rezerwują miejsca w popularnych kurortach. Eksperci z serwisu Wakacje.pl, porównującego oferty wakacyjne ponad 100 biur podróży, przyjrzeli się ich wyborom i wzięli pod lupę, ile płacimy za przyszłoroczne urlopy. </w:t>
      </w:r>
    </w:p>
    <w:p w:rsidR="00E72962" w:rsidRDefault="00E72962" w:rsidP="00E163BB">
      <w:pPr>
        <w:jc w:val="both"/>
        <w:rPr>
          <w:sz w:val="28"/>
          <w:szCs w:val="28"/>
        </w:rPr>
      </w:pPr>
      <w:r>
        <w:rPr>
          <w:sz w:val="28"/>
          <w:szCs w:val="28"/>
        </w:rPr>
        <w:t>Za tygodniow</w:t>
      </w:r>
      <w:r w:rsidR="00044E12">
        <w:rPr>
          <w:sz w:val="28"/>
          <w:szCs w:val="28"/>
        </w:rPr>
        <w:t xml:space="preserve">y pobyt w zagranicznym kurorcie w okresie od 1 kwietnia do 31 października </w:t>
      </w:r>
      <w:r>
        <w:rPr>
          <w:sz w:val="28"/>
          <w:szCs w:val="28"/>
        </w:rPr>
        <w:t xml:space="preserve">płacimy średnio 6517 zł. Osoba dorosła wydaje średnio 2453 zł, rodzina z dziećmi przeznacza na ten cel 7554 zł. </w:t>
      </w:r>
      <w:r w:rsidR="00044E12">
        <w:rPr>
          <w:sz w:val="28"/>
          <w:szCs w:val="28"/>
        </w:rPr>
        <w:t xml:space="preserve">Kwoty te obejmują zarówno wyjazdy w wysokim sezonie wakacji szkolnych i majówkę, czyli terminy, kiedy ceny wyjazdów najbardziej windują, a także najtańszy okres po majówce na start i na zakończenie sezonu późnym latem. </w:t>
      </w:r>
    </w:p>
    <w:p w:rsidR="00DD2FEB" w:rsidRDefault="00DD2FEB" w:rsidP="00E16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Ile płacimy za wakacje </w:t>
      </w:r>
      <w:r w:rsidR="00F036B6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na popularnych kierunkach?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D2FEB" w:rsidTr="00DC752A">
        <w:tc>
          <w:tcPr>
            <w:tcW w:w="2265" w:type="dxa"/>
            <w:shd w:val="clear" w:color="auto" w:fill="DEEAF6" w:themeFill="accent1" w:themeFillTint="33"/>
          </w:tcPr>
          <w:p w:rsidR="00DD2FEB" w:rsidRPr="00DC752A" w:rsidRDefault="00DD2FEB" w:rsidP="00DC752A">
            <w:pPr>
              <w:jc w:val="center"/>
              <w:rPr>
                <w:b/>
                <w:sz w:val="28"/>
                <w:szCs w:val="28"/>
              </w:rPr>
            </w:pPr>
            <w:r w:rsidRPr="00DC752A">
              <w:rPr>
                <w:b/>
                <w:sz w:val="28"/>
                <w:szCs w:val="28"/>
              </w:rPr>
              <w:t>Kraj</w:t>
            </w:r>
          </w:p>
        </w:tc>
        <w:tc>
          <w:tcPr>
            <w:tcW w:w="2265" w:type="dxa"/>
            <w:shd w:val="clear" w:color="auto" w:fill="DEEAF6" w:themeFill="accent1" w:themeFillTint="33"/>
          </w:tcPr>
          <w:p w:rsidR="00DD2FEB" w:rsidRPr="00DC752A" w:rsidRDefault="00DC752A" w:rsidP="00DC752A">
            <w:pPr>
              <w:jc w:val="center"/>
              <w:rPr>
                <w:b/>
                <w:sz w:val="28"/>
                <w:szCs w:val="28"/>
              </w:rPr>
            </w:pPr>
            <w:r w:rsidRPr="00DC752A">
              <w:rPr>
                <w:b/>
                <w:sz w:val="28"/>
                <w:szCs w:val="28"/>
              </w:rPr>
              <w:t>Rezerwacja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DD2FEB" w:rsidRPr="00DC752A" w:rsidRDefault="00DD2FEB" w:rsidP="00E163BB">
            <w:pPr>
              <w:jc w:val="both"/>
              <w:rPr>
                <w:b/>
                <w:sz w:val="28"/>
                <w:szCs w:val="28"/>
              </w:rPr>
            </w:pPr>
            <w:r w:rsidRPr="00DC752A">
              <w:rPr>
                <w:b/>
                <w:sz w:val="28"/>
                <w:szCs w:val="28"/>
              </w:rPr>
              <w:t>Za osobę dorosłą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DD2FEB" w:rsidRPr="00DC752A" w:rsidRDefault="00DD2FEB" w:rsidP="00E163BB">
            <w:pPr>
              <w:jc w:val="both"/>
              <w:rPr>
                <w:b/>
                <w:sz w:val="28"/>
                <w:szCs w:val="28"/>
              </w:rPr>
            </w:pPr>
            <w:r w:rsidRPr="00DC752A">
              <w:rPr>
                <w:b/>
                <w:sz w:val="28"/>
                <w:szCs w:val="28"/>
              </w:rPr>
              <w:t>Rodzina z dziećmi</w:t>
            </w:r>
          </w:p>
        </w:tc>
      </w:tr>
      <w:tr w:rsidR="00DD2FEB" w:rsidTr="00DC752A">
        <w:tc>
          <w:tcPr>
            <w:tcW w:w="2265" w:type="dxa"/>
            <w:shd w:val="clear" w:color="auto" w:fill="DEEAF6" w:themeFill="accent1" w:themeFillTint="33"/>
          </w:tcPr>
          <w:p w:rsidR="00DD2FEB" w:rsidRDefault="00DD2FEB" w:rsidP="00DC7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Turcja</w:t>
            </w:r>
          </w:p>
        </w:tc>
        <w:tc>
          <w:tcPr>
            <w:tcW w:w="2265" w:type="dxa"/>
            <w:shd w:val="clear" w:color="auto" w:fill="DEEAF6" w:themeFill="accent1" w:themeFillTint="33"/>
          </w:tcPr>
          <w:p w:rsidR="00DD2FEB" w:rsidRDefault="00DD2FEB" w:rsidP="00DC7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6213 zł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DD2FEB" w:rsidRDefault="00DD2FEB" w:rsidP="00DC7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2202 zł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DD2FEB" w:rsidRDefault="00DD2FEB" w:rsidP="00DC7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7562 zł</w:t>
            </w:r>
          </w:p>
        </w:tc>
      </w:tr>
      <w:tr w:rsidR="00DD2FEB" w:rsidTr="00DC752A">
        <w:tc>
          <w:tcPr>
            <w:tcW w:w="2265" w:type="dxa"/>
            <w:shd w:val="clear" w:color="auto" w:fill="DEEAF6" w:themeFill="accent1" w:themeFillTint="33"/>
          </w:tcPr>
          <w:p w:rsidR="00DD2FEB" w:rsidRDefault="00DD2FEB" w:rsidP="00DC7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Grecja</w:t>
            </w:r>
          </w:p>
        </w:tc>
        <w:tc>
          <w:tcPr>
            <w:tcW w:w="2265" w:type="dxa"/>
            <w:shd w:val="clear" w:color="auto" w:fill="DEEAF6" w:themeFill="accent1" w:themeFillTint="33"/>
          </w:tcPr>
          <w:p w:rsidR="00DD2FEB" w:rsidRDefault="00DD2FEB" w:rsidP="00DC7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6406 zł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DD2FEB" w:rsidRDefault="00DD2FEB" w:rsidP="00DC7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2464 zł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DD2FEB" w:rsidRDefault="00DD2FEB" w:rsidP="00DC7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7658 zł</w:t>
            </w:r>
          </w:p>
        </w:tc>
      </w:tr>
      <w:tr w:rsidR="00DD2FEB" w:rsidTr="00DC752A">
        <w:tc>
          <w:tcPr>
            <w:tcW w:w="2265" w:type="dxa"/>
            <w:shd w:val="clear" w:color="auto" w:fill="DEEAF6" w:themeFill="accent1" w:themeFillTint="33"/>
          </w:tcPr>
          <w:p w:rsidR="00DD2FEB" w:rsidRDefault="00DD2FEB" w:rsidP="00DC7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Bułgaria</w:t>
            </w:r>
          </w:p>
        </w:tc>
        <w:tc>
          <w:tcPr>
            <w:tcW w:w="2265" w:type="dxa"/>
            <w:shd w:val="clear" w:color="auto" w:fill="DEEAF6" w:themeFill="accent1" w:themeFillTint="33"/>
          </w:tcPr>
          <w:p w:rsidR="00DD2FEB" w:rsidRDefault="00DD2FEB" w:rsidP="00DC7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6216 zł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DD2FEB" w:rsidRDefault="00DD2FEB" w:rsidP="00DC7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2181 zł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DD2FEB" w:rsidRDefault="00DD2FEB" w:rsidP="00DC7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7033 zł</w:t>
            </w:r>
          </w:p>
        </w:tc>
      </w:tr>
      <w:tr w:rsidR="00DD2FEB" w:rsidTr="00DC752A">
        <w:tc>
          <w:tcPr>
            <w:tcW w:w="2265" w:type="dxa"/>
            <w:shd w:val="clear" w:color="auto" w:fill="DEEAF6" w:themeFill="accent1" w:themeFillTint="33"/>
          </w:tcPr>
          <w:p w:rsidR="00DD2FEB" w:rsidRDefault="00DD2FEB" w:rsidP="00DC7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Hiszpania</w:t>
            </w:r>
          </w:p>
        </w:tc>
        <w:tc>
          <w:tcPr>
            <w:tcW w:w="2265" w:type="dxa"/>
            <w:shd w:val="clear" w:color="auto" w:fill="DEEAF6" w:themeFill="accent1" w:themeFillTint="33"/>
          </w:tcPr>
          <w:p w:rsidR="00DD2FEB" w:rsidRPr="003157EC" w:rsidRDefault="00600CFC" w:rsidP="00DC752A">
            <w:pPr>
              <w:jc w:val="center"/>
              <w:rPr>
                <w:color w:val="FF0000"/>
                <w:sz w:val="28"/>
                <w:szCs w:val="28"/>
              </w:rPr>
            </w:pPr>
            <w:r w:rsidRPr="001B550F">
              <w:rPr>
                <w:color w:val="000000" w:themeColor="text1"/>
                <w:sz w:val="28"/>
                <w:szCs w:val="28"/>
              </w:rPr>
              <w:t>10</w:t>
            </w:r>
            <w:r w:rsidR="00DD2FEB" w:rsidRPr="001B550F">
              <w:rPr>
                <w:color w:val="000000" w:themeColor="text1"/>
                <w:sz w:val="28"/>
                <w:szCs w:val="28"/>
              </w:rPr>
              <w:t>073 zł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DD2FEB" w:rsidRDefault="00DD2FEB" w:rsidP="00DC7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2717 zł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DD2FEB" w:rsidRDefault="00DD2FEB" w:rsidP="00DC7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7008 zł</w:t>
            </w:r>
          </w:p>
        </w:tc>
      </w:tr>
      <w:tr w:rsidR="00DD2FEB" w:rsidTr="00DC752A">
        <w:tc>
          <w:tcPr>
            <w:tcW w:w="2265" w:type="dxa"/>
            <w:shd w:val="clear" w:color="auto" w:fill="DEEAF6" w:themeFill="accent1" w:themeFillTint="33"/>
          </w:tcPr>
          <w:p w:rsidR="00DD2FEB" w:rsidRDefault="00DD2FEB" w:rsidP="00DC7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Tunezja</w:t>
            </w:r>
          </w:p>
        </w:tc>
        <w:tc>
          <w:tcPr>
            <w:tcW w:w="2265" w:type="dxa"/>
            <w:shd w:val="clear" w:color="auto" w:fill="DEEAF6" w:themeFill="accent1" w:themeFillTint="33"/>
          </w:tcPr>
          <w:p w:rsidR="00DD2FEB" w:rsidRPr="003157EC" w:rsidRDefault="001B550F" w:rsidP="00DC752A">
            <w:pPr>
              <w:jc w:val="center"/>
              <w:rPr>
                <w:color w:val="FF0000"/>
                <w:sz w:val="28"/>
                <w:szCs w:val="28"/>
              </w:rPr>
            </w:pPr>
            <w:r w:rsidRPr="001B550F">
              <w:rPr>
                <w:color w:val="000000" w:themeColor="text1"/>
                <w:sz w:val="28"/>
                <w:szCs w:val="28"/>
              </w:rPr>
              <w:t>5635</w:t>
            </w:r>
            <w:r w:rsidR="00DD2FEB" w:rsidRPr="001B550F">
              <w:rPr>
                <w:color w:val="000000" w:themeColor="text1"/>
                <w:sz w:val="28"/>
                <w:szCs w:val="28"/>
              </w:rPr>
              <w:t xml:space="preserve"> zł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DD2FEB" w:rsidRDefault="00DD2FEB" w:rsidP="00DC7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2251 zł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DD2FEB" w:rsidRDefault="00DD2FEB" w:rsidP="00DC7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7030 zł</w:t>
            </w:r>
          </w:p>
        </w:tc>
      </w:tr>
      <w:tr w:rsidR="00DD2FEB" w:rsidTr="00DC752A">
        <w:tc>
          <w:tcPr>
            <w:tcW w:w="2265" w:type="dxa"/>
            <w:shd w:val="clear" w:color="auto" w:fill="DEEAF6" w:themeFill="accent1" w:themeFillTint="33"/>
          </w:tcPr>
          <w:p w:rsidR="00DD2FEB" w:rsidRDefault="00DD2FEB" w:rsidP="00DC7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Egipt</w:t>
            </w:r>
          </w:p>
        </w:tc>
        <w:tc>
          <w:tcPr>
            <w:tcW w:w="2265" w:type="dxa"/>
            <w:shd w:val="clear" w:color="auto" w:fill="DEEAF6" w:themeFill="accent1" w:themeFillTint="33"/>
          </w:tcPr>
          <w:p w:rsidR="00DD2FEB" w:rsidRDefault="00DD2FEB" w:rsidP="00DC7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6269 zł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DD2FEB" w:rsidRDefault="00DD2FEB" w:rsidP="00DC7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2399 zł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DD2FEB" w:rsidRDefault="00DD2FEB" w:rsidP="00DC7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7838 zł</w:t>
            </w:r>
          </w:p>
        </w:tc>
      </w:tr>
    </w:tbl>
    <w:p w:rsidR="00044E12" w:rsidRDefault="00995E09" w:rsidP="00E163BB">
      <w:pPr>
        <w:jc w:val="both"/>
        <w:rPr>
          <w:sz w:val="28"/>
          <w:szCs w:val="28"/>
        </w:rPr>
      </w:pPr>
      <w:r>
        <w:rPr>
          <w:sz w:val="28"/>
          <w:szCs w:val="28"/>
        </w:rPr>
        <w:t>Wyjazdy od 1.04.2020 do 31.10.2020.</w:t>
      </w:r>
    </w:p>
    <w:p w:rsidR="00995E09" w:rsidRDefault="00995E09" w:rsidP="00E163BB">
      <w:pPr>
        <w:jc w:val="both"/>
        <w:rPr>
          <w:sz w:val="28"/>
          <w:szCs w:val="28"/>
        </w:rPr>
      </w:pPr>
    </w:p>
    <w:p w:rsidR="00995E09" w:rsidRDefault="00995E09" w:rsidP="00E16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Jak co roku najwięcej będą musieli zapłacić ci, którzy wybiorą wyjazd w szczycie sezonu, przede wszystkim w okresie wakacji szkolnych. W tym czasie hotele oferują największy wachlarz atrakcji, animacji i pełny dostęp do infrastruktury, w tym animacje w języku polskim. Od czerwca do końca sierpnia na wzrost cen wpływa </w:t>
      </w:r>
      <w:r w:rsidR="003157EC">
        <w:rPr>
          <w:sz w:val="28"/>
          <w:szCs w:val="28"/>
        </w:rPr>
        <w:t xml:space="preserve">również </w:t>
      </w:r>
      <w:r>
        <w:rPr>
          <w:sz w:val="28"/>
          <w:szCs w:val="28"/>
        </w:rPr>
        <w:t>pogoda, która w tym czasie najbardziej sprzyja plażowaniu, ale też największa liczba chętnych na wyjazd. Za tygodniowy urlop w najwyższym sezonie płacimy średnio 6975 zł, osoba dorosła wydaje średnio 2608 zł</w:t>
      </w:r>
      <w:r w:rsidR="00F036B6">
        <w:rPr>
          <w:sz w:val="28"/>
          <w:szCs w:val="28"/>
        </w:rPr>
        <w:t>,</w:t>
      </w:r>
      <w:r>
        <w:rPr>
          <w:sz w:val="28"/>
          <w:szCs w:val="28"/>
        </w:rPr>
        <w:t xml:space="preserve"> a rodzina z dziećmi 8059 zł. </w:t>
      </w:r>
    </w:p>
    <w:p w:rsidR="00F036B6" w:rsidRDefault="00F036B6" w:rsidP="00E16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Ile płacimy za wakacje 2020 w wysokim sezonie?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036B6" w:rsidTr="00890389">
        <w:tc>
          <w:tcPr>
            <w:tcW w:w="2265" w:type="dxa"/>
            <w:shd w:val="clear" w:color="auto" w:fill="DEEAF6" w:themeFill="accent1" w:themeFillTint="33"/>
          </w:tcPr>
          <w:p w:rsidR="00F036B6" w:rsidRPr="00DC752A" w:rsidRDefault="00F036B6" w:rsidP="00890389">
            <w:pPr>
              <w:jc w:val="center"/>
              <w:rPr>
                <w:b/>
                <w:sz w:val="28"/>
                <w:szCs w:val="28"/>
              </w:rPr>
            </w:pPr>
            <w:r w:rsidRPr="00DC752A">
              <w:rPr>
                <w:b/>
                <w:sz w:val="28"/>
                <w:szCs w:val="28"/>
              </w:rPr>
              <w:t>Kraj</w:t>
            </w:r>
          </w:p>
        </w:tc>
        <w:tc>
          <w:tcPr>
            <w:tcW w:w="2265" w:type="dxa"/>
            <w:shd w:val="clear" w:color="auto" w:fill="DEEAF6" w:themeFill="accent1" w:themeFillTint="33"/>
          </w:tcPr>
          <w:p w:rsidR="00F036B6" w:rsidRPr="00DC752A" w:rsidRDefault="00F036B6" w:rsidP="00890389">
            <w:pPr>
              <w:jc w:val="center"/>
              <w:rPr>
                <w:b/>
                <w:sz w:val="28"/>
                <w:szCs w:val="28"/>
              </w:rPr>
            </w:pPr>
            <w:r w:rsidRPr="00DC752A">
              <w:rPr>
                <w:b/>
                <w:sz w:val="28"/>
                <w:szCs w:val="28"/>
              </w:rPr>
              <w:t>Rezerwacja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F036B6" w:rsidRPr="00DC752A" w:rsidRDefault="00F036B6" w:rsidP="00890389">
            <w:pPr>
              <w:jc w:val="both"/>
              <w:rPr>
                <w:b/>
                <w:sz w:val="28"/>
                <w:szCs w:val="28"/>
              </w:rPr>
            </w:pPr>
            <w:r w:rsidRPr="00DC752A">
              <w:rPr>
                <w:b/>
                <w:sz w:val="28"/>
                <w:szCs w:val="28"/>
              </w:rPr>
              <w:t>Za osobę dorosłą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F036B6" w:rsidRPr="00DC752A" w:rsidRDefault="00F036B6" w:rsidP="00890389">
            <w:pPr>
              <w:jc w:val="both"/>
              <w:rPr>
                <w:b/>
                <w:sz w:val="28"/>
                <w:szCs w:val="28"/>
              </w:rPr>
            </w:pPr>
            <w:r w:rsidRPr="00DC752A">
              <w:rPr>
                <w:b/>
                <w:sz w:val="28"/>
                <w:szCs w:val="28"/>
              </w:rPr>
              <w:t>Rodzina z dziećmi</w:t>
            </w:r>
          </w:p>
        </w:tc>
      </w:tr>
      <w:tr w:rsidR="00F036B6" w:rsidTr="00890389">
        <w:tc>
          <w:tcPr>
            <w:tcW w:w="2265" w:type="dxa"/>
            <w:shd w:val="clear" w:color="auto" w:fill="DEEAF6" w:themeFill="accent1" w:themeFillTint="33"/>
          </w:tcPr>
          <w:p w:rsidR="00F036B6" w:rsidRDefault="00F036B6" w:rsidP="0089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Turcja</w:t>
            </w:r>
          </w:p>
        </w:tc>
        <w:tc>
          <w:tcPr>
            <w:tcW w:w="2265" w:type="dxa"/>
            <w:shd w:val="clear" w:color="auto" w:fill="DEEAF6" w:themeFill="accent1" w:themeFillTint="33"/>
          </w:tcPr>
          <w:p w:rsidR="00F036B6" w:rsidRDefault="00F036B6" w:rsidP="0089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7627 zł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F036B6" w:rsidRDefault="00F036B6" w:rsidP="0089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2692 zł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F036B6" w:rsidRDefault="00F036B6" w:rsidP="0089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8414 zł</w:t>
            </w:r>
          </w:p>
        </w:tc>
      </w:tr>
      <w:tr w:rsidR="00F036B6" w:rsidTr="00890389">
        <w:tc>
          <w:tcPr>
            <w:tcW w:w="2265" w:type="dxa"/>
            <w:shd w:val="clear" w:color="auto" w:fill="DEEAF6" w:themeFill="accent1" w:themeFillTint="33"/>
          </w:tcPr>
          <w:p w:rsidR="00F036B6" w:rsidRDefault="00F036B6" w:rsidP="0089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Grecja</w:t>
            </w:r>
          </w:p>
        </w:tc>
        <w:tc>
          <w:tcPr>
            <w:tcW w:w="2265" w:type="dxa"/>
            <w:shd w:val="clear" w:color="auto" w:fill="DEEAF6" w:themeFill="accent1" w:themeFillTint="33"/>
          </w:tcPr>
          <w:p w:rsidR="00F036B6" w:rsidRDefault="00F036B6" w:rsidP="0089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7062 zł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F036B6" w:rsidRDefault="00F036B6" w:rsidP="0089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2557 zł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F036B6" w:rsidRDefault="00F036B6" w:rsidP="0089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8356 zł</w:t>
            </w:r>
          </w:p>
        </w:tc>
      </w:tr>
      <w:tr w:rsidR="00F036B6" w:rsidTr="00890389">
        <w:tc>
          <w:tcPr>
            <w:tcW w:w="2265" w:type="dxa"/>
            <w:shd w:val="clear" w:color="auto" w:fill="DEEAF6" w:themeFill="accent1" w:themeFillTint="33"/>
          </w:tcPr>
          <w:p w:rsidR="00F036B6" w:rsidRDefault="00F036B6" w:rsidP="0089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Bułgaria</w:t>
            </w:r>
          </w:p>
        </w:tc>
        <w:tc>
          <w:tcPr>
            <w:tcW w:w="2265" w:type="dxa"/>
            <w:shd w:val="clear" w:color="auto" w:fill="DEEAF6" w:themeFill="accent1" w:themeFillTint="33"/>
          </w:tcPr>
          <w:p w:rsidR="00F036B6" w:rsidRDefault="00F036B6" w:rsidP="0089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6426 zł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F036B6" w:rsidRDefault="00F036B6" w:rsidP="0089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2252 zł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F036B6" w:rsidRDefault="00F036B6" w:rsidP="0089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7113 zł</w:t>
            </w:r>
          </w:p>
        </w:tc>
      </w:tr>
      <w:tr w:rsidR="00F036B6" w:rsidTr="00890389">
        <w:tc>
          <w:tcPr>
            <w:tcW w:w="2265" w:type="dxa"/>
            <w:shd w:val="clear" w:color="auto" w:fill="DEEAF6" w:themeFill="accent1" w:themeFillTint="33"/>
          </w:tcPr>
          <w:p w:rsidR="00F036B6" w:rsidRDefault="00F036B6" w:rsidP="0089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Hiszpania</w:t>
            </w:r>
          </w:p>
        </w:tc>
        <w:tc>
          <w:tcPr>
            <w:tcW w:w="2265" w:type="dxa"/>
            <w:shd w:val="clear" w:color="auto" w:fill="DEEAF6" w:themeFill="accent1" w:themeFillTint="33"/>
          </w:tcPr>
          <w:p w:rsidR="00F036B6" w:rsidRDefault="00F036B6" w:rsidP="0089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7573 zł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F036B6" w:rsidRDefault="00F036B6" w:rsidP="0089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2886 zł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F036B6" w:rsidRDefault="00F036B6" w:rsidP="0089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9262 zł</w:t>
            </w:r>
          </w:p>
        </w:tc>
      </w:tr>
      <w:tr w:rsidR="00F036B6" w:rsidTr="00890389">
        <w:tc>
          <w:tcPr>
            <w:tcW w:w="2265" w:type="dxa"/>
            <w:shd w:val="clear" w:color="auto" w:fill="DEEAF6" w:themeFill="accent1" w:themeFillTint="33"/>
          </w:tcPr>
          <w:p w:rsidR="00F036B6" w:rsidRDefault="00F036B6" w:rsidP="0089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Tunezja</w:t>
            </w:r>
          </w:p>
        </w:tc>
        <w:tc>
          <w:tcPr>
            <w:tcW w:w="2265" w:type="dxa"/>
            <w:shd w:val="clear" w:color="auto" w:fill="DEEAF6" w:themeFill="accent1" w:themeFillTint="33"/>
          </w:tcPr>
          <w:p w:rsidR="00F036B6" w:rsidRDefault="00F036B6" w:rsidP="0089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6077  zł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F036B6" w:rsidRDefault="00F036B6" w:rsidP="0089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2383 zł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F036B6" w:rsidRDefault="00F036B6" w:rsidP="0089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7380 zł</w:t>
            </w:r>
          </w:p>
        </w:tc>
      </w:tr>
      <w:tr w:rsidR="00F036B6" w:rsidTr="00890389">
        <w:tc>
          <w:tcPr>
            <w:tcW w:w="2265" w:type="dxa"/>
            <w:shd w:val="clear" w:color="auto" w:fill="DEEAF6" w:themeFill="accent1" w:themeFillTint="33"/>
          </w:tcPr>
          <w:p w:rsidR="00F036B6" w:rsidRDefault="00F036B6" w:rsidP="0089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Egipt</w:t>
            </w:r>
          </w:p>
        </w:tc>
        <w:tc>
          <w:tcPr>
            <w:tcW w:w="2265" w:type="dxa"/>
            <w:shd w:val="clear" w:color="auto" w:fill="DEEAF6" w:themeFill="accent1" w:themeFillTint="33"/>
          </w:tcPr>
          <w:p w:rsidR="00F036B6" w:rsidRDefault="00F036B6" w:rsidP="0089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6790 zł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F036B6" w:rsidRDefault="00F036B6" w:rsidP="0089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2701 zł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F036B6" w:rsidRDefault="00F036B6" w:rsidP="0089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7641 zł</w:t>
            </w:r>
          </w:p>
        </w:tc>
      </w:tr>
    </w:tbl>
    <w:p w:rsidR="00F036B6" w:rsidRDefault="00F036B6" w:rsidP="00F036B6">
      <w:pPr>
        <w:jc w:val="both"/>
        <w:rPr>
          <w:sz w:val="28"/>
          <w:szCs w:val="28"/>
        </w:rPr>
      </w:pPr>
      <w:r>
        <w:rPr>
          <w:sz w:val="28"/>
          <w:szCs w:val="28"/>
        </w:rPr>
        <w:t>Wyjazdy od 1.06.2020 do 31.08.2020.</w:t>
      </w:r>
    </w:p>
    <w:p w:rsidR="00F76185" w:rsidRDefault="00F76185" w:rsidP="00E163BB">
      <w:pPr>
        <w:jc w:val="both"/>
        <w:rPr>
          <w:b/>
          <w:sz w:val="28"/>
          <w:szCs w:val="28"/>
        </w:rPr>
      </w:pPr>
    </w:p>
    <w:p w:rsidR="00F76185" w:rsidRPr="00F76185" w:rsidRDefault="00F76185" w:rsidP="00E163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Będzie drożej</w:t>
      </w:r>
      <w:r w:rsidRPr="00F76185">
        <w:rPr>
          <w:b/>
          <w:sz w:val="28"/>
          <w:szCs w:val="28"/>
        </w:rPr>
        <w:t xml:space="preserve">? </w:t>
      </w:r>
      <w:r w:rsidR="00D329BC">
        <w:rPr>
          <w:b/>
          <w:sz w:val="28"/>
          <w:szCs w:val="28"/>
        </w:rPr>
        <w:t xml:space="preserve">To zależy </w:t>
      </w:r>
    </w:p>
    <w:p w:rsidR="00044E12" w:rsidRDefault="00F76185" w:rsidP="00E16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Już ten sezon pokazał, że ceny wakacji za granicą już rzadko kiedy spadają do 1000 zł. Po </w:t>
      </w:r>
      <w:proofErr w:type="spellStart"/>
      <w:r>
        <w:rPr>
          <w:sz w:val="28"/>
          <w:szCs w:val="28"/>
        </w:rPr>
        <w:t>lastowym</w:t>
      </w:r>
      <w:proofErr w:type="spellEnd"/>
      <w:r>
        <w:rPr>
          <w:sz w:val="28"/>
          <w:szCs w:val="28"/>
        </w:rPr>
        <w:t xml:space="preserve"> boomie jeszcze rok wstecz przyszedł czas na unormowanie cen wyjazdów. Instytut Badań </w:t>
      </w:r>
      <w:proofErr w:type="spellStart"/>
      <w:r>
        <w:rPr>
          <w:sz w:val="28"/>
          <w:szCs w:val="28"/>
        </w:rPr>
        <w:t>Traveldata</w:t>
      </w:r>
      <w:proofErr w:type="spellEnd"/>
      <w:r>
        <w:rPr>
          <w:sz w:val="28"/>
          <w:szCs w:val="28"/>
        </w:rPr>
        <w:t xml:space="preserve"> wyliczył, że w porównaniu z ostatnim sezonem za przyszłoroczne wakacje zapłacimy więcej na większości popularnych kierunków. I tak, do wakacji w Grecji trzeba dodać ok. 228 zł, w Bułgarii 114zł, w Tunezji 120 zł, na Wyspach Kanaryjskich 165 zł, w Egipcie 248zł, a w Turcji 264 zł. </w:t>
      </w:r>
      <w:r w:rsidR="005C0840">
        <w:rPr>
          <w:sz w:val="28"/>
          <w:szCs w:val="28"/>
        </w:rPr>
        <w:t xml:space="preserve">Remedium na brak spektakularnych przecen może być wcześniejsza rezerwacja wyjazdu i właśnie z tego rozwiązania Polacy chętnie korzystają. </w:t>
      </w:r>
      <w:r w:rsidR="00D329BC">
        <w:rPr>
          <w:sz w:val="28"/>
          <w:szCs w:val="28"/>
        </w:rPr>
        <w:t xml:space="preserve">Mowa o przedsprzedaży, która według prognoz ekspertów z </w:t>
      </w:r>
      <w:proofErr w:type="spellStart"/>
      <w:r w:rsidR="00D329BC">
        <w:rPr>
          <w:sz w:val="28"/>
          <w:szCs w:val="28"/>
        </w:rPr>
        <w:t>Traveldaty</w:t>
      </w:r>
      <w:proofErr w:type="spellEnd"/>
      <w:r w:rsidR="00D329BC">
        <w:rPr>
          <w:sz w:val="28"/>
          <w:szCs w:val="28"/>
        </w:rPr>
        <w:t xml:space="preserve"> znacznie obniża koszt wyjazdu w porównaniu do tego, gdybyśmy kupowali </w:t>
      </w:r>
      <w:proofErr w:type="spellStart"/>
      <w:r w:rsidR="00D329BC">
        <w:rPr>
          <w:sz w:val="28"/>
          <w:szCs w:val="28"/>
        </w:rPr>
        <w:t>last</w:t>
      </w:r>
      <w:proofErr w:type="spellEnd"/>
      <w:r w:rsidR="00D329BC">
        <w:rPr>
          <w:sz w:val="28"/>
          <w:szCs w:val="28"/>
        </w:rPr>
        <w:t xml:space="preserve"> </w:t>
      </w:r>
      <w:proofErr w:type="spellStart"/>
      <w:r w:rsidR="00D329BC">
        <w:rPr>
          <w:sz w:val="28"/>
          <w:szCs w:val="28"/>
        </w:rPr>
        <w:t>minute</w:t>
      </w:r>
      <w:proofErr w:type="spellEnd"/>
      <w:r w:rsidR="00D329BC">
        <w:rPr>
          <w:sz w:val="28"/>
          <w:szCs w:val="28"/>
        </w:rPr>
        <w:t xml:space="preserve">. Różnica </w:t>
      </w:r>
      <w:r w:rsidR="00D329BC">
        <w:rPr>
          <w:sz w:val="28"/>
          <w:szCs w:val="28"/>
        </w:rPr>
        <w:lastRenderedPageBreak/>
        <w:t xml:space="preserve">polega jeszcze na tym, że teraz w biurach podróży jeszcze można przebierać w ofertach z różnych półek cenowych i jakościowych, na ostatnią chwilę liczba propozycji drastycznie się skurczy, czego doświadczyli turyści w tym roku. </w:t>
      </w:r>
    </w:p>
    <w:p w:rsidR="00D329BC" w:rsidRPr="00D329BC" w:rsidRDefault="00D329BC" w:rsidP="00E163BB">
      <w:pPr>
        <w:jc w:val="both"/>
        <w:rPr>
          <w:b/>
          <w:sz w:val="28"/>
          <w:szCs w:val="28"/>
        </w:rPr>
      </w:pPr>
      <w:r w:rsidRPr="00D329BC">
        <w:rPr>
          <w:b/>
          <w:sz w:val="28"/>
          <w:szCs w:val="28"/>
        </w:rPr>
        <w:t>Ile zaoszczędzimy</w:t>
      </w:r>
      <w:r>
        <w:rPr>
          <w:b/>
          <w:sz w:val="28"/>
          <w:szCs w:val="28"/>
        </w:rPr>
        <w:t xml:space="preserve"> w przedsprzedaży</w:t>
      </w:r>
      <w:r w:rsidRPr="00D329BC">
        <w:rPr>
          <w:b/>
          <w:sz w:val="28"/>
          <w:szCs w:val="28"/>
        </w:rPr>
        <w:t>?</w:t>
      </w:r>
    </w:p>
    <w:p w:rsidR="00D329BC" w:rsidRDefault="00D329BC" w:rsidP="00E16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wyliczeń Instytutu wynika, że na zakupach w przedsprzedaży lata najwięcej zaoszczędzą wybierający wakacje na Majorce – aż 708 zł. Wybierający się na Wyspy Kanaryjskie zatrzymają w portfelu 366 zł, do Portugalii 526 zł, do Bułgarii 341 zł, do Turcji 337 zł, do Tunezji 251 zł, a do Egiptu 80 zł. </w:t>
      </w:r>
    </w:p>
    <w:p w:rsidR="00C875C1" w:rsidRDefault="00C875C1" w:rsidP="00E16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Biura podróży zachęcają odo wcześniejszych zakupów nie tylko obniżoną nawet o kilkadziesiąt procent ceną, ale też bezpłatnymi gwarancjami niezmienności ceny czy najniższej ceny, ubezpieczaniami, a w końcu niskimi zaliczkami. Jeśli po wakacje na kolejny rok wybierzemy się teraz, zapłacimy nawet kilka procent ceny, resztę dopiero na ok. miesiąc przed wyjazdem. </w:t>
      </w:r>
      <w:r w:rsidR="00C330BF">
        <w:rPr>
          <w:sz w:val="28"/>
          <w:szCs w:val="28"/>
        </w:rPr>
        <w:t xml:space="preserve">W świetle wyższych niż przed rokiem cen, takie rozłożenie płatności dla wielu turystów może okazać się bezcenne. </w:t>
      </w:r>
    </w:p>
    <w:p w:rsidR="00044E12" w:rsidRPr="00E163BB" w:rsidRDefault="00044E12" w:rsidP="00E163BB">
      <w:pPr>
        <w:jc w:val="both"/>
        <w:rPr>
          <w:sz w:val="28"/>
          <w:szCs w:val="28"/>
        </w:rPr>
      </w:pPr>
    </w:p>
    <w:sectPr w:rsidR="00044E12" w:rsidRPr="00E163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751" w:rsidRDefault="00996751" w:rsidP="00E163BB">
      <w:pPr>
        <w:spacing w:after="0" w:line="240" w:lineRule="auto"/>
      </w:pPr>
      <w:r>
        <w:separator/>
      </w:r>
    </w:p>
  </w:endnote>
  <w:endnote w:type="continuationSeparator" w:id="0">
    <w:p w:rsidR="00996751" w:rsidRDefault="00996751" w:rsidP="00E1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751" w:rsidRDefault="00996751" w:rsidP="00E163BB">
      <w:pPr>
        <w:spacing w:after="0" w:line="240" w:lineRule="auto"/>
      </w:pPr>
      <w:r>
        <w:separator/>
      </w:r>
    </w:p>
  </w:footnote>
  <w:footnote w:type="continuationSeparator" w:id="0">
    <w:p w:rsidR="00996751" w:rsidRDefault="00996751" w:rsidP="00E16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6CC" w:rsidRDefault="007376CC" w:rsidP="007376CC">
    <w:pPr>
      <w:pStyle w:val="Nagwek"/>
      <w:jc w:val="center"/>
    </w:pPr>
    <w:r>
      <w:rPr>
        <w:noProof/>
      </w:rPr>
      <w:drawing>
        <wp:inline distT="0" distB="0" distL="0" distR="0">
          <wp:extent cx="2371725" cy="1009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kacje_pl_logo2011_rgb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3BB"/>
    <w:rsid w:val="00044E12"/>
    <w:rsid w:val="001572FE"/>
    <w:rsid w:val="001B550F"/>
    <w:rsid w:val="001F0641"/>
    <w:rsid w:val="003157EC"/>
    <w:rsid w:val="004C6F43"/>
    <w:rsid w:val="005C0840"/>
    <w:rsid w:val="005C1857"/>
    <w:rsid w:val="00600CFC"/>
    <w:rsid w:val="007376CC"/>
    <w:rsid w:val="007F7353"/>
    <w:rsid w:val="00995E09"/>
    <w:rsid w:val="00996751"/>
    <w:rsid w:val="00C330BF"/>
    <w:rsid w:val="00C875C1"/>
    <w:rsid w:val="00D329BC"/>
    <w:rsid w:val="00DC752A"/>
    <w:rsid w:val="00DD2FEB"/>
    <w:rsid w:val="00E163BB"/>
    <w:rsid w:val="00E72962"/>
    <w:rsid w:val="00EC0784"/>
    <w:rsid w:val="00F036B6"/>
    <w:rsid w:val="00F7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806D0"/>
  <w15:chartTrackingRefBased/>
  <w15:docId w15:val="{193675E0-2041-4992-A3B7-D2E33862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63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63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63BB"/>
    <w:rPr>
      <w:vertAlign w:val="superscript"/>
    </w:rPr>
  </w:style>
  <w:style w:type="table" w:styleId="Tabela-Siatka">
    <w:name w:val="Table Grid"/>
    <w:basedOn w:val="Standardowy"/>
    <w:uiPriority w:val="39"/>
    <w:rsid w:val="00DD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6CC"/>
  </w:style>
  <w:style w:type="paragraph" w:styleId="Stopka">
    <w:name w:val="footer"/>
    <w:basedOn w:val="Normalny"/>
    <w:link w:val="StopkaZnak"/>
    <w:uiPriority w:val="99"/>
    <w:unhideWhenUsed/>
    <w:rsid w:val="0073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kfudala</cp:lastModifiedBy>
  <cp:revision>16</cp:revision>
  <dcterms:created xsi:type="dcterms:W3CDTF">2019-10-16T11:49:00Z</dcterms:created>
  <dcterms:modified xsi:type="dcterms:W3CDTF">2019-12-17T09:05:00Z</dcterms:modified>
</cp:coreProperties>
</file>