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9CAE5E" w14:textId="55586156" w:rsidR="009E0896" w:rsidRDefault="009E0896" w:rsidP="009E0896">
      <w:pPr>
        <w:jc w:val="right"/>
      </w:pPr>
      <w:r>
        <w:t xml:space="preserve">Warszawa, </w:t>
      </w:r>
      <w:r>
        <w:t>20</w:t>
      </w:r>
      <w:r>
        <w:t xml:space="preserve"> grudnia 2019 r.</w:t>
      </w:r>
    </w:p>
    <w:p w14:paraId="3A9B1056" w14:textId="77777777" w:rsidR="00970585" w:rsidRPr="00F34965" w:rsidRDefault="00970585" w:rsidP="009E0896">
      <w:pPr>
        <w:jc w:val="right"/>
      </w:pPr>
    </w:p>
    <w:p w14:paraId="33DA0A0A" w14:textId="328041E4" w:rsidR="009E0896" w:rsidRPr="00F34965" w:rsidRDefault="009E0896" w:rsidP="009E0896">
      <w:pPr>
        <w:jc w:val="both"/>
        <w:rPr>
          <w:b/>
          <w:bCs/>
          <w:sz w:val="32"/>
          <w:szCs w:val="32"/>
        </w:rPr>
      </w:pPr>
      <w:r w:rsidRPr="00F34965">
        <w:rPr>
          <w:b/>
          <w:bCs/>
          <w:sz w:val="32"/>
          <w:szCs w:val="32"/>
        </w:rPr>
        <w:t>Cyfrowa rewolucja</w:t>
      </w:r>
      <w:r w:rsidR="00970585">
        <w:rPr>
          <w:b/>
          <w:bCs/>
          <w:sz w:val="32"/>
          <w:szCs w:val="32"/>
        </w:rPr>
        <w:t xml:space="preserve"> w </w:t>
      </w:r>
      <w:r w:rsidRPr="00F34965">
        <w:rPr>
          <w:b/>
          <w:bCs/>
          <w:sz w:val="32"/>
          <w:szCs w:val="32"/>
        </w:rPr>
        <w:t>gospodarce odpadami</w:t>
      </w:r>
    </w:p>
    <w:p w14:paraId="4EBFFCD2" w14:textId="528D3CF7" w:rsidR="009E0896" w:rsidRPr="00E9760D" w:rsidRDefault="009E0896" w:rsidP="009E0896">
      <w:pPr>
        <w:tabs>
          <w:tab w:val="left" w:pos="7513"/>
        </w:tabs>
        <w:jc w:val="both"/>
        <w:rPr>
          <w:b/>
          <w:bCs/>
        </w:rPr>
      </w:pPr>
      <w:r w:rsidRPr="00E9760D">
        <w:rPr>
          <w:b/>
          <w:bCs/>
        </w:rPr>
        <w:t>Od 1 stycznia 2020 r. przedsiębiorców czeka</w:t>
      </w:r>
      <w:r>
        <w:rPr>
          <w:b/>
          <w:bCs/>
        </w:rPr>
        <w:t xml:space="preserve"> cyfryzacja</w:t>
      </w:r>
      <w:r w:rsidR="00970585">
        <w:rPr>
          <w:b/>
          <w:bCs/>
        </w:rPr>
        <w:t xml:space="preserve"> w </w:t>
      </w:r>
      <w:r>
        <w:rPr>
          <w:b/>
          <w:bCs/>
        </w:rPr>
        <w:t>ewidencji</w:t>
      </w:r>
      <w:r w:rsidRPr="00E9760D">
        <w:rPr>
          <w:b/>
          <w:bCs/>
        </w:rPr>
        <w:t xml:space="preserve"> odpadów oraz</w:t>
      </w:r>
      <w:r w:rsidR="00970585">
        <w:rPr>
          <w:b/>
          <w:bCs/>
        </w:rPr>
        <w:t xml:space="preserve"> w </w:t>
      </w:r>
      <w:r w:rsidRPr="00E9760D">
        <w:rPr>
          <w:b/>
          <w:bCs/>
        </w:rPr>
        <w:t>sprawozdawczości związanej</w:t>
      </w:r>
      <w:r w:rsidR="00970585">
        <w:rPr>
          <w:b/>
          <w:bCs/>
        </w:rPr>
        <w:t xml:space="preserve"> z </w:t>
      </w:r>
      <w:r w:rsidRPr="00E9760D">
        <w:rPr>
          <w:b/>
          <w:bCs/>
        </w:rPr>
        <w:t>gospodarowaniem</w:t>
      </w:r>
      <w:r w:rsidRPr="00E9760D">
        <w:rPr>
          <w:b/>
          <w:bCs/>
        </w:rPr>
        <w:t xml:space="preserve"> odpadami. Cały obieg dokumentów będzie odbywał wyłącznie</w:t>
      </w:r>
      <w:r w:rsidR="00970585">
        <w:rPr>
          <w:b/>
          <w:bCs/>
        </w:rPr>
        <w:t xml:space="preserve"> w </w:t>
      </w:r>
      <w:r w:rsidRPr="00E9760D">
        <w:rPr>
          <w:b/>
          <w:bCs/>
        </w:rPr>
        <w:t>Bazie Danych</w:t>
      </w:r>
      <w:r w:rsidR="00970585">
        <w:rPr>
          <w:b/>
          <w:bCs/>
        </w:rPr>
        <w:t xml:space="preserve"> o </w:t>
      </w:r>
      <w:r>
        <w:rPr>
          <w:b/>
          <w:bCs/>
        </w:rPr>
        <w:t>Produktach</w:t>
      </w:r>
      <w:r w:rsidR="00970585">
        <w:rPr>
          <w:b/>
          <w:bCs/>
        </w:rPr>
        <w:t xml:space="preserve"> i </w:t>
      </w:r>
      <w:r>
        <w:rPr>
          <w:b/>
          <w:bCs/>
        </w:rPr>
        <w:t>Opakowaniach oraz</w:t>
      </w:r>
      <w:r w:rsidR="00970585">
        <w:rPr>
          <w:b/>
          <w:bCs/>
        </w:rPr>
        <w:t xml:space="preserve"> o </w:t>
      </w:r>
      <w:r>
        <w:rPr>
          <w:b/>
          <w:bCs/>
        </w:rPr>
        <w:t>Gospodarce</w:t>
      </w:r>
      <w:r w:rsidRPr="00E9760D">
        <w:rPr>
          <w:b/>
          <w:bCs/>
        </w:rPr>
        <w:t xml:space="preserve"> Odpad</w:t>
      </w:r>
      <w:r>
        <w:rPr>
          <w:b/>
          <w:bCs/>
        </w:rPr>
        <w:t>ami (BDO)</w:t>
      </w:r>
      <w:r w:rsidRPr="00E9760D">
        <w:rPr>
          <w:b/>
          <w:bCs/>
        </w:rPr>
        <w:t>.</w:t>
      </w:r>
      <w:r>
        <w:rPr>
          <w:b/>
          <w:bCs/>
        </w:rPr>
        <w:t xml:space="preserve"> </w:t>
      </w:r>
    </w:p>
    <w:p w14:paraId="3652E04D" w14:textId="2A3DA69B" w:rsidR="009E0896" w:rsidRDefault="009E0896" w:rsidP="009E0896">
      <w:pPr>
        <w:jc w:val="both"/>
      </w:pPr>
      <w:r>
        <w:t xml:space="preserve"> Przedsiębiorcy, którzy wytwarzają odpady inne odpady niż komunalne, transportujący oraz przetwarzający odpady muszą być zarejestrowani</w:t>
      </w:r>
      <w:r w:rsidR="00970585">
        <w:t xml:space="preserve"> w </w:t>
      </w:r>
      <w:r>
        <w:t>Rejestrze-</w:t>
      </w:r>
      <w:r>
        <w:t xml:space="preserve">BDO. Wpisowi podlegają także </w:t>
      </w:r>
      <w:r w:rsidRPr="00F166C4">
        <w:t>wprowadzający na terytorium kraju opakowania, produkty</w:t>
      </w:r>
      <w:r w:rsidR="00970585">
        <w:t xml:space="preserve"> w </w:t>
      </w:r>
      <w:r w:rsidRPr="00F166C4">
        <w:t>opakowaniach, opony, oleje smarowe, pojazdy, baterie lub akumulatory, sprzęt elektryczny</w:t>
      </w:r>
      <w:r w:rsidR="00970585">
        <w:t xml:space="preserve"> i </w:t>
      </w:r>
      <w:r w:rsidRPr="00F166C4">
        <w:t>elektroniczny, producenci, importerzy</w:t>
      </w:r>
      <w:r w:rsidR="00970585">
        <w:t xml:space="preserve"> i </w:t>
      </w:r>
      <w:r w:rsidRPr="00F166C4">
        <w:t>wewnątrzwspólnotowi nabywcy opakowań</w:t>
      </w:r>
      <w:r>
        <w:t>.</w:t>
      </w:r>
    </w:p>
    <w:p w14:paraId="2473C5E9" w14:textId="4094E866" w:rsidR="009E0896" w:rsidRPr="0073264C" w:rsidRDefault="009E0896" w:rsidP="009E0896">
      <w:pPr>
        <w:pStyle w:val="NormalnyWeb"/>
        <w:spacing w:after="0" w:line="360" w:lineRule="auto"/>
        <w:jc w:val="both"/>
        <w:rPr>
          <w:rFonts w:asciiTheme="minorHAnsi" w:hAnsiTheme="minorHAnsi" w:cstheme="minorBidi"/>
          <w:sz w:val="22"/>
          <w:szCs w:val="22"/>
        </w:rPr>
      </w:pPr>
      <w:r w:rsidRPr="0073264C">
        <w:rPr>
          <w:rFonts w:asciiTheme="minorHAnsi" w:hAnsiTheme="minorHAnsi" w:cstheme="minorBidi"/>
          <w:sz w:val="22"/>
          <w:szCs w:val="22"/>
        </w:rPr>
        <w:t>Ważne jednak kto nie musi się rejestrować,</w:t>
      </w:r>
      <w:r w:rsidR="00970585">
        <w:rPr>
          <w:rFonts w:asciiTheme="minorHAnsi" w:hAnsiTheme="minorHAnsi" w:cstheme="minorBidi"/>
          <w:sz w:val="22"/>
          <w:szCs w:val="22"/>
        </w:rPr>
        <w:t xml:space="preserve"> a </w:t>
      </w:r>
      <w:r w:rsidRPr="0073264C">
        <w:rPr>
          <w:rFonts w:asciiTheme="minorHAnsi" w:hAnsiTheme="minorHAnsi" w:cstheme="minorBidi"/>
          <w:sz w:val="22"/>
          <w:szCs w:val="22"/>
        </w:rPr>
        <w:t>są to:</w:t>
      </w:r>
    </w:p>
    <w:p w14:paraId="087C509E" w14:textId="7D4A609F" w:rsidR="009E0896" w:rsidRPr="0073264C" w:rsidRDefault="009E0896" w:rsidP="009E0896">
      <w:pPr>
        <w:numPr>
          <w:ilvl w:val="0"/>
          <w:numId w:val="15"/>
        </w:numPr>
        <w:tabs>
          <w:tab w:val="clear" w:pos="720"/>
        </w:tabs>
        <w:spacing w:after="120" w:line="276" w:lineRule="auto"/>
        <w:ind w:left="426" w:hanging="284"/>
        <w:jc w:val="both"/>
      </w:pPr>
      <w:r w:rsidRPr="0073264C">
        <w:t>osoby fizyczne oraz jednostki organizacyjne niebędące przedsiębiorcami wykorzystujące odpady na potrzeby własne np. wykorzystanie gruzu, betonu</w:t>
      </w:r>
      <w:r w:rsidR="00970585">
        <w:t xml:space="preserve"> z </w:t>
      </w:r>
      <w:r w:rsidRPr="0073264C">
        <w:t>rozbiórek</w:t>
      </w:r>
      <w:r w:rsidR="00970585">
        <w:t xml:space="preserve"> i </w:t>
      </w:r>
      <w:r w:rsidRPr="0073264C">
        <w:t>remontów do utwardzania powierzchni lub budowy fundamentów;</w:t>
      </w:r>
    </w:p>
    <w:p w14:paraId="242D7020" w14:textId="70F4294B" w:rsidR="009E0896" w:rsidRPr="0073264C" w:rsidRDefault="009E0896" w:rsidP="009E0896">
      <w:pPr>
        <w:numPr>
          <w:ilvl w:val="0"/>
          <w:numId w:val="15"/>
        </w:numPr>
        <w:tabs>
          <w:tab w:val="clear" w:pos="720"/>
        </w:tabs>
        <w:spacing w:after="120" w:line="276" w:lineRule="auto"/>
        <w:ind w:left="426" w:hanging="284"/>
        <w:jc w:val="both"/>
      </w:pPr>
      <w:r w:rsidRPr="0073264C">
        <w:t>osoby fizyczne prowadzące działalność gospodarczą lub przedsiębiorcy, którzy</w:t>
      </w:r>
      <w:r w:rsidR="00970585">
        <w:t xml:space="preserve"> w </w:t>
      </w:r>
      <w:r w:rsidRPr="0073264C">
        <w:t>ramach prowadzonej działalności wytwarzają jedynie odpady</w:t>
      </w:r>
      <w:r w:rsidR="00970585">
        <w:t xml:space="preserve"> o </w:t>
      </w:r>
      <w:r w:rsidRPr="0073264C">
        <w:t>składzie</w:t>
      </w:r>
      <w:r w:rsidR="00970585">
        <w:t xml:space="preserve"> i </w:t>
      </w:r>
      <w:r w:rsidRPr="0073264C">
        <w:t>charakterze odpadów komunalnych</w:t>
      </w:r>
      <w:r w:rsidR="00970585">
        <w:t xml:space="preserve"> i </w:t>
      </w:r>
      <w:r w:rsidRPr="0073264C">
        <w:t>objęci są systemem odbioru odpadów komunalnych (np. drobne usługi, działalność administracyjno-biurowa, zakłady fryzjerskie, kosmetyczne,</w:t>
      </w:r>
      <w:r w:rsidR="00970585">
        <w:t xml:space="preserve"> o </w:t>
      </w:r>
      <w:r w:rsidRPr="0073264C">
        <w:t>ile nie wytwarzają np. odpadów niebezpiecznych);</w:t>
      </w:r>
    </w:p>
    <w:p w14:paraId="7E335456" w14:textId="77777777" w:rsidR="009E0896" w:rsidRPr="0073264C" w:rsidRDefault="009E0896" w:rsidP="009E0896">
      <w:pPr>
        <w:numPr>
          <w:ilvl w:val="0"/>
          <w:numId w:val="15"/>
        </w:numPr>
        <w:tabs>
          <w:tab w:val="clear" w:pos="720"/>
        </w:tabs>
        <w:spacing w:after="120" w:line="276" w:lineRule="auto"/>
        <w:ind w:left="426" w:hanging="284"/>
        <w:jc w:val="both"/>
      </w:pPr>
      <w:r w:rsidRPr="0073264C">
        <w:t>władający powierzchnią ziemi, na której są stosowane komunalne osady ściekowe;</w:t>
      </w:r>
    </w:p>
    <w:p w14:paraId="123769D8" w14:textId="181849E4" w:rsidR="009E0896" w:rsidRPr="0073264C" w:rsidRDefault="009E0896" w:rsidP="009E0896">
      <w:pPr>
        <w:numPr>
          <w:ilvl w:val="0"/>
          <w:numId w:val="15"/>
        </w:numPr>
        <w:tabs>
          <w:tab w:val="clear" w:pos="720"/>
        </w:tabs>
        <w:spacing w:after="120" w:line="276" w:lineRule="auto"/>
        <w:ind w:left="426" w:hanging="284"/>
        <w:jc w:val="both"/>
      </w:pPr>
      <w:r w:rsidRPr="0073264C">
        <w:t>prowadzący działalność inną niż działalność gospodarcza</w:t>
      </w:r>
      <w:r w:rsidR="00970585">
        <w:t xml:space="preserve"> w </w:t>
      </w:r>
      <w:r w:rsidRPr="0073264C">
        <w:t>zakresie gospodarowania odpadami (tzw. nieprofesjonalna działalność</w:t>
      </w:r>
      <w:r w:rsidR="00970585">
        <w:t xml:space="preserve"> w </w:t>
      </w:r>
      <w:r w:rsidRPr="0073264C">
        <w:t>zakresie zbierania odpadów), np., systemy zbierania odpadów</w:t>
      </w:r>
      <w:r w:rsidR="00970585">
        <w:t xml:space="preserve"> w </w:t>
      </w:r>
      <w:r w:rsidRPr="0073264C">
        <w:t xml:space="preserve">szkołach, placówkach oświatowo-wychowawczych, np. zbieranie nakrętek podczas akcji </w:t>
      </w:r>
      <w:r w:rsidRPr="0073264C">
        <w:t>charytatywnych;</w:t>
      </w:r>
    </w:p>
    <w:p w14:paraId="72E44E05" w14:textId="77777777" w:rsidR="009E0896" w:rsidRPr="0073264C" w:rsidRDefault="009E0896" w:rsidP="009E0896">
      <w:pPr>
        <w:numPr>
          <w:ilvl w:val="0"/>
          <w:numId w:val="15"/>
        </w:numPr>
        <w:tabs>
          <w:tab w:val="clear" w:pos="720"/>
        </w:tabs>
        <w:spacing w:after="120" w:line="276" w:lineRule="auto"/>
        <w:ind w:left="426" w:hanging="284"/>
        <w:jc w:val="both"/>
      </w:pPr>
      <w:r w:rsidRPr="0073264C">
        <w:t>transportujący wytworzone przez siebie odpady; np. właściciel nieruchomości transportujący skoszoną trawę do PSZOK-u,</w:t>
      </w:r>
    </w:p>
    <w:p w14:paraId="3B920BC1" w14:textId="1F21FCD4" w:rsidR="009E0896" w:rsidRPr="0073264C" w:rsidRDefault="009E0896" w:rsidP="009E0896">
      <w:pPr>
        <w:numPr>
          <w:ilvl w:val="0"/>
          <w:numId w:val="15"/>
        </w:numPr>
        <w:tabs>
          <w:tab w:val="clear" w:pos="720"/>
        </w:tabs>
        <w:spacing w:after="120" w:line="276" w:lineRule="auto"/>
        <w:ind w:left="426" w:hanging="284"/>
        <w:jc w:val="both"/>
      </w:pPr>
      <w:r w:rsidRPr="0073264C">
        <w:t>rolnik gospodarujący na powierzchni użytków rolnych poniżej 75 ha,</w:t>
      </w:r>
      <w:r w:rsidR="00970585">
        <w:t xml:space="preserve"> o </w:t>
      </w:r>
      <w:r w:rsidRPr="0073264C">
        <w:t>ile nie podlega wpisowi</w:t>
      </w:r>
      <w:r w:rsidR="00970585">
        <w:t xml:space="preserve"> z </w:t>
      </w:r>
      <w:r w:rsidRPr="0073264C">
        <w:t>tytułu innej działalności, np.</w:t>
      </w:r>
      <w:r w:rsidR="00970585">
        <w:t> </w:t>
      </w:r>
      <w:r w:rsidRPr="0073264C">
        <w:t>rolnik, który uprawia pszenicę na powierzchni 50 ha</w:t>
      </w:r>
      <w:r>
        <w:t>;</w:t>
      </w:r>
    </w:p>
    <w:p w14:paraId="6CD9C15A" w14:textId="7419E405" w:rsidR="009E0896" w:rsidRPr="0073264C" w:rsidRDefault="009E0896" w:rsidP="009E0896">
      <w:pPr>
        <w:numPr>
          <w:ilvl w:val="0"/>
          <w:numId w:val="15"/>
        </w:numPr>
        <w:tabs>
          <w:tab w:val="clear" w:pos="720"/>
        </w:tabs>
        <w:spacing w:after="120" w:line="276" w:lineRule="auto"/>
        <w:ind w:left="426" w:hanging="284"/>
        <w:jc w:val="both"/>
      </w:pPr>
      <w:r w:rsidRPr="0073264C">
        <w:t>przedsiębiorcy, którzy będą wytwarzać tylko odpady, dla których nie ma obowiązku prowadzenia ewidencji</w:t>
      </w:r>
      <w:r w:rsidR="00970585">
        <w:t xml:space="preserve"> o </w:t>
      </w:r>
      <w:r w:rsidRPr="0073264C">
        <w:t>kodach</w:t>
      </w:r>
      <w:r w:rsidR="00970585">
        <w:t xml:space="preserve"> i w </w:t>
      </w:r>
      <w:r w:rsidRPr="0073264C">
        <w:t>ilościach wymienionych</w:t>
      </w:r>
      <w:r w:rsidR="00970585">
        <w:t xml:space="preserve"> w </w:t>
      </w:r>
      <w:r w:rsidRPr="0073264C">
        <w:t>(odpady wymienione</w:t>
      </w:r>
      <w:r w:rsidR="00970585">
        <w:t xml:space="preserve"> w </w:t>
      </w:r>
      <w:r w:rsidRPr="0073264C">
        <w:t>rozporządzeniu Ministra Środowiska</w:t>
      </w:r>
      <w:r w:rsidR="00970585">
        <w:t xml:space="preserve"> z </w:t>
      </w:r>
      <w:r w:rsidRPr="0073264C">
        <w:t>dnia 12 grudnia 2014 r.</w:t>
      </w:r>
      <w:r w:rsidR="00970585">
        <w:t xml:space="preserve"> w </w:t>
      </w:r>
      <w:r w:rsidRPr="0073264C">
        <w:t>sprawie rodzajów odpadów</w:t>
      </w:r>
      <w:r w:rsidR="00970585">
        <w:t xml:space="preserve"> i </w:t>
      </w:r>
      <w:r w:rsidRPr="0073264C">
        <w:t>ilości odpadów, dla których nie ma obowiązku prowadzenia ewidencji odpadów).</w:t>
      </w:r>
    </w:p>
    <w:p w14:paraId="1C1079DA" w14:textId="6560DDFB" w:rsidR="009E0896" w:rsidRPr="009E0896" w:rsidRDefault="009E0896" w:rsidP="009E0896">
      <w:pPr>
        <w:jc w:val="both"/>
        <w:rPr>
          <w:b/>
          <w:bCs/>
        </w:rPr>
      </w:pPr>
      <w:r w:rsidRPr="00016DF7">
        <w:t xml:space="preserve">Przedsiębiorcy muszą również pamiętać, że mają obowiązek umieścić </w:t>
      </w:r>
      <w:r>
        <w:t xml:space="preserve">swój </w:t>
      </w:r>
      <w:r w:rsidRPr="00016DF7">
        <w:t>numer</w:t>
      </w:r>
      <w:r w:rsidR="00970585">
        <w:t xml:space="preserve"> z </w:t>
      </w:r>
      <w:r w:rsidRPr="00016DF7">
        <w:t>Rejestru</w:t>
      </w:r>
      <w:r>
        <w:t>-</w:t>
      </w:r>
      <w:r w:rsidRPr="00016DF7">
        <w:t>BDO na dokumentach związanych</w:t>
      </w:r>
      <w:r w:rsidR="00970585">
        <w:t xml:space="preserve"> z </w:t>
      </w:r>
      <w:r w:rsidRPr="00016DF7">
        <w:t>działalnością dotyczącą gospodarki odpadami</w:t>
      </w:r>
      <w:r>
        <w:t xml:space="preserve">, m.in.: </w:t>
      </w:r>
      <w:r w:rsidRPr="00016DF7">
        <w:t xml:space="preserve">na fakturach VAT, paragonach, sprawozdaniach, kartach przekazania odpadów oraz ewidencji odpadów. Za </w:t>
      </w:r>
      <w:r>
        <w:t>brak</w:t>
      </w:r>
      <w:r w:rsidRPr="00016DF7">
        <w:t xml:space="preserve"> takiego numeru grozi kara. Podmioty, które mają obowiązek rejestracji samodzielnej,</w:t>
      </w:r>
      <w:r w:rsidR="00970585">
        <w:t xml:space="preserve"> a </w:t>
      </w:r>
      <w:r w:rsidRPr="00016DF7">
        <w:t>jeszcze się nie zarejestrowały, mają zatem ostatnią chwilę, aby złożyć odpowiedni wniosek.</w:t>
      </w:r>
      <w:r w:rsidR="00970585">
        <w:t xml:space="preserve"> W </w:t>
      </w:r>
      <w:r w:rsidRPr="009E0896">
        <w:rPr>
          <w:b/>
          <w:bCs/>
        </w:rPr>
        <w:t>przeciwnym razie po 1 stycznia 2020 r. nie będą mogły korzystać</w:t>
      </w:r>
      <w:r w:rsidR="00970585">
        <w:rPr>
          <w:b/>
          <w:bCs/>
        </w:rPr>
        <w:t xml:space="preserve"> z </w:t>
      </w:r>
      <w:r w:rsidRPr="009E0896">
        <w:rPr>
          <w:b/>
          <w:bCs/>
        </w:rPr>
        <w:t>bazy</w:t>
      </w:r>
      <w:r w:rsidR="00970585">
        <w:rPr>
          <w:b/>
          <w:bCs/>
        </w:rPr>
        <w:t xml:space="preserve"> i </w:t>
      </w:r>
      <w:r w:rsidRPr="009E0896">
        <w:rPr>
          <w:b/>
          <w:bCs/>
        </w:rPr>
        <w:t xml:space="preserve">jej nowych modułów – nie </w:t>
      </w:r>
      <w:proofErr w:type="gramStart"/>
      <w:r w:rsidRPr="009E0896">
        <w:rPr>
          <w:b/>
          <w:bCs/>
        </w:rPr>
        <w:t>będą</w:t>
      </w:r>
      <w:proofErr w:type="gramEnd"/>
      <w:r w:rsidRPr="009E0896">
        <w:rPr>
          <w:b/>
          <w:bCs/>
        </w:rPr>
        <w:t xml:space="preserve"> więc</w:t>
      </w:r>
      <w:r w:rsidRPr="009E0896">
        <w:rPr>
          <w:b/>
          <w:bCs/>
        </w:rPr>
        <w:t xml:space="preserve"> mogły legalnie prowadzić działalności. </w:t>
      </w:r>
    </w:p>
    <w:p w14:paraId="3F1F6A73" w14:textId="59938864" w:rsidR="009E0896" w:rsidRDefault="009E0896" w:rsidP="009E0896">
      <w:pPr>
        <w:jc w:val="both"/>
      </w:pPr>
      <w:r w:rsidRPr="001F16FC">
        <w:t>Zmianie ulegnie również funkcjonowanie samego Rejestru-BDO, ponieważ wszystkie wnioski</w:t>
      </w:r>
      <w:r w:rsidR="00970585">
        <w:t xml:space="preserve"> o </w:t>
      </w:r>
      <w:r w:rsidRPr="001F16FC">
        <w:t>wpis, aktualizację danych lub wykreślenie będą składane tylko za pośrednictwem elektronicznych formularzy dostępnych</w:t>
      </w:r>
      <w:r w:rsidR="00970585">
        <w:t xml:space="preserve"> w </w:t>
      </w:r>
      <w:r w:rsidRPr="001F16FC">
        <w:t xml:space="preserve">bazie, które po autoryzacji </w:t>
      </w:r>
      <w:r>
        <w:t>przez</w:t>
      </w:r>
      <w:r w:rsidRPr="001F16FC">
        <w:t xml:space="preserve"> Krajo</w:t>
      </w:r>
      <w:r>
        <w:t>wy</w:t>
      </w:r>
      <w:r w:rsidRPr="001F16FC">
        <w:t xml:space="preserve"> Węz</w:t>
      </w:r>
      <w:r>
        <w:t xml:space="preserve">eł </w:t>
      </w:r>
      <w:r w:rsidRPr="001F16FC">
        <w:t xml:space="preserve">Identyfikacji Elektronicznej zostaną przekazane do rozpatrzenia </w:t>
      </w:r>
      <w:r>
        <w:t xml:space="preserve">przez odpowiedni </w:t>
      </w:r>
      <w:r w:rsidRPr="001F16FC">
        <w:t>urz</w:t>
      </w:r>
      <w:r>
        <w:t>ą</w:t>
      </w:r>
      <w:r w:rsidRPr="001F16FC">
        <w:t>d</w:t>
      </w:r>
      <w:r>
        <w:t xml:space="preserve"> </w:t>
      </w:r>
      <w:r w:rsidRPr="001F16FC">
        <w:t>marszałkowski.</w:t>
      </w:r>
    </w:p>
    <w:p w14:paraId="334397D8" w14:textId="4DC76E14" w:rsidR="009E0896" w:rsidRDefault="009E0896" w:rsidP="009E0896">
      <w:r>
        <w:t>„</w:t>
      </w:r>
      <w:r w:rsidRPr="0067646F">
        <w:rPr>
          <w:i/>
          <w:iCs/>
        </w:rPr>
        <w:t>Zadaniem Bazy Danych</w:t>
      </w:r>
      <w:r w:rsidR="00970585">
        <w:rPr>
          <w:i/>
          <w:iCs/>
        </w:rPr>
        <w:t xml:space="preserve"> o </w:t>
      </w:r>
      <w:r w:rsidRPr="0067646F">
        <w:rPr>
          <w:i/>
          <w:iCs/>
        </w:rPr>
        <w:t>Odpad</w:t>
      </w:r>
      <w:r>
        <w:rPr>
          <w:i/>
          <w:iCs/>
        </w:rPr>
        <w:t>ach</w:t>
      </w:r>
      <w:r w:rsidRPr="0067646F">
        <w:rPr>
          <w:i/>
          <w:iCs/>
        </w:rPr>
        <w:t xml:space="preserve"> jest rzeczywista ochrona środowiska. Dzięki BDO organy kontroli będą mogły analizować zgodność faktycznie prowadzonej przez podmiot działalności</w:t>
      </w:r>
      <w:r w:rsidR="00970585">
        <w:rPr>
          <w:i/>
          <w:iCs/>
        </w:rPr>
        <w:t xml:space="preserve"> w </w:t>
      </w:r>
      <w:r w:rsidRPr="0067646F">
        <w:rPr>
          <w:i/>
          <w:iCs/>
        </w:rPr>
        <w:t>zakresie gospodarki odpadami,</w:t>
      </w:r>
      <w:r w:rsidR="00970585">
        <w:rPr>
          <w:i/>
          <w:iCs/>
        </w:rPr>
        <w:t xml:space="preserve"> z </w:t>
      </w:r>
      <w:r w:rsidRPr="0067646F">
        <w:rPr>
          <w:i/>
          <w:iCs/>
        </w:rPr>
        <w:t>zakresem zadeklarowanym</w:t>
      </w:r>
      <w:r w:rsidR="00970585">
        <w:rPr>
          <w:i/>
          <w:iCs/>
        </w:rPr>
        <w:t xml:space="preserve"> w </w:t>
      </w:r>
      <w:r w:rsidRPr="0067646F">
        <w:rPr>
          <w:i/>
          <w:iCs/>
        </w:rPr>
        <w:t>Rejestrze-BDO. Od stycznia trudniej będzie uciec</w:t>
      </w:r>
      <w:r w:rsidR="00970585">
        <w:rPr>
          <w:i/>
          <w:iCs/>
        </w:rPr>
        <w:t xml:space="preserve"> w </w:t>
      </w:r>
      <w:r w:rsidRPr="0067646F">
        <w:rPr>
          <w:i/>
          <w:iCs/>
        </w:rPr>
        <w:t>szarą strefę</w:t>
      </w:r>
      <w:r w:rsidRPr="006D2DFA">
        <w:t>.</w:t>
      </w:r>
      <w:r>
        <w:t xml:space="preserve">” – </w:t>
      </w:r>
      <w:r w:rsidRPr="0012364A">
        <w:rPr>
          <w:b/>
          <w:bCs/>
        </w:rPr>
        <w:t>powiedział Krystian Szczepański, dyrektor Instytutu Ochrony Środowiska</w:t>
      </w:r>
      <w:r>
        <w:rPr>
          <w:b/>
          <w:bCs/>
        </w:rPr>
        <w:t xml:space="preserve"> – Państwowego Instytutu Badawczego</w:t>
      </w:r>
      <w:r>
        <w:t>.</w:t>
      </w:r>
    </w:p>
    <w:p w14:paraId="4324F9AF" w14:textId="32C64B26" w:rsidR="009E0896" w:rsidRDefault="009E0896" w:rsidP="009E0896">
      <w:pPr>
        <w:jc w:val="both"/>
      </w:pPr>
      <w:r>
        <w:t>Funkcjami BDO przydatnymi dla przedsiębiorców będzie między innym możliwość</w:t>
      </w:r>
      <w:r w:rsidRPr="00D01209">
        <w:t xml:space="preserve"> </w:t>
      </w:r>
      <w:r>
        <w:t>sprawdzenia on-line</w:t>
      </w:r>
      <w:r w:rsidRPr="00D01209">
        <w:t>,</w:t>
      </w:r>
      <w:r w:rsidR="00970585">
        <w:t xml:space="preserve"> w </w:t>
      </w:r>
      <w:r w:rsidRPr="00D01209">
        <w:t xml:space="preserve">jakim zakresie </w:t>
      </w:r>
      <w:r>
        <w:t>dowolny</w:t>
      </w:r>
      <w:r w:rsidRPr="00D01209">
        <w:t xml:space="preserve"> podmiot prowadzi działalność dotyczącą gospodarki odpadami. To szczególnie istotne, </w:t>
      </w:r>
      <w:r>
        <w:t>przy zawieraniu umów</w:t>
      </w:r>
      <w:r w:rsidR="00970585">
        <w:t xml:space="preserve"> z </w:t>
      </w:r>
      <w:r>
        <w:t>nowymi kontrahentami</w:t>
      </w:r>
      <w:r w:rsidRPr="00D01209">
        <w:t>.</w:t>
      </w:r>
      <w:r>
        <w:t xml:space="preserve"> Ponadto cyfrową Kartę Przekazania Odpadu będzie można zaplanować 30 dni wcześniej. P</w:t>
      </w:r>
      <w:r w:rsidRPr="0004605E">
        <w:t>o zatwierdzeniu będzie widoczna</w:t>
      </w:r>
      <w:r w:rsidR="00970585">
        <w:t xml:space="preserve"> w </w:t>
      </w:r>
      <w:r w:rsidRPr="0004605E">
        <w:t>systemie</w:t>
      </w:r>
      <w:r w:rsidR="00970585">
        <w:t xml:space="preserve"> i </w:t>
      </w:r>
      <w:r w:rsidRPr="0004605E">
        <w:t>zawierała informacje m.in.</w:t>
      </w:r>
      <w:r w:rsidR="00970585">
        <w:t xml:space="preserve"> o </w:t>
      </w:r>
      <w:r w:rsidRPr="0004605E">
        <w:t>rodzaju</w:t>
      </w:r>
      <w:r w:rsidR="00970585">
        <w:t xml:space="preserve"> i </w:t>
      </w:r>
      <w:r w:rsidRPr="0004605E">
        <w:t>ilości przewożonych odpadów, planowanej dacie</w:t>
      </w:r>
      <w:r w:rsidR="00970585">
        <w:t xml:space="preserve"> i </w:t>
      </w:r>
      <w:r w:rsidRPr="0004605E">
        <w:t>godzinie transportu oraz</w:t>
      </w:r>
      <w:r w:rsidR="00970585">
        <w:t xml:space="preserve"> o </w:t>
      </w:r>
      <w:r w:rsidRPr="0004605E">
        <w:t xml:space="preserve">miejscu, do którego należy dostarczyć odpady. </w:t>
      </w:r>
      <w:r>
        <w:t>P</w:t>
      </w:r>
      <w:r w:rsidRPr="0004605E">
        <w:t xml:space="preserve">odmiot transportujący podczas przewożenia odpadów będzie </w:t>
      </w:r>
      <w:r>
        <w:t>mógł</w:t>
      </w:r>
      <w:r w:rsidRPr="0004605E">
        <w:t xml:space="preserve"> posiadać</w:t>
      </w:r>
      <w:r>
        <w:t>,</w:t>
      </w:r>
      <w:r w:rsidRPr="0004605E">
        <w:t xml:space="preserve"> </w:t>
      </w:r>
      <w:r>
        <w:lastRenderedPageBreak/>
        <w:t>na przykład</w:t>
      </w:r>
      <w:r w:rsidR="00970585">
        <w:t xml:space="preserve"> w </w:t>
      </w:r>
      <w:r>
        <w:t>telefonie</w:t>
      </w:r>
      <w:r>
        <w:t>,</w:t>
      </w:r>
      <w:r>
        <w:t xml:space="preserve"> </w:t>
      </w:r>
      <w:r w:rsidRPr="0004605E">
        <w:t>wygenerowane potwierdzenie KPO lub KPOK</w:t>
      </w:r>
      <w:r>
        <w:t xml:space="preserve"> do okazywania</w:t>
      </w:r>
      <w:r w:rsidR="00970585">
        <w:t xml:space="preserve"> w </w:t>
      </w:r>
      <w:r>
        <w:t>trakcie kontroli</w:t>
      </w:r>
      <w:r w:rsidRPr="0004605E">
        <w:t>. Generując takie potwierdzenie, transportujący odpady potwierdzi, że zdaje sobie sprawę</w:t>
      </w:r>
      <w:r w:rsidR="00970585">
        <w:t xml:space="preserve"> z </w:t>
      </w:r>
      <w:r w:rsidRPr="0004605E">
        <w:t>tego, co przewozi. Dopiero po tej czynności transport</w:t>
      </w:r>
      <w:r w:rsidR="00970585">
        <w:t xml:space="preserve"> z </w:t>
      </w:r>
      <w:r w:rsidRPr="0004605E">
        <w:t>odpadami może wyjechać od przekazującego.</w:t>
      </w:r>
    </w:p>
    <w:p w14:paraId="7C8B7B99" w14:textId="24B8C32D" w:rsidR="009E0896" w:rsidRDefault="009E0896" w:rsidP="009E0896">
      <w:pPr>
        <w:jc w:val="both"/>
      </w:pPr>
      <w:r>
        <w:t>Duże przedsiębiorstwa, które zainwestowały</w:t>
      </w:r>
      <w:r w:rsidR="00970585">
        <w:t xml:space="preserve"> w </w:t>
      </w:r>
      <w:r>
        <w:t>oprogramowanie do ewidencji odpadów,</w:t>
      </w:r>
      <w:r w:rsidR="00970585">
        <w:t xml:space="preserve"> w </w:t>
      </w:r>
      <w:r>
        <w:t>tym do wystawiania Kart Przekazania Odpadów mogą dokonać jego integracji</w:t>
      </w:r>
      <w:r w:rsidR="00970585">
        <w:t xml:space="preserve"> z </w:t>
      </w:r>
      <w:r>
        <w:t>BDO przez API BDO. Dzięki temu ewidencja odpadów będzie mogła być prowadzona</w:t>
      </w:r>
      <w:r w:rsidR="00970585">
        <w:t xml:space="preserve"> w </w:t>
      </w:r>
      <w:r>
        <w:t>dotychczas wykorzystywanym systemie,</w:t>
      </w:r>
      <w:r w:rsidR="00970585">
        <w:t xml:space="preserve"> z </w:t>
      </w:r>
      <w:r>
        <w:t>jednoczesnym zapisem danych</w:t>
      </w:r>
      <w:r w:rsidR="00970585">
        <w:t xml:space="preserve"> w </w:t>
      </w:r>
      <w:r>
        <w:t xml:space="preserve">BDO. </w:t>
      </w:r>
      <w:r w:rsidRPr="009E1F79">
        <w:t>Podmioty, które nie posiadają oddzielnego oprogramowania do prowadzenia ewidencji odpadów, będą mogły korzystać</w:t>
      </w:r>
      <w:r w:rsidR="00970585">
        <w:t xml:space="preserve"> z </w:t>
      </w:r>
      <w:r w:rsidRPr="009E1F79">
        <w:t>BDO dostępnego przez przeglądarkę internetową.</w:t>
      </w:r>
    </w:p>
    <w:p w14:paraId="0E11924C" w14:textId="7A34ECFC" w:rsidR="009E0896" w:rsidRDefault="009E0896" w:rsidP="009E0896">
      <w:pPr>
        <w:jc w:val="both"/>
      </w:pPr>
      <w:r>
        <w:t>Eksperci</w:t>
      </w:r>
      <w:r w:rsidRPr="0004605E">
        <w:t xml:space="preserve"> Instytutu Ochrony Środowiska – Państwowego Instytutu Badawczego, któr</w:t>
      </w:r>
      <w:r>
        <w:t>z</w:t>
      </w:r>
      <w:r w:rsidRPr="0004605E">
        <w:t>y tworz</w:t>
      </w:r>
      <w:r>
        <w:t>ą</w:t>
      </w:r>
      <w:r w:rsidRPr="0004605E">
        <w:t xml:space="preserve"> system BDO zapewniają, że podczas prac </w:t>
      </w:r>
      <w:r>
        <w:t>położono duży nacisk na wygodę</w:t>
      </w:r>
      <w:r w:rsidR="00970585">
        <w:t xml:space="preserve"> i </w:t>
      </w:r>
      <w:r>
        <w:t>intuicyjność interfejsu systemu.</w:t>
      </w:r>
      <w:r w:rsidR="00970585">
        <w:t xml:space="preserve"> W </w:t>
      </w:r>
      <w:r>
        <w:t>II połowie 2019 roku Instytut przeprowadził szereg darmowych szkoleń</w:t>
      </w:r>
      <w:r w:rsidR="00970585">
        <w:t xml:space="preserve"> z </w:t>
      </w:r>
      <w:r>
        <w:t>obsługi BDO dla ponad 9000 osób. Od 16 grudnia br. działa wersja produkcyjna Bazy, dzięki której przedsiębiorcy mogą się zapoznać</w:t>
      </w:r>
      <w:r w:rsidR="00970585">
        <w:t xml:space="preserve"> z </w:t>
      </w:r>
      <w:r>
        <w:t>większością funkcjonalności systemu startującego 1 stycznia 2020 r.</w:t>
      </w:r>
    </w:p>
    <w:p w14:paraId="3D03552A" w14:textId="28961C3A" w:rsidR="009E0896" w:rsidRDefault="00073B99" w:rsidP="009E0896">
      <w:r>
        <w:t>Kontakt dla mediów</w:t>
      </w:r>
      <w:r w:rsidR="009E0896">
        <w:t>:</w:t>
      </w:r>
    </w:p>
    <w:p w14:paraId="43E7081F" w14:textId="1756DF2D" w:rsidR="009E0896" w:rsidRDefault="009E0896" w:rsidP="00970585">
      <w:pPr>
        <w:spacing w:after="0" w:line="240" w:lineRule="auto"/>
      </w:pPr>
      <w:r>
        <w:t xml:space="preserve">Marta </w:t>
      </w:r>
      <w:proofErr w:type="spellStart"/>
      <w:r>
        <w:t>Proczek</w:t>
      </w:r>
      <w:proofErr w:type="spellEnd"/>
      <w:r>
        <w:t>, Ekspert ds. Promocji</w:t>
      </w:r>
      <w:r w:rsidR="00970585">
        <w:t xml:space="preserve"> i </w:t>
      </w:r>
      <w:r>
        <w:t>Komunikacji, Instytut Ochrony Środowiska – Państwowy Instytut Badawczy</w:t>
      </w:r>
    </w:p>
    <w:p w14:paraId="60CCF68D" w14:textId="06646A8D" w:rsidR="009E0896" w:rsidRDefault="009E0896" w:rsidP="00970585">
      <w:pPr>
        <w:spacing w:after="0" w:line="240" w:lineRule="auto"/>
      </w:pPr>
      <w:r>
        <w:t>ul. Chmielna 132/134</w:t>
      </w:r>
      <w:r w:rsidR="00970585">
        <w:t xml:space="preserve">, </w:t>
      </w:r>
      <w:r>
        <w:t>00-805 Warszawa</w:t>
      </w:r>
    </w:p>
    <w:p w14:paraId="321B5790" w14:textId="77777777" w:rsidR="009E0896" w:rsidRDefault="009E0896" w:rsidP="00970585">
      <w:pPr>
        <w:spacing w:after="0" w:line="240" w:lineRule="auto"/>
      </w:pPr>
      <w:r>
        <w:t>tel. 22 37 50 610</w:t>
      </w:r>
    </w:p>
    <w:p w14:paraId="5DFB0F12" w14:textId="127426D2" w:rsidR="009E0896" w:rsidRDefault="009E0896" w:rsidP="00970585">
      <w:pPr>
        <w:spacing w:line="240" w:lineRule="auto"/>
      </w:pPr>
      <w:r>
        <w:t xml:space="preserve">Mail: </w:t>
      </w:r>
      <w:hyperlink r:id="rId7" w:history="1">
        <w:r w:rsidR="00073B99" w:rsidRPr="00D36BEB">
          <w:rPr>
            <w:rStyle w:val="Hipercze"/>
          </w:rPr>
          <w:t>marta.proczek@ios.edu.pl</w:t>
        </w:r>
      </w:hyperlink>
    </w:p>
    <w:p w14:paraId="037E04A1" w14:textId="77777777" w:rsidR="009E0896" w:rsidRDefault="009E0896" w:rsidP="00970585">
      <w:pPr>
        <w:spacing w:after="0" w:line="240" w:lineRule="auto"/>
      </w:pPr>
      <w:r>
        <w:t>Bartosz Lewicki, Mastermind</w:t>
      </w:r>
      <w:bookmarkStart w:id="0" w:name="_GoBack"/>
      <w:bookmarkEnd w:id="0"/>
    </w:p>
    <w:p w14:paraId="148434DC" w14:textId="77777777" w:rsidR="009E0896" w:rsidRDefault="009E0896" w:rsidP="00970585">
      <w:pPr>
        <w:spacing w:after="0" w:line="240" w:lineRule="auto"/>
      </w:pPr>
      <w:r>
        <w:t>Tel. 693 55 54 53</w:t>
      </w:r>
    </w:p>
    <w:p w14:paraId="40F33218" w14:textId="0D5CD0D8" w:rsidR="009E0896" w:rsidRDefault="009E0896" w:rsidP="00970585">
      <w:pPr>
        <w:spacing w:after="0" w:line="240" w:lineRule="auto"/>
      </w:pPr>
      <w:r>
        <w:t xml:space="preserve">Mail </w:t>
      </w:r>
      <w:hyperlink r:id="rId8" w:history="1">
        <w:r w:rsidR="00073B99" w:rsidRPr="00D36BEB">
          <w:rPr>
            <w:rStyle w:val="Hipercze"/>
          </w:rPr>
          <w:t>b.lewicki@mastermind.pl</w:t>
        </w:r>
      </w:hyperlink>
    </w:p>
    <w:p w14:paraId="2B37B2D3" w14:textId="3CC4A624" w:rsidR="00073B99" w:rsidRDefault="00073B99" w:rsidP="00970585">
      <w:pPr>
        <w:spacing w:after="0" w:line="240" w:lineRule="auto"/>
      </w:pPr>
    </w:p>
    <w:p w14:paraId="5F268B58" w14:textId="3D17C7BB" w:rsidR="00073B99" w:rsidRPr="00073B99" w:rsidRDefault="00073B99" w:rsidP="00970585">
      <w:pPr>
        <w:spacing w:after="0" w:line="240" w:lineRule="auto"/>
        <w:rPr>
          <w:b/>
          <w:bCs/>
          <w:sz w:val="22"/>
          <w:szCs w:val="32"/>
        </w:rPr>
      </w:pPr>
      <w:r w:rsidRPr="00073B99">
        <w:rPr>
          <w:b/>
          <w:bCs/>
          <w:sz w:val="22"/>
          <w:szCs w:val="32"/>
        </w:rPr>
        <w:t>Więcej informacji na temat BDO</w:t>
      </w:r>
      <w:r w:rsidRPr="00073B99">
        <w:rPr>
          <w:b/>
          <w:bCs/>
          <w:sz w:val="22"/>
          <w:szCs w:val="32"/>
        </w:rPr>
        <w:t>: bdo.mos.gov.pl</w:t>
      </w:r>
    </w:p>
    <w:sectPr w:rsidR="00073B99" w:rsidRPr="00073B99" w:rsidSect="00C24D2F">
      <w:headerReference w:type="default" r:id="rId9"/>
      <w:footerReference w:type="default" r:id="rId10"/>
      <w:pgSz w:w="11900" w:h="16840"/>
      <w:pgMar w:top="1814" w:right="1134" w:bottom="1418" w:left="1134" w:header="65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31EF12" w14:textId="77777777" w:rsidR="00735B90" w:rsidRDefault="00735B90" w:rsidP="00483680">
      <w:pPr>
        <w:spacing w:after="0" w:line="240" w:lineRule="auto"/>
      </w:pPr>
      <w:r>
        <w:separator/>
      </w:r>
    </w:p>
  </w:endnote>
  <w:endnote w:type="continuationSeparator" w:id="0">
    <w:p w14:paraId="1D5AA3B2" w14:textId="77777777" w:rsidR="00735B90" w:rsidRDefault="00735B90" w:rsidP="00483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17B633" w14:textId="32E2CA54" w:rsidR="00DC1B48" w:rsidRDefault="00DA0A0E" w:rsidP="00DC1B48">
    <w:pPr>
      <w:pStyle w:val="Stopka"/>
      <w:ind w:firstLine="708"/>
    </w:pPr>
    <w:r w:rsidRPr="00DA0A0E">
      <w:rPr>
        <w:noProof/>
      </w:rPr>
      <w:drawing>
        <wp:anchor distT="0" distB="0" distL="114300" distR="114300" simplePos="0" relativeHeight="251662336" behindDoc="0" locked="0" layoutInCell="1" allowOverlap="1" wp14:anchorId="13704C34" wp14:editId="6BB2719C">
          <wp:simplePos x="0" y="0"/>
          <wp:positionH relativeFrom="page">
            <wp:posOffset>3076334</wp:posOffset>
          </wp:positionH>
          <wp:positionV relativeFrom="paragraph">
            <wp:posOffset>-241300</wp:posOffset>
          </wp:positionV>
          <wp:extent cx="1174704" cy="391697"/>
          <wp:effectExtent l="0" t="0" r="0" b="254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7401" r="35658"/>
                  <a:stretch/>
                </pic:blipFill>
                <pic:spPr bwMode="auto">
                  <a:xfrm>
                    <a:off x="0" y="0"/>
                    <a:ext cx="1174704" cy="39169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0A0E">
      <w:rPr>
        <w:noProof/>
      </w:rPr>
      <w:drawing>
        <wp:anchor distT="0" distB="0" distL="114300" distR="114300" simplePos="0" relativeHeight="251664384" behindDoc="0" locked="0" layoutInCell="1" allowOverlap="1" wp14:anchorId="5A466225" wp14:editId="27D9611D">
          <wp:simplePos x="0" y="0"/>
          <wp:positionH relativeFrom="page">
            <wp:posOffset>5792869</wp:posOffset>
          </wp:positionH>
          <wp:positionV relativeFrom="paragraph">
            <wp:posOffset>-241300</wp:posOffset>
          </wp:positionV>
          <wp:extent cx="1174704" cy="391697"/>
          <wp:effectExtent l="0" t="0" r="0" b="254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4496" r="-1437"/>
                  <a:stretch/>
                </pic:blipFill>
                <pic:spPr bwMode="auto">
                  <a:xfrm>
                    <a:off x="0" y="0"/>
                    <a:ext cx="1174704" cy="39169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0A0E">
      <w:rPr>
        <w:noProof/>
      </w:rPr>
      <w:drawing>
        <wp:anchor distT="0" distB="0" distL="114300" distR="114300" simplePos="0" relativeHeight="251660288" behindDoc="0" locked="0" layoutInCell="1" allowOverlap="1" wp14:anchorId="4253DF8B" wp14:editId="5D4FA47F">
          <wp:simplePos x="0" y="0"/>
          <wp:positionH relativeFrom="page">
            <wp:posOffset>646792</wp:posOffset>
          </wp:positionH>
          <wp:positionV relativeFrom="paragraph">
            <wp:posOffset>-241300</wp:posOffset>
          </wp:positionV>
          <wp:extent cx="1174704" cy="391697"/>
          <wp:effectExtent l="0" t="0" r="0" b="254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3059"/>
                  <a:stretch/>
                </pic:blipFill>
                <pic:spPr bwMode="auto">
                  <a:xfrm>
                    <a:off x="0" y="0"/>
                    <a:ext cx="1174704" cy="39169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15DAB7" w14:textId="77777777" w:rsidR="00735B90" w:rsidRDefault="00735B90" w:rsidP="00483680">
      <w:pPr>
        <w:spacing w:after="0" w:line="240" w:lineRule="auto"/>
      </w:pPr>
      <w:r>
        <w:separator/>
      </w:r>
    </w:p>
  </w:footnote>
  <w:footnote w:type="continuationSeparator" w:id="0">
    <w:p w14:paraId="2FF845BD" w14:textId="77777777" w:rsidR="00735B90" w:rsidRDefault="00735B90" w:rsidP="004836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1F760B" w14:textId="4F3DE031" w:rsidR="00483680" w:rsidRPr="00C24D2F" w:rsidRDefault="00C24D2F" w:rsidP="00483680">
    <w:pPr>
      <w:pStyle w:val="Nagwek"/>
      <w:jc w:val="right"/>
      <w:rPr>
        <w:color w:val="595959" w:themeColor="text1" w:themeTint="A6"/>
        <w:sz w:val="15"/>
        <w:szCs w:val="21"/>
      </w:rPr>
    </w:pPr>
    <w:r>
      <w:rPr>
        <w:noProof/>
        <w:sz w:val="15"/>
        <w:szCs w:val="2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3CE9C35" wp14:editId="279F8BBB">
              <wp:simplePos x="0" y="0"/>
              <wp:positionH relativeFrom="column">
                <wp:posOffset>20774</wp:posOffset>
              </wp:positionH>
              <wp:positionV relativeFrom="paragraph">
                <wp:posOffset>533752</wp:posOffset>
              </wp:positionV>
              <wp:extent cx="4485232" cy="0"/>
              <wp:effectExtent l="0" t="0" r="10795" b="127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485232" cy="0"/>
                      </a:xfrm>
                      <a:prstGeom prst="line">
                        <a:avLst/>
                      </a:prstGeom>
                      <a:ln w="15875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D6EC73A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65pt,42.05pt" to="354.8pt,4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" strokecolor="#a5a5a5 [2092]" strokeweight="1.25pt">
              <v:stroke joinstyle="miter"/>
            </v:line>
          </w:pict>
        </mc:Fallback>
      </mc:AlternateContent>
    </w:r>
    <w:r w:rsidR="00483680" w:rsidRPr="00C24D2F">
      <w:rPr>
        <w:noProof/>
        <w:color w:val="595959" w:themeColor="text1" w:themeTint="A6"/>
        <w:sz w:val="15"/>
        <w:szCs w:val="21"/>
      </w:rPr>
      <w:drawing>
        <wp:anchor distT="0" distB="0" distL="114300" distR="114300" simplePos="0" relativeHeight="251658240" behindDoc="0" locked="0" layoutInCell="1" allowOverlap="1" wp14:anchorId="437DF4B4" wp14:editId="5221817E">
          <wp:simplePos x="0" y="0"/>
          <wp:positionH relativeFrom="page">
            <wp:posOffset>648335</wp:posOffset>
          </wp:positionH>
          <wp:positionV relativeFrom="page">
            <wp:posOffset>360045</wp:posOffset>
          </wp:positionV>
          <wp:extent cx="2257200" cy="4536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DO logo RGB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7200" cy="45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83680" w:rsidRPr="00C24D2F">
      <w:rPr>
        <w:color w:val="595959" w:themeColor="text1" w:themeTint="A6"/>
        <w:sz w:val="15"/>
        <w:szCs w:val="21"/>
      </w:rPr>
      <w:t xml:space="preserve"> Instytut Ochrony Środowiska – Państwowy Instytut Badawczy </w:t>
    </w:r>
    <w:r w:rsidR="00483680" w:rsidRPr="00C24D2F">
      <w:rPr>
        <w:color w:val="595959" w:themeColor="text1" w:themeTint="A6"/>
        <w:sz w:val="15"/>
        <w:szCs w:val="21"/>
      </w:rPr>
      <w:br/>
    </w:r>
    <w:r w:rsidRPr="00C24D2F">
      <w:rPr>
        <w:color w:val="595959" w:themeColor="text1" w:themeTint="A6"/>
        <w:sz w:val="15"/>
        <w:szCs w:val="21"/>
      </w:rPr>
      <w:t xml:space="preserve">KRS: 0000032034, NIP: 5250007307, REGON: 001240700 </w:t>
    </w:r>
    <w:r>
      <w:rPr>
        <w:color w:val="595959" w:themeColor="text1" w:themeTint="A6"/>
        <w:sz w:val="15"/>
        <w:szCs w:val="21"/>
      </w:rPr>
      <w:br/>
    </w:r>
    <w:r w:rsidR="00483680" w:rsidRPr="00C24D2F">
      <w:rPr>
        <w:color w:val="595959" w:themeColor="text1" w:themeTint="A6"/>
        <w:sz w:val="15"/>
        <w:szCs w:val="21"/>
      </w:rPr>
      <w:t>ul. Chmielna 132/134, 00-805 Warszawa</w:t>
    </w:r>
    <w:r w:rsidR="00483680" w:rsidRPr="00C24D2F">
      <w:rPr>
        <w:color w:val="595959" w:themeColor="text1" w:themeTint="A6"/>
        <w:sz w:val="15"/>
        <w:szCs w:val="21"/>
      </w:rPr>
      <w:br/>
      <w:t>tel. 22 37 50 610</w:t>
    </w:r>
    <w:r w:rsidR="00483680" w:rsidRPr="00C24D2F">
      <w:rPr>
        <w:color w:val="595959" w:themeColor="text1" w:themeTint="A6"/>
        <w:sz w:val="15"/>
        <w:szCs w:val="21"/>
      </w:rPr>
      <w:br/>
      <w:t>www.bdo.mos.gov.pl, www.ios.gov.pl</w:t>
    </w:r>
  </w:p>
  <w:p w14:paraId="4586F251" w14:textId="616B4329" w:rsidR="00483680" w:rsidRPr="00C24D2F" w:rsidRDefault="00483680" w:rsidP="00483680">
    <w:pPr>
      <w:pStyle w:val="Nagwek"/>
      <w:rPr>
        <w:color w:val="595959" w:themeColor="text1" w:themeTint="A6"/>
        <w:sz w:val="15"/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C7A06"/>
    <w:multiLevelType w:val="hybridMultilevel"/>
    <w:tmpl w:val="F440D9AE"/>
    <w:lvl w:ilvl="0" w:tplc="A04AE7E0">
      <w:start w:val="1"/>
      <w:numFmt w:val="upperRoman"/>
      <w:pStyle w:val="TabletextNumbered"/>
      <w:lvlText w:val="%1."/>
      <w:lvlJc w:val="right"/>
      <w:pPr>
        <w:ind w:left="227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A759D9"/>
    <w:multiLevelType w:val="hybridMultilevel"/>
    <w:tmpl w:val="9F1098F8"/>
    <w:lvl w:ilvl="0" w:tplc="BA085DE2">
      <w:start w:val="1"/>
      <w:numFmt w:val="decimal"/>
      <w:pStyle w:val="Normalnumbersblack"/>
      <w:lvlText w:val="%1."/>
      <w:lvlJc w:val="left"/>
      <w:pPr>
        <w:ind w:left="284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9C6239"/>
    <w:multiLevelType w:val="hybridMultilevel"/>
    <w:tmpl w:val="BE8ECE50"/>
    <w:lvl w:ilvl="0" w:tplc="27262510">
      <w:start w:val="1"/>
      <w:numFmt w:val="bullet"/>
      <w:pStyle w:val="NormalWhitebullets"/>
      <w:lvlText w:val=""/>
      <w:lvlJc w:val="left"/>
      <w:pPr>
        <w:ind w:left="284" w:hanging="284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DE7BA8"/>
    <w:multiLevelType w:val="multilevel"/>
    <w:tmpl w:val="10AE337E"/>
    <w:lvl w:ilvl="0">
      <w:start w:val="1"/>
      <w:numFmt w:val="decimal"/>
      <w:pStyle w:val="Normalnumbersred"/>
      <w:lvlText w:val="%1."/>
      <w:lvlJc w:val="left"/>
      <w:pPr>
        <w:ind w:left="284" w:hanging="284"/>
      </w:pPr>
      <w:rPr>
        <w:rFonts w:hint="default"/>
        <w:color w:val="DB0011"/>
      </w:rPr>
    </w:lvl>
    <w:lvl w:ilvl="1">
      <w:start w:val="1"/>
      <w:numFmt w:val="lowerLetter"/>
      <w:lvlText w:val="%2)"/>
      <w:lvlJc w:val="left"/>
      <w:pPr>
        <w:ind w:left="110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20" w:hanging="360"/>
      </w:pPr>
      <w:rPr>
        <w:rFonts w:hint="default"/>
      </w:rPr>
    </w:lvl>
  </w:abstractNum>
  <w:abstractNum w:abstractNumId="4" w15:restartNumberingAfterBreak="0">
    <w:nsid w:val="57F40439"/>
    <w:multiLevelType w:val="multilevel"/>
    <w:tmpl w:val="D884CD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sz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EF0640E"/>
    <w:multiLevelType w:val="hybridMultilevel"/>
    <w:tmpl w:val="976A5EE4"/>
    <w:lvl w:ilvl="0" w:tplc="140EBDDE">
      <w:start w:val="1"/>
      <w:numFmt w:val="bullet"/>
      <w:pStyle w:val="Tabletext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AF1C41"/>
    <w:multiLevelType w:val="hybridMultilevel"/>
    <w:tmpl w:val="3AF8B744"/>
    <w:lvl w:ilvl="0" w:tplc="01A09BDC">
      <w:start w:val="1"/>
      <w:numFmt w:val="bullet"/>
      <w:pStyle w:val="Akapitzlist"/>
      <w:lvlText w:val=""/>
      <w:lvlJc w:val="left"/>
      <w:pPr>
        <w:ind w:left="284" w:hanging="284"/>
      </w:pPr>
      <w:rPr>
        <w:rFonts w:ascii="Wingdings 3" w:hAnsi="Wingdings 3" w:hint="default"/>
        <w:color w:val="DB001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2"/>
  </w:num>
  <w:num w:numId="8">
    <w:abstractNumId w:val="2"/>
  </w:num>
  <w:num w:numId="9">
    <w:abstractNumId w:val="2"/>
  </w:num>
  <w:num w:numId="10">
    <w:abstractNumId w:val="6"/>
  </w:num>
  <w:num w:numId="11">
    <w:abstractNumId w:val="1"/>
  </w:num>
  <w:num w:numId="12">
    <w:abstractNumId w:val="1"/>
  </w:num>
  <w:num w:numId="13">
    <w:abstractNumId w:val="5"/>
  </w:num>
  <w:num w:numId="14">
    <w:abstractNumId w:val="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680"/>
    <w:rsid w:val="00073B99"/>
    <w:rsid w:val="00121A26"/>
    <w:rsid w:val="002470BA"/>
    <w:rsid w:val="002B4A25"/>
    <w:rsid w:val="00337871"/>
    <w:rsid w:val="00361BBE"/>
    <w:rsid w:val="004200BA"/>
    <w:rsid w:val="004603A6"/>
    <w:rsid w:val="00483680"/>
    <w:rsid w:val="004F112C"/>
    <w:rsid w:val="005C376B"/>
    <w:rsid w:val="005F1BDF"/>
    <w:rsid w:val="006F2548"/>
    <w:rsid w:val="00735B90"/>
    <w:rsid w:val="007869B3"/>
    <w:rsid w:val="007F6806"/>
    <w:rsid w:val="00804744"/>
    <w:rsid w:val="00885489"/>
    <w:rsid w:val="00970585"/>
    <w:rsid w:val="009E0896"/>
    <w:rsid w:val="00A87945"/>
    <w:rsid w:val="00A90497"/>
    <w:rsid w:val="00A915FD"/>
    <w:rsid w:val="00B2014F"/>
    <w:rsid w:val="00C06495"/>
    <w:rsid w:val="00C24D2F"/>
    <w:rsid w:val="00CD4289"/>
    <w:rsid w:val="00CE2625"/>
    <w:rsid w:val="00D32D51"/>
    <w:rsid w:val="00DA0A0E"/>
    <w:rsid w:val="00DA0A3D"/>
    <w:rsid w:val="00DC1B48"/>
    <w:rsid w:val="00DF5F02"/>
    <w:rsid w:val="00E17A4A"/>
    <w:rsid w:val="00E63C1F"/>
    <w:rsid w:val="00F1142B"/>
    <w:rsid w:val="00F60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5DB4B6"/>
  <w15:chartTrackingRefBased/>
  <w15:docId w15:val="{47688ABE-EF6D-4CF1-AD7C-7077C6E3A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3C1F"/>
    <w:pPr>
      <w:spacing w:after="180" w:line="250" w:lineRule="exact"/>
    </w:pPr>
    <w:rPr>
      <w:color w:val="000000" w:themeColor="text1"/>
      <w:sz w:val="1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32D51"/>
    <w:pPr>
      <w:keepNext/>
      <w:keepLines/>
      <w:spacing w:after="120" w:line="340" w:lineRule="exact"/>
      <w:outlineLvl w:val="0"/>
    </w:pPr>
    <w:rPr>
      <w:rFonts w:asciiTheme="majorHAnsi" w:eastAsiaTheme="majorEastAsia" w:hAnsiTheme="majorHAnsi" w:cstheme="majorBidi"/>
      <w:b/>
      <w:color w:val="DB001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32D51"/>
    <w:pPr>
      <w:keepNext/>
      <w:keepLines/>
      <w:spacing w:line="360" w:lineRule="exact"/>
      <w:outlineLvl w:val="1"/>
    </w:pPr>
    <w:rPr>
      <w:rFonts w:asciiTheme="majorHAnsi" w:eastAsiaTheme="majorEastAsia" w:hAnsiTheme="majorHAnsi" w:cstheme="majorBidi"/>
      <w:b/>
      <w:sz w:val="32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32D51"/>
    <w:rPr>
      <w:rFonts w:asciiTheme="majorHAnsi" w:eastAsiaTheme="majorEastAsia" w:hAnsiTheme="majorHAnsi" w:cstheme="majorBidi"/>
      <w:b/>
      <w:color w:val="000000" w:themeColor="text1"/>
      <w:sz w:val="32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D32D51"/>
    <w:rPr>
      <w:rFonts w:asciiTheme="majorHAnsi" w:eastAsiaTheme="majorEastAsia" w:hAnsiTheme="majorHAnsi" w:cstheme="majorBidi"/>
      <w:b/>
      <w:color w:val="DB0011"/>
      <w:sz w:val="32"/>
      <w:szCs w:val="32"/>
    </w:rPr>
  </w:style>
  <w:style w:type="paragraph" w:styleId="Tytu">
    <w:name w:val="Title"/>
    <w:basedOn w:val="Normalny"/>
    <w:next w:val="Normalny"/>
    <w:link w:val="TytuZnak"/>
    <w:uiPriority w:val="10"/>
    <w:qFormat/>
    <w:rsid w:val="00D32D51"/>
    <w:pPr>
      <w:spacing w:after="36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60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32D51"/>
    <w:rPr>
      <w:rFonts w:asciiTheme="majorHAnsi" w:eastAsiaTheme="majorEastAsia" w:hAnsiTheme="majorHAnsi" w:cstheme="majorBidi"/>
      <w:spacing w:val="-10"/>
      <w:kern w:val="28"/>
      <w:sz w:val="60"/>
      <w:szCs w:val="56"/>
    </w:rPr>
  </w:style>
  <w:style w:type="paragraph" w:customStyle="1" w:styleId="HeadingWhite">
    <w:name w:val="Heading White"/>
    <w:basedOn w:val="Normalny"/>
    <w:qFormat/>
    <w:rsid w:val="00E63C1F"/>
    <w:pPr>
      <w:spacing w:line="320" w:lineRule="exact"/>
    </w:pPr>
    <w:rPr>
      <w:b/>
      <w:color w:val="FFFFFF" w:themeColor="background1"/>
      <w:sz w:val="28"/>
    </w:rPr>
  </w:style>
  <w:style w:type="paragraph" w:customStyle="1" w:styleId="NormalWhite">
    <w:name w:val="Normal White"/>
    <w:basedOn w:val="Normalny"/>
    <w:qFormat/>
    <w:rsid w:val="00D32D51"/>
    <w:rPr>
      <w:color w:val="FFFFFF" w:themeColor="background1"/>
    </w:rPr>
  </w:style>
  <w:style w:type="paragraph" w:customStyle="1" w:styleId="NormalWhitebullets">
    <w:name w:val="Normal White bullets"/>
    <w:basedOn w:val="Normalny"/>
    <w:qFormat/>
    <w:rsid w:val="00E63C1F"/>
    <w:pPr>
      <w:numPr>
        <w:numId w:val="9"/>
      </w:numPr>
      <w:snapToGrid w:val="0"/>
      <w:spacing w:after="120" w:line="220" w:lineRule="exact"/>
    </w:pPr>
    <w:rPr>
      <w:color w:val="FFFFFF" w:themeColor="background1"/>
      <w:sz w:val="17"/>
    </w:rPr>
  </w:style>
  <w:style w:type="paragraph" w:styleId="Stopka">
    <w:name w:val="footer"/>
    <w:basedOn w:val="Normalny"/>
    <w:link w:val="StopkaZnak"/>
    <w:uiPriority w:val="99"/>
    <w:unhideWhenUsed/>
    <w:qFormat/>
    <w:rsid w:val="00D32D51"/>
    <w:pPr>
      <w:tabs>
        <w:tab w:val="center" w:pos="4703"/>
        <w:tab w:val="right" w:pos="9406"/>
      </w:tabs>
      <w:spacing w:line="140" w:lineRule="exact"/>
      <w:jc w:val="both"/>
    </w:pPr>
    <w:rPr>
      <w:sz w:val="11"/>
    </w:rPr>
  </w:style>
  <w:style w:type="character" w:customStyle="1" w:styleId="StopkaZnak">
    <w:name w:val="Stopka Znak"/>
    <w:basedOn w:val="Domylnaczcionkaakapitu"/>
    <w:link w:val="Stopka"/>
    <w:uiPriority w:val="99"/>
    <w:rsid w:val="00D32D51"/>
    <w:rPr>
      <w:color w:val="000000" w:themeColor="text1"/>
      <w:sz w:val="11"/>
    </w:rPr>
  </w:style>
  <w:style w:type="paragraph" w:customStyle="1" w:styleId="Normalnumbersred">
    <w:name w:val="Normal numbers red"/>
    <w:basedOn w:val="Normalny"/>
    <w:qFormat/>
    <w:rsid w:val="00D32D51"/>
    <w:pPr>
      <w:numPr>
        <w:numId w:val="6"/>
      </w:numPr>
    </w:pPr>
  </w:style>
  <w:style w:type="paragraph" w:customStyle="1" w:styleId="Tabletext">
    <w:name w:val="Table text"/>
    <w:basedOn w:val="Normalny"/>
    <w:qFormat/>
    <w:rsid w:val="00D32D51"/>
    <w:pPr>
      <w:spacing w:after="120" w:line="168" w:lineRule="exact"/>
    </w:pPr>
    <w:rPr>
      <w:color w:val="5F5F5F"/>
      <w:sz w:val="14"/>
    </w:rPr>
  </w:style>
  <w:style w:type="paragraph" w:styleId="Akapitzlist">
    <w:name w:val="List Paragraph"/>
    <w:basedOn w:val="Normalny"/>
    <w:uiPriority w:val="34"/>
    <w:qFormat/>
    <w:rsid w:val="00E63C1F"/>
    <w:pPr>
      <w:numPr>
        <w:numId w:val="10"/>
      </w:numPr>
      <w:spacing w:after="120"/>
    </w:pPr>
  </w:style>
  <w:style w:type="paragraph" w:customStyle="1" w:styleId="Normalnumbersblack">
    <w:name w:val="Normal numbers black"/>
    <w:basedOn w:val="Normalny"/>
    <w:qFormat/>
    <w:rsid w:val="00E63C1F"/>
    <w:pPr>
      <w:numPr>
        <w:numId w:val="12"/>
      </w:numPr>
      <w:spacing w:after="120"/>
    </w:pPr>
  </w:style>
  <w:style w:type="paragraph" w:customStyle="1" w:styleId="Tabletextbullet">
    <w:name w:val="Table text bullet"/>
    <w:basedOn w:val="Tabletext"/>
    <w:qFormat/>
    <w:rsid w:val="006F2548"/>
    <w:pPr>
      <w:numPr>
        <w:numId w:val="13"/>
      </w:numPr>
    </w:pPr>
    <w:rPr>
      <w:b/>
      <w:bCs/>
    </w:rPr>
  </w:style>
  <w:style w:type="paragraph" w:customStyle="1" w:styleId="TabletextNumbered">
    <w:name w:val="Table text Numbered"/>
    <w:basedOn w:val="Tabletext"/>
    <w:qFormat/>
    <w:rsid w:val="006F2548"/>
    <w:pPr>
      <w:numPr>
        <w:numId w:val="14"/>
      </w:numPr>
    </w:pPr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48368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3680"/>
    <w:rPr>
      <w:color w:val="000000" w:themeColor="text1"/>
      <w:sz w:val="18"/>
    </w:rPr>
  </w:style>
  <w:style w:type="character" w:styleId="Hipercze">
    <w:name w:val="Hyperlink"/>
    <w:basedOn w:val="Domylnaczcionkaakapitu"/>
    <w:uiPriority w:val="99"/>
    <w:unhideWhenUsed/>
    <w:rsid w:val="0048368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83680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9E0896"/>
    <w:pPr>
      <w:spacing w:after="160" w:line="259" w:lineRule="auto"/>
    </w:pPr>
    <w:rPr>
      <w:rFonts w:ascii="Times New Roman" w:hAnsi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75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.lewicki@mastermind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rta.proczek@ios.edu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20191220 Korzyści z rejestracji w BDO</Template>
  <TotalTime>1</TotalTime>
  <Pages>2</Pages>
  <Words>860</Words>
  <Characters>5160</Characters>
  <Application>Microsoft Office Word</Application>
  <DocSecurity>0</DocSecurity>
  <Lines>43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Chrostowski</dc:creator>
  <cp:keywords/>
  <dc:description/>
  <cp:lastModifiedBy>Bartosz Lewicki</cp:lastModifiedBy>
  <cp:revision>2</cp:revision>
  <dcterms:created xsi:type="dcterms:W3CDTF">2019-12-19T11:31:00Z</dcterms:created>
  <dcterms:modified xsi:type="dcterms:W3CDTF">2019-12-19T11:31:00Z</dcterms:modified>
</cp:coreProperties>
</file>