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E137" w14:textId="54A72BAD" w:rsidR="00014263" w:rsidRPr="00EA58D0" w:rsidRDefault="00EA58D0" w:rsidP="002D0A1E">
      <w:pPr>
        <w:pStyle w:val="Ttulo2"/>
        <w:rPr>
          <w:lang w:val="pt-PT"/>
        </w:rPr>
      </w:pPr>
      <w:r w:rsidRPr="00EA58D0">
        <w:rPr>
          <w:lang w:val="pt-PT"/>
        </w:rPr>
        <w:t>Comunicado de imprensa</w:t>
      </w:r>
    </w:p>
    <w:p w14:paraId="0C03E4B5" w14:textId="77777777" w:rsidR="002D0A1E" w:rsidRPr="00EA58D0" w:rsidRDefault="002D0A1E" w:rsidP="002D0A1E">
      <w:pPr>
        <w:rPr>
          <w:lang w:val="pt-PT"/>
        </w:rPr>
      </w:pPr>
    </w:p>
    <w:p w14:paraId="0C69B28C" w14:textId="2D2DAEE4" w:rsidR="002D0A1E" w:rsidRPr="00EA58D0" w:rsidRDefault="00EA58D0" w:rsidP="00EA58D0">
      <w:pPr>
        <w:jc w:val="center"/>
        <w:rPr>
          <w:rFonts w:asciiTheme="majorHAnsi" w:eastAsiaTheme="majorEastAsia" w:hAnsiTheme="majorHAnsi" w:cstheme="majorBidi"/>
          <w:b/>
          <w:bCs/>
          <w:color w:val="002A5E" w:themeColor="accent1"/>
          <w:sz w:val="30"/>
          <w:u w:val="single"/>
          <w:lang w:val="pt-PT"/>
        </w:rPr>
      </w:pPr>
      <w:r w:rsidRPr="00EA58D0">
        <w:rPr>
          <w:rFonts w:asciiTheme="majorHAnsi" w:eastAsiaTheme="majorEastAsia" w:hAnsiTheme="majorHAnsi" w:cstheme="majorBidi"/>
          <w:b/>
          <w:bCs/>
          <w:color w:val="002A5E" w:themeColor="accent1"/>
          <w:sz w:val="30"/>
          <w:u w:val="single"/>
          <w:lang w:val="pt-PT"/>
        </w:rPr>
        <w:t>Schroders Institutional Investor Study 2019</w:t>
      </w:r>
    </w:p>
    <w:p w14:paraId="25B37839" w14:textId="364FA75E" w:rsidR="00EA58D0" w:rsidRPr="00EA58D0" w:rsidRDefault="00EA58D0" w:rsidP="00EA58D0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szCs w:val="40"/>
          <w:lang w:val="pt-PT"/>
        </w:rPr>
      </w:pPr>
      <w:r w:rsidRPr="00EA58D0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szCs w:val="40"/>
          <w:lang w:val="pt-PT"/>
        </w:rPr>
        <w:t>Co</w:t>
      </w:r>
      <w:r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szCs w:val="40"/>
          <w:lang w:val="pt-PT"/>
        </w:rPr>
        <w:t>nfiança das seguradoras</w:t>
      </w:r>
      <w:r w:rsidRPr="00EA58D0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szCs w:val="40"/>
          <w:lang w:val="pt-PT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szCs w:val="40"/>
          <w:lang w:val="pt-PT"/>
        </w:rPr>
        <w:t xml:space="preserve">cai à medida </w:t>
      </w:r>
      <w:r w:rsidRPr="00EA58D0">
        <w:rPr>
          <w:rFonts w:asciiTheme="majorHAnsi" w:eastAsiaTheme="majorEastAsia" w:hAnsiTheme="majorHAnsi" w:cstheme="majorBidi"/>
          <w:b/>
          <w:bCs/>
          <w:color w:val="002A5E" w:themeColor="accent1"/>
          <w:sz w:val="40"/>
          <w:szCs w:val="40"/>
          <w:lang w:val="pt-PT"/>
        </w:rPr>
        <w:t>que o foco nos ativos privados e na sustentabilidade aumenta</w:t>
      </w:r>
    </w:p>
    <w:p w14:paraId="0CCCDEB1" w14:textId="26C7ACD7" w:rsidR="007C5AFD" w:rsidRDefault="007C5AFD" w:rsidP="007C5AFD">
      <w:pPr>
        <w:rPr>
          <w:lang w:val="pt-PT"/>
        </w:rPr>
      </w:pPr>
    </w:p>
    <w:p w14:paraId="553E7465" w14:textId="11EAD9CB" w:rsidR="002F3AEB" w:rsidRDefault="002F3AEB" w:rsidP="007C5AFD">
      <w:pPr>
        <w:rPr>
          <w:rFonts w:asciiTheme="majorHAnsi" w:eastAsiaTheme="majorEastAsia" w:hAnsiTheme="majorHAnsi" w:cstheme="majorBidi"/>
          <w:b/>
          <w:bCs/>
          <w:color w:val="002A5E" w:themeColor="accent1"/>
          <w:sz w:val="24"/>
          <w:szCs w:val="16"/>
          <w:lang w:val="pt-PT"/>
        </w:rPr>
      </w:pPr>
      <w:r w:rsidRPr="002F3AEB">
        <w:rPr>
          <w:rFonts w:asciiTheme="majorHAnsi" w:eastAsiaTheme="majorEastAsia" w:hAnsiTheme="majorHAnsi" w:cstheme="majorBidi"/>
          <w:b/>
          <w:bCs/>
          <w:color w:val="002A5E" w:themeColor="accent1"/>
          <w:sz w:val="24"/>
          <w:szCs w:val="16"/>
          <w:lang w:val="pt-PT"/>
        </w:rPr>
        <w:t>15 de janeiro de 2020</w:t>
      </w:r>
    </w:p>
    <w:p w14:paraId="183BBB5F" w14:textId="0FD52D3F" w:rsidR="00EA58D0" w:rsidRDefault="00EA58D0" w:rsidP="003875A8">
      <w:pPr>
        <w:jc w:val="both"/>
        <w:rPr>
          <w:bCs/>
          <w:sz w:val="20"/>
          <w:szCs w:val="20"/>
          <w:lang w:val="pt-PT"/>
        </w:rPr>
      </w:pPr>
      <w:r w:rsidRPr="00EA58D0">
        <w:rPr>
          <w:bCs/>
          <w:sz w:val="20"/>
          <w:szCs w:val="20"/>
          <w:lang w:val="pt-PT"/>
        </w:rPr>
        <w:t>A confiança das seguradoras e</w:t>
      </w:r>
      <w:r>
        <w:rPr>
          <w:bCs/>
          <w:sz w:val="20"/>
          <w:szCs w:val="20"/>
          <w:lang w:val="pt-PT"/>
        </w:rPr>
        <w:t xml:space="preserve">m alcançar os retornos esperados caiu pelo segundo ano consecutivo. De acordo com o Institutional Investor Study </w:t>
      </w:r>
      <w:r w:rsidR="00430406">
        <w:rPr>
          <w:bCs/>
          <w:sz w:val="20"/>
          <w:szCs w:val="20"/>
          <w:lang w:val="pt-PT"/>
        </w:rPr>
        <w:t xml:space="preserve">de </w:t>
      </w:r>
      <w:r>
        <w:rPr>
          <w:bCs/>
          <w:sz w:val="20"/>
          <w:szCs w:val="20"/>
          <w:lang w:val="pt-PT"/>
        </w:rPr>
        <w:t>2019</w:t>
      </w:r>
      <w:r w:rsidR="00A57E81">
        <w:rPr>
          <w:bCs/>
          <w:sz w:val="20"/>
          <w:szCs w:val="20"/>
          <w:lang w:val="pt-PT"/>
        </w:rPr>
        <w:t>,</w:t>
      </w:r>
      <w:r>
        <w:rPr>
          <w:bCs/>
          <w:sz w:val="20"/>
          <w:szCs w:val="20"/>
          <w:lang w:val="pt-PT"/>
        </w:rPr>
        <w:t xml:space="preserve"> da Schroders, só metade acredita que vai conseguir atingir os objetivos de investimento.</w:t>
      </w:r>
    </w:p>
    <w:p w14:paraId="5AB50BEB" w14:textId="4545272D" w:rsidR="00EA58D0" w:rsidRDefault="00EA58D0" w:rsidP="003875A8">
      <w:pPr>
        <w:jc w:val="both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 xml:space="preserve">O estudo – que inquiriu 156 seguradoras de 20 localizações diferentes </w:t>
      </w:r>
      <w:r w:rsidR="00C72E99">
        <w:rPr>
          <w:bCs/>
          <w:sz w:val="20"/>
          <w:szCs w:val="20"/>
          <w:lang w:val="pt-PT"/>
        </w:rPr>
        <w:t>a nível mundial</w:t>
      </w:r>
      <w:r>
        <w:rPr>
          <w:bCs/>
          <w:sz w:val="20"/>
          <w:szCs w:val="20"/>
          <w:lang w:val="pt-PT"/>
        </w:rPr>
        <w:t>, representando ativos no valor de 9,8 mil biliões de dólares – revela que apenas 51% das seguradoras espera atingir as suas expectativas de retorno. Isto representa um</w:t>
      </w:r>
      <w:r w:rsidR="00E1267F">
        <w:rPr>
          <w:bCs/>
          <w:sz w:val="20"/>
          <w:szCs w:val="20"/>
          <w:lang w:val="pt-PT"/>
        </w:rPr>
        <w:t>a</w:t>
      </w:r>
      <w:r>
        <w:rPr>
          <w:bCs/>
          <w:sz w:val="20"/>
          <w:szCs w:val="20"/>
          <w:lang w:val="pt-PT"/>
        </w:rPr>
        <w:t xml:space="preserve"> queda em relação aos 54% de 2018, </w:t>
      </w:r>
      <w:r w:rsidR="00E1267F">
        <w:rPr>
          <w:bCs/>
          <w:sz w:val="20"/>
          <w:szCs w:val="20"/>
          <w:lang w:val="pt-PT"/>
        </w:rPr>
        <w:t>mais ainda em relação aos 61% registados em 2017.</w:t>
      </w:r>
    </w:p>
    <w:p w14:paraId="7B817F81" w14:textId="65966610" w:rsidR="00E1267F" w:rsidRPr="00E1267F" w:rsidRDefault="00E1267F" w:rsidP="003875A8">
      <w:pPr>
        <w:jc w:val="both"/>
        <w:rPr>
          <w:bCs/>
          <w:sz w:val="20"/>
          <w:szCs w:val="20"/>
          <w:lang w:val="pt-PT"/>
        </w:rPr>
      </w:pPr>
      <w:r w:rsidRPr="00E1267F">
        <w:rPr>
          <w:bCs/>
          <w:sz w:val="20"/>
          <w:szCs w:val="20"/>
          <w:lang w:val="pt-PT"/>
        </w:rPr>
        <w:t>Es</w:t>
      </w:r>
      <w:r w:rsidR="004E344A">
        <w:rPr>
          <w:bCs/>
          <w:sz w:val="20"/>
          <w:szCs w:val="20"/>
          <w:lang w:val="pt-PT"/>
        </w:rPr>
        <w:t>t</w:t>
      </w:r>
      <w:r w:rsidRPr="00E1267F">
        <w:rPr>
          <w:bCs/>
          <w:sz w:val="20"/>
          <w:szCs w:val="20"/>
          <w:lang w:val="pt-PT"/>
        </w:rPr>
        <w:t>a mudança reflete um cenário macroecon</w:t>
      </w:r>
      <w:r w:rsidR="00C72E99">
        <w:rPr>
          <w:bCs/>
          <w:sz w:val="20"/>
          <w:szCs w:val="20"/>
          <w:lang w:val="pt-PT"/>
        </w:rPr>
        <w:t>ó</w:t>
      </w:r>
      <w:r w:rsidRPr="00E1267F">
        <w:rPr>
          <w:bCs/>
          <w:sz w:val="20"/>
          <w:szCs w:val="20"/>
          <w:lang w:val="pt-PT"/>
        </w:rPr>
        <w:t xml:space="preserve">mico mais incerto, com as seguradoras </w:t>
      </w:r>
      <w:r w:rsidR="00BF4B00">
        <w:rPr>
          <w:bCs/>
          <w:sz w:val="20"/>
          <w:szCs w:val="20"/>
          <w:lang w:val="pt-PT"/>
        </w:rPr>
        <w:t xml:space="preserve">a esperar que factos </w:t>
      </w:r>
      <w:r>
        <w:rPr>
          <w:bCs/>
          <w:sz w:val="20"/>
          <w:szCs w:val="20"/>
          <w:lang w:val="pt-PT"/>
        </w:rPr>
        <w:t>polític</w:t>
      </w:r>
      <w:r w:rsidR="00BF4B00">
        <w:rPr>
          <w:bCs/>
          <w:sz w:val="20"/>
          <w:szCs w:val="20"/>
          <w:lang w:val="pt-PT"/>
        </w:rPr>
        <w:t>os</w:t>
      </w:r>
      <w:r>
        <w:rPr>
          <w:bCs/>
          <w:sz w:val="20"/>
          <w:szCs w:val="20"/>
          <w:lang w:val="pt-PT"/>
        </w:rPr>
        <w:t xml:space="preserve"> e eventos mundiais, </w:t>
      </w:r>
      <w:r w:rsidRPr="00E1267F">
        <w:rPr>
          <w:bCs/>
          <w:sz w:val="20"/>
          <w:szCs w:val="20"/>
          <w:lang w:val="pt-PT"/>
        </w:rPr>
        <w:t>bem como uma desaceleração econ</w:t>
      </w:r>
      <w:r w:rsidR="00C72E99">
        <w:rPr>
          <w:bCs/>
          <w:sz w:val="20"/>
          <w:szCs w:val="20"/>
          <w:lang w:val="pt-PT"/>
        </w:rPr>
        <w:t>ó</w:t>
      </w:r>
      <w:r w:rsidRPr="00E1267F">
        <w:rPr>
          <w:bCs/>
          <w:sz w:val="20"/>
          <w:szCs w:val="20"/>
          <w:lang w:val="pt-PT"/>
        </w:rPr>
        <w:t xml:space="preserve">mica global, </w:t>
      </w:r>
      <w:r>
        <w:rPr>
          <w:bCs/>
          <w:sz w:val="20"/>
          <w:szCs w:val="20"/>
          <w:lang w:val="pt-PT"/>
        </w:rPr>
        <w:t>impactem o</w:t>
      </w:r>
      <w:r w:rsidRPr="00E1267F">
        <w:rPr>
          <w:bCs/>
          <w:sz w:val="20"/>
          <w:szCs w:val="20"/>
          <w:lang w:val="pt-PT"/>
        </w:rPr>
        <w:t xml:space="preserve"> desempenho do</w:t>
      </w:r>
      <w:r>
        <w:rPr>
          <w:bCs/>
          <w:sz w:val="20"/>
          <w:szCs w:val="20"/>
          <w:lang w:val="pt-PT"/>
        </w:rPr>
        <w:t>s</w:t>
      </w:r>
      <w:r w:rsidRPr="00E1267F">
        <w:rPr>
          <w:bCs/>
          <w:sz w:val="20"/>
          <w:szCs w:val="20"/>
          <w:lang w:val="pt-PT"/>
        </w:rPr>
        <w:t xml:space="preserve"> investimento</w:t>
      </w:r>
      <w:r>
        <w:rPr>
          <w:bCs/>
          <w:sz w:val="20"/>
          <w:szCs w:val="20"/>
          <w:lang w:val="pt-PT"/>
        </w:rPr>
        <w:t>s</w:t>
      </w:r>
      <w:r w:rsidRPr="00E1267F">
        <w:rPr>
          <w:bCs/>
          <w:sz w:val="20"/>
          <w:szCs w:val="20"/>
          <w:lang w:val="pt-PT"/>
        </w:rPr>
        <w:t>.</w:t>
      </w:r>
    </w:p>
    <w:p w14:paraId="4FF519A2" w14:textId="77777777" w:rsidR="002B21EB" w:rsidRDefault="002B21EB" w:rsidP="002938C4">
      <w:pPr>
        <w:jc w:val="center"/>
        <w:rPr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2F65F0C" wp14:editId="40A8F5DF">
            <wp:extent cx="3035808" cy="1419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3091" cy="144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54401" w14:textId="1773561A" w:rsidR="002B21EB" w:rsidRPr="00B31C71" w:rsidRDefault="002B21EB" w:rsidP="002938C4">
      <w:pPr>
        <w:jc w:val="center"/>
        <w:rPr>
          <w:bCs/>
          <w:sz w:val="20"/>
          <w:szCs w:val="20"/>
          <w:lang w:val="pt-PT"/>
        </w:rPr>
      </w:pPr>
      <w:r w:rsidRPr="00B31C71">
        <w:rPr>
          <w:bCs/>
          <w:i/>
          <w:sz w:val="12"/>
          <w:szCs w:val="12"/>
          <w:lang w:val="pt-PT"/>
        </w:rPr>
        <w:t xml:space="preserve">Q. </w:t>
      </w:r>
      <w:r w:rsidR="00B86FF6" w:rsidRPr="00B31C71">
        <w:rPr>
          <w:bCs/>
          <w:i/>
          <w:sz w:val="12"/>
          <w:szCs w:val="12"/>
          <w:lang w:val="pt-PT"/>
        </w:rPr>
        <w:t xml:space="preserve">Que influência </w:t>
      </w:r>
      <w:r w:rsidR="00FA70AD" w:rsidRPr="00B31C71">
        <w:rPr>
          <w:bCs/>
          <w:i/>
          <w:sz w:val="12"/>
          <w:szCs w:val="12"/>
          <w:lang w:val="pt-PT"/>
        </w:rPr>
        <w:t xml:space="preserve">espera que os seguintes fatores tenham </w:t>
      </w:r>
      <w:r w:rsidR="00B31C71" w:rsidRPr="00B31C71">
        <w:rPr>
          <w:bCs/>
          <w:i/>
          <w:sz w:val="12"/>
          <w:szCs w:val="12"/>
          <w:lang w:val="pt-PT"/>
        </w:rPr>
        <w:t xml:space="preserve">na performance </w:t>
      </w:r>
      <w:r w:rsidR="002F0295">
        <w:rPr>
          <w:bCs/>
          <w:i/>
          <w:sz w:val="12"/>
          <w:szCs w:val="12"/>
          <w:lang w:val="pt-PT"/>
        </w:rPr>
        <w:t xml:space="preserve">da sua carteira </w:t>
      </w:r>
      <w:r w:rsidR="00B31C71" w:rsidRPr="00B31C71">
        <w:rPr>
          <w:bCs/>
          <w:i/>
          <w:sz w:val="12"/>
          <w:szCs w:val="12"/>
          <w:lang w:val="pt-PT"/>
        </w:rPr>
        <w:t xml:space="preserve"> de investimentos nos próximos 12 meses?</w:t>
      </w:r>
    </w:p>
    <w:p w14:paraId="0CF95F72" w14:textId="4B8BC8F9" w:rsidR="00B86FF6" w:rsidRPr="00D20786" w:rsidRDefault="00B86FF6" w:rsidP="003875A8">
      <w:pPr>
        <w:jc w:val="both"/>
        <w:rPr>
          <w:bCs/>
          <w:sz w:val="20"/>
          <w:szCs w:val="20"/>
          <w:lang w:val="pt-PT"/>
        </w:rPr>
      </w:pPr>
      <w:r w:rsidRPr="00D20786">
        <w:rPr>
          <w:bCs/>
          <w:sz w:val="20"/>
          <w:szCs w:val="20"/>
          <w:lang w:val="pt-PT"/>
        </w:rPr>
        <w:t xml:space="preserve">Apesar </w:t>
      </w:r>
      <w:r w:rsidR="00D20786" w:rsidRPr="00D20786">
        <w:rPr>
          <w:bCs/>
          <w:sz w:val="20"/>
          <w:szCs w:val="20"/>
          <w:lang w:val="pt-PT"/>
        </w:rPr>
        <w:t>destes desafios, 57% das s</w:t>
      </w:r>
      <w:r w:rsidR="00D20786">
        <w:rPr>
          <w:bCs/>
          <w:sz w:val="20"/>
          <w:szCs w:val="20"/>
          <w:lang w:val="pt-PT"/>
        </w:rPr>
        <w:t xml:space="preserve">eguradoras espera alcançar retornos de investimento médios de 5-9% ao ano, nos próximos cinco anos, </w:t>
      </w:r>
      <w:r w:rsidR="00F14029">
        <w:rPr>
          <w:bCs/>
          <w:sz w:val="20"/>
          <w:szCs w:val="20"/>
          <w:lang w:val="pt-PT"/>
        </w:rPr>
        <w:t xml:space="preserve">a mesma proporção do </w:t>
      </w:r>
      <w:r w:rsidR="00EA1137">
        <w:rPr>
          <w:bCs/>
          <w:sz w:val="20"/>
          <w:szCs w:val="20"/>
          <w:lang w:val="pt-PT"/>
        </w:rPr>
        <w:t>ano passado, mas ainda assim abaixo dos 65%</w:t>
      </w:r>
      <w:r w:rsidR="00D61E2E">
        <w:rPr>
          <w:bCs/>
          <w:sz w:val="20"/>
          <w:szCs w:val="20"/>
          <w:lang w:val="pt-PT"/>
        </w:rPr>
        <w:t xml:space="preserve"> que se verificaram em 2017. </w:t>
      </w:r>
      <w:r w:rsidR="000B344E">
        <w:rPr>
          <w:bCs/>
          <w:sz w:val="20"/>
          <w:szCs w:val="20"/>
          <w:lang w:val="pt-PT"/>
        </w:rPr>
        <w:t>Na realidade, as seguradoras</w:t>
      </w:r>
      <w:r w:rsidR="001C1277">
        <w:rPr>
          <w:bCs/>
          <w:sz w:val="20"/>
          <w:szCs w:val="20"/>
          <w:lang w:val="pt-PT"/>
        </w:rPr>
        <w:t xml:space="preserve"> </w:t>
      </w:r>
      <w:r w:rsidR="00A5662F">
        <w:rPr>
          <w:bCs/>
          <w:sz w:val="20"/>
          <w:szCs w:val="20"/>
          <w:lang w:val="pt-PT"/>
        </w:rPr>
        <w:t>foram</w:t>
      </w:r>
      <w:r w:rsidR="001C1277">
        <w:rPr>
          <w:bCs/>
          <w:sz w:val="20"/>
          <w:szCs w:val="20"/>
          <w:lang w:val="pt-PT"/>
        </w:rPr>
        <w:t>, em média, a classe de investidores institucionais inquirida menos otimista.</w:t>
      </w:r>
    </w:p>
    <w:p w14:paraId="3B731B01" w14:textId="6A1457D4" w:rsidR="001C1277" w:rsidRPr="001C1277" w:rsidRDefault="001C1277" w:rsidP="003875A8">
      <w:pPr>
        <w:jc w:val="both"/>
        <w:rPr>
          <w:bCs/>
          <w:sz w:val="20"/>
          <w:szCs w:val="20"/>
          <w:lang w:val="pt-PT"/>
        </w:rPr>
      </w:pPr>
      <w:r w:rsidRPr="001C1277">
        <w:rPr>
          <w:bCs/>
          <w:sz w:val="20"/>
          <w:szCs w:val="20"/>
          <w:lang w:val="pt-PT"/>
        </w:rPr>
        <w:t>Para além disso, 70% das s</w:t>
      </w:r>
      <w:r>
        <w:rPr>
          <w:bCs/>
          <w:sz w:val="20"/>
          <w:szCs w:val="20"/>
          <w:lang w:val="pt-PT"/>
        </w:rPr>
        <w:t xml:space="preserve">eguradoras </w:t>
      </w:r>
      <w:r w:rsidR="00F61EF6">
        <w:rPr>
          <w:bCs/>
          <w:sz w:val="20"/>
          <w:szCs w:val="20"/>
          <w:lang w:val="pt-PT"/>
        </w:rPr>
        <w:t xml:space="preserve">estavam confortáveis </w:t>
      </w:r>
      <w:r w:rsidR="009D2C3F">
        <w:rPr>
          <w:bCs/>
          <w:sz w:val="20"/>
          <w:szCs w:val="20"/>
          <w:lang w:val="pt-PT"/>
        </w:rPr>
        <w:t xml:space="preserve">em recorrer a novos instrumentos financeiros ou classes de ativos, </w:t>
      </w:r>
      <w:r w:rsidR="00B936AD">
        <w:rPr>
          <w:bCs/>
          <w:sz w:val="20"/>
          <w:szCs w:val="20"/>
          <w:lang w:val="pt-PT"/>
        </w:rPr>
        <w:t xml:space="preserve">o que fica acima dos 66% verificados há um ano. Esta tendência de diversificação </w:t>
      </w:r>
      <w:r w:rsidR="00D92CE4">
        <w:rPr>
          <w:bCs/>
          <w:sz w:val="20"/>
          <w:szCs w:val="20"/>
          <w:lang w:val="pt-PT"/>
        </w:rPr>
        <w:t>é reforçada com 36% a esperar aumentar as suas alocações em ativos privados</w:t>
      </w:r>
      <w:r w:rsidR="004F43A7">
        <w:rPr>
          <w:bCs/>
          <w:sz w:val="20"/>
          <w:szCs w:val="20"/>
          <w:lang w:val="pt-PT"/>
        </w:rPr>
        <w:t xml:space="preserve"> em mais de 5% nos próximos três anos, </w:t>
      </w:r>
      <w:r w:rsidR="000644AE">
        <w:rPr>
          <w:bCs/>
          <w:sz w:val="20"/>
          <w:szCs w:val="20"/>
          <w:lang w:val="pt-PT"/>
        </w:rPr>
        <w:t>com a necessidade de diversifica</w:t>
      </w:r>
      <w:r w:rsidR="00384EE0">
        <w:rPr>
          <w:bCs/>
          <w:sz w:val="20"/>
          <w:szCs w:val="20"/>
          <w:lang w:val="pt-PT"/>
        </w:rPr>
        <w:t>rem</w:t>
      </w:r>
      <w:r w:rsidR="000644AE">
        <w:rPr>
          <w:bCs/>
          <w:sz w:val="20"/>
          <w:szCs w:val="20"/>
          <w:lang w:val="pt-PT"/>
        </w:rPr>
        <w:t xml:space="preserve"> os seus </w:t>
      </w:r>
      <w:r w:rsidR="008062A4">
        <w:rPr>
          <w:bCs/>
          <w:sz w:val="20"/>
          <w:szCs w:val="20"/>
          <w:lang w:val="pt-PT"/>
        </w:rPr>
        <w:t xml:space="preserve">portfólios </w:t>
      </w:r>
      <w:r w:rsidR="00384EE0">
        <w:rPr>
          <w:bCs/>
          <w:sz w:val="20"/>
          <w:szCs w:val="20"/>
          <w:lang w:val="pt-PT"/>
        </w:rPr>
        <w:t xml:space="preserve">e de gerar retornos mais altos a serem </w:t>
      </w:r>
      <w:r w:rsidR="00C44DDE">
        <w:rPr>
          <w:bCs/>
          <w:sz w:val="20"/>
          <w:szCs w:val="20"/>
          <w:lang w:val="pt-PT"/>
        </w:rPr>
        <w:t>os grandes motivos apontados para esta mudança de atitude.</w:t>
      </w:r>
    </w:p>
    <w:p w14:paraId="176C66CA" w14:textId="77777777" w:rsidR="002B21EB" w:rsidRDefault="002B21EB" w:rsidP="002938C4">
      <w:pPr>
        <w:jc w:val="center"/>
        <w:rPr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CED53CB" wp14:editId="27B44CD1">
            <wp:extent cx="4893869" cy="8799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7935" cy="8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00AAE" w14:textId="442CE9D4" w:rsidR="002B21EB" w:rsidRPr="00BC08C9" w:rsidRDefault="002B21EB" w:rsidP="002938C4">
      <w:pPr>
        <w:jc w:val="center"/>
        <w:rPr>
          <w:bCs/>
          <w:sz w:val="20"/>
          <w:szCs w:val="20"/>
          <w:lang w:val="pt-PT"/>
        </w:rPr>
      </w:pPr>
      <w:r w:rsidRPr="00BC08C9">
        <w:rPr>
          <w:bCs/>
          <w:i/>
          <w:sz w:val="12"/>
          <w:szCs w:val="12"/>
          <w:lang w:val="pt-PT"/>
        </w:rPr>
        <w:t xml:space="preserve">Q. </w:t>
      </w:r>
      <w:r w:rsidR="00CE375A" w:rsidRPr="00BC08C9">
        <w:rPr>
          <w:bCs/>
          <w:i/>
          <w:sz w:val="12"/>
          <w:szCs w:val="12"/>
          <w:lang w:val="pt-PT"/>
        </w:rPr>
        <w:t>Concorda</w:t>
      </w:r>
      <w:r w:rsidR="00637D62" w:rsidRPr="00BC08C9">
        <w:rPr>
          <w:bCs/>
          <w:i/>
          <w:sz w:val="12"/>
          <w:szCs w:val="12"/>
          <w:lang w:val="pt-PT"/>
        </w:rPr>
        <w:t xml:space="preserve"> ou discorda das seguintes afirmações</w:t>
      </w:r>
      <w:r w:rsidR="00AC686E" w:rsidRPr="00BC08C9">
        <w:rPr>
          <w:bCs/>
          <w:i/>
          <w:sz w:val="12"/>
          <w:szCs w:val="12"/>
          <w:lang w:val="pt-PT"/>
        </w:rPr>
        <w:t>?</w:t>
      </w:r>
    </w:p>
    <w:p w14:paraId="49D2D969" w14:textId="77777777" w:rsidR="00BC08C9" w:rsidRPr="00A57E81" w:rsidRDefault="00BC08C9" w:rsidP="002A504E">
      <w:pPr>
        <w:rPr>
          <w:bCs/>
          <w:sz w:val="20"/>
          <w:szCs w:val="20"/>
          <w:lang w:val="pt-PT"/>
        </w:rPr>
      </w:pPr>
    </w:p>
    <w:p w14:paraId="019853EE" w14:textId="77777777" w:rsidR="00907365" w:rsidRPr="00907365" w:rsidRDefault="00907365" w:rsidP="00907365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1"/>
          <w:szCs w:val="21"/>
          <w:lang w:val="pt-PT" w:eastAsia="pt-PT"/>
        </w:rPr>
      </w:pPr>
      <w:r w:rsidRPr="00907365">
        <w:rPr>
          <w:rFonts w:ascii="Arial" w:eastAsia="Times New Roman" w:hAnsi="Arial" w:cs="Arial"/>
          <w:color w:val="222222"/>
          <w:sz w:val="21"/>
          <w:szCs w:val="21"/>
          <w:lang w:val="pt-PT" w:eastAsia="pt-PT"/>
        </w:rPr>
        <w:br/>
      </w:r>
    </w:p>
    <w:p w14:paraId="4BD871FB" w14:textId="55D65A9D" w:rsidR="00907365" w:rsidRDefault="00907365" w:rsidP="003875A8">
      <w:pPr>
        <w:jc w:val="both"/>
        <w:rPr>
          <w:bCs/>
          <w:sz w:val="20"/>
          <w:szCs w:val="20"/>
          <w:lang w:val="pt-PT"/>
        </w:rPr>
      </w:pPr>
      <w:r>
        <w:rPr>
          <w:bCs/>
          <w:sz w:val="20"/>
          <w:szCs w:val="20"/>
          <w:lang w:val="pt-PT"/>
        </w:rPr>
        <w:t>Os</w:t>
      </w:r>
      <w:r w:rsidRPr="00907365">
        <w:rPr>
          <w:bCs/>
          <w:sz w:val="20"/>
          <w:szCs w:val="20"/>
          <w:lang w:val="pt-PT"/>
        </w:rPr>
        <w:t xml:space="preserve"> ativos privados, o patrim</w:t>
      </w:r>
      <w:r w:rsidR="00C72E99">
        <w:rPr>
          <w:bCs/>
          <w:sz w:val="20"/>
          <w:szCs w:val="20"/>
          <w:lang w:val="pt-PT"/>
        </w:rPr>
        <w:t>ó</w:t>
      </w:r>
      <w:r w:rsidRPr="00907365">
        <w:rPr>
          <w:bCs/>
          <w:sz w:val="20"/>
          <w:szCs w:val="20"/>
          <w:lang w:val="pt-PT"/>
        </w:rPr>
        <w:t>nio privado e as infraestrutura</w:t>
      </w:r>
      <w:r>
        <w:rPr>
          <w:bCs/>
          <w:sz w:val="20"/>
          <w:szCs w:val="20"/>
          <w:lang w:val="pt-PT"/>
        </w:rPr>
        <w:t>s privadas</w:t>
      </w:r>
      <w:r w:rsidRPr="00907365">
        <w:rPr>
          <w:bCs/>
          <w:sz w:val="20"/>
          <w:szCs w:val="20"/>
          <w:lang w:val="pt-PT"/>
        </w:rPr>
        <w:t xml:space="preserve"> </w:t>
      </w:r>
      <w:r w:rsidR="006111E2">
        <w:rPr>
          <w:bCs/>
          <w:sz w:val="20"/>
          <w:szCs w:val="20"/>
          <w:lang w:val="pt-PT"/>
        </w:rPr>
        <w:t xml:space="preserve">são as classes de ativos que </w:t>
      </w:r>
      <w:r w:rsidRPr="00907365">
        <w:rPr>
          <w:bCs/>
          <w:sz w:val="20"/>
          <w:szCs w:val="20"/>
          <w:lang w:val="pt-PT"/>
        </w:rPr>
        <w:t xml:space="preserve">deverão gerar os retornos mais </w:t>
      </w:r>
      <w:r w:rsidR="00B66DC7">
        <w:rPr>
          <w:bCs/>
          <w:sz w:val="20"/>
          <w:szCs w:val="20"/>
          <w:lang w:val="pt-PT"/>
        </w:rPr>
        <w:t>elevados</w:t>
      </w:r>
      <w:r w:rsidRPr="00907365">
        <w:rPr>
          <w:bCs/>
          <w:sz w:val="20"/>
          <w:szCs w:val="20"/>
          <w:lang w:val="pt-PT"/>
        </w:rPr>
        <w:t xml:space="preserve"> nos próximos 12 meses. Além disso, dívida privada e </w:t>
      </w:r>
      <w:r w:rsidRPr="007F4D88">
        <w:rPr>
          <w:bCs/>
          <w:i/>
          <w:iCs/>
          <w:sz w:val="20"/>
          <w:szCs w:val="20"/>
          <w:lang w:val="pt-PT"/>
        </w:rPr>
        <w:t>private equity</w:t>
      </w:r>
      <w:r w:rsidRPr="00907365">
        <w:rPr>
          <w:bCs/>
          <w:sz w:val="20"/>
          <w:szCs w:val="20"/>
          <w:lang w:val="pt-PT"/>
        </w:rPr>
        <w:t xml:space="preserve"> são as classes de ativos </w:t>
      </w:r>
      <w:r w:rsidR="002B748D" w:rsidRPr="002B748D">
        <w:rPr>
          <w:bCs/>
          <w:sz w:val="20"/>
          <w:szCs w:val="20"/>
          <w:lang w:val="pt-PT"/>
        </w:rPr>
        <w:t>n</w:t>
      </w:r>
      <w:r w:rsidRPr="00907365">
        <w:rPr>
          <w:bCs/>
          <w:sz w:val="20"/>
          <w:szCs w:val="20"/>
          <w:lang w:val="pt-PT"/>
        </w:rPr>
        <w:t>as</w:t>
      </w:r>
      <w:r w:rsidR="002B748D" w:rsidRPr="002B748D">
        <w:rPr>
          <w:bCs/>
          <w:sz w:val="20"/>
          <w:szCs w:val="20"/>
          <w:lang w:val="pt-PT"/>
        </w:rPr>
        <w:t xml:space="preserve"> </w:t>
      </w:r>
      <w:r w:rsidR="002B748D">
        <w:rPr>
          <w:bCs/>
          <w:sz w:val="20"/>
          <w:szCs w:val="20"/>
          <w:lang w:val="pt-PT"/>
        </w:rPr>
        <w:t>quais as</w:t>
      </w:r>
      <w:r w:rsidRPr="00907365">
        <w:rPr>
          <w:bCs/>
          <w:sz w:val="20"/>
          <w:szCs w:val="20"/>
          <w:lang w:val="pt-PT"/>
        </w:rPr>
        <w:t xml:space="preserve"> seguradoras esperam alocar mais </w:t>
      </w:r>
      <w:r w:rsidR="0033481B">
        <w:rPr>
          <w:bCs/>
          <w:sz w:val="20"/>
          <w:szCs w:val="20"/>
          <w:lang w:val="pt-PT"/>
        </w:rPr>
        <w:t xml:space="preserve">investimento </w:t>
      </w:r>
      <w:r w:rsidRPr="00907365">
        <w:rPr>
          <w:bCs/>
          <w:sz w:val="20"/>
          <w:szCs w:val="20"/>
          <w:lang w:val="pt-PT"/>
        </w:rPr>
        <w:t>nos próximos três anos.</w:t>
      </w:r>
    </w:p>
    <w:p w14:paraId="0B457409" w14:textId="0221698C" w:rsidR="003D3876" w:rsidRPr="0017634C" w:rsidRDefault="00F406D5" w:rsidP="003875A8">
      <w:pPr>
        <w:jc w:val="both"/>
        <w:rPr>
          <w:bCs/>
          <w:sz w:val="20"/>
          <w:szCs w:val="20"/>
          <w:lang w:val="pt-PT"/>
        </w:rPr>
      </w:pPr>
      <w:r w:rsidRPr="00DF0AAE">
        <w:rPr>
          <w:bCs/>
          <w:sz w:val="20"/>
          <w:szCs w:val="20"/>
          <w:lang w:val="pt-PT"/>
        </w:rPr>
        <w:t xml:space="preserve">A sustentabilidade também é </w:t>
      </w:r>
      <w:r w:rsidR="00550320">
        <w:rPr>
          <w:bCs/>
          <w:sz w:val="20"/>
          <w:szCs w:val="20"/>
          <w:lang w:val="pt-PT"/>
        </w:rPr>
        <w:t xml:space="preserve">uma </w:t>
      </w:r>
      <w:r w:rsidR="00DF0AAE" w:rsidRPr="00DF0AAE">
        <w:rPr>
          <w:bCs/>
          <w:sz w:val="20"/>
          <w:szCs w:val="20"/>
          <w:lang w:val="pt-PT"/>
        </w:rPr>
        <w:t>ár</w:t>
      </w:r>
      <w:r w:rsidR="00DF0AAE">
        <w:rPr>
          <w:bCs/>
          <w:sz w:val="20"/>
          <w:szCs w:val="20"/>
          <w:lang w:val="pt-PT"/>
        </w:rPr>
        <w:t>ea em</w:t>
      </w:r>
      <w:r w:rsidRPr="00DF0AAE">
        <w:rPr>
          <w:bCs/>
          <w:sz w:val="20"/>
          <w:szCs w:val="20"/>
          <w:lang w:val="pt-PT"/>
        </w:rPr>
        <w:t xml:space="preserve"> rápido crescimento </w:t>
      </w:r>
      <w:r w:rsidR="002C4045">
        <w:rPr>
          <w:bCs/>
          <w:sz w:val="20"/>
          <w:szCs w:val="20"/>
          <w:lang w:val="pt-PT"/>
        </w:rPr>
        <w:t>junto d</w:t>
      </w:r>
      <w:r w:rsidRPr="00DF0AAE">
        <w:rPr>
          <w:bCs/>
          <w:sz w:val="20"/>
          <w:szCs w:val="20"/>
          <w:lang w:val="pt-PT"/>
        </w:rPr>
        <w:t xml:space="preserve">as seguradoras, com mais de três quartos (78%) </w:t>
      </w:r>
      <w:r w:rsidR="004C56CF">
        <w:rPr>
          <w:bCs/>
          <w:sz w:val="20"/>
          <w:szCs w:val="20"/>
          <w:lang w:val="pt-PT"/>
        </w:rPr>
        <w:t xml:space="preserve">a </w:t>
      </w:r>
      <w:r w:rsidR="008D6C11">
        <w:rPr>
          <w:bCs/>
          <w:sz w:val="20"/>
          <w:szCs w:val="20"/>
          <w:lang w:val="pt-PT"/>
        </w:rPr>
        <w:t>antecipar</w:t>
      </w:r>
      <w:r w:rsidR="004C56CF">
        <w:rPr>
          <w:bCs/>
          <w:sz w:val="20"/>
          <w:szCs w:val="20"/>
          <w:lang w:val="pt-PT"/>
        </w:rPr>
        <w:t xml:space="preserve"> </w:t>
      </w:r>
      <w:r w:rsidRPr="00DF0AAE">
        <w:rPr>
          <w:bCs/>
          <w:sz w:val="20"/>
          <w:szCs w:val="20"/>
          <w:lang w:val="pt-PT"/>
        </w:rPr>
        <w:t>que</w:t>
      </w:r>
      <w:r w:rsidR="00AC37F4">
        <w:rPr>
          <w:bCs/>
          <w:sz w:val="20"/>
          <w:szCs w:val="20"/>
          <w:lang w:val="pt-PT"/>
        </w:rPr>
        <w:t xml:space="preserve"> </w:t>
      </w:r>
      <w:r w:rsidR="00727C1F">
        <w:rPr>
          <w:bCs/>
          <w:sz w:val="20"/>
          <w:szCs w:val="20"/>
          <w:lang w:val="pt-PT"/>
        </w:rPr>
        <w:t xml:space="preserve">esta </w:t>
      </w:r>
      <w:r w:rsidR="00727C1F" w:rsidRPr="00DF0AAE">
        <w:rPr>
          <w:bCs/>
          <w:sz w:val="20"/>
          <w:szCs w:val="20"/>
          <w:lang w:val="pt-PT"/>
        </w:rPr>
        <w:t>dimensão</w:t>
      </w:r>
      <w:r w:rsidR="00727C1F">
        <w:rPr>
          <w:bCs/>
          <w:sz w:val="20"/>
          <w:szCs w:val="20"/>
          <w:lang w:val="pt-PT"/>
        </w:rPr>
        <w:t xml:space="preserve"> </w:t>
      </w:r>
      <w:r w:rsidRPr="00DF0AAE">
        <w:rPr>
          <w:bCs/>
          <w:sz w:val="20"/>
          <w:szCs w:val="20"/>
          <w:lang w:val="pt-PT"/>
        </w:rPr>
        <w:t>desempenh</w:t>
      </w:r>
      <w:r w:rsidR="00FE4414">
        <w:rPr>
          <w:bCs/>
          <w:sz w:val="20"/>
          <w:szCs w:val="20"/>
          <w:lang w:val="pt-PT"/>
        </w:rPr>
        <w:t>e</w:t>
      </w:r>
      <w:r w:rsidRPr="00DF0AAE">
        <w:rPr>
          <w:bCs/>
          <w:sz w:val="20"/>
          <w:szCs w:val="20"/>
          <w:lang w:val="pt-PT"/>
        </w:rPr>
        <w:t xml:space="preserve"> um papel </w:t>
      </w:r>
      <w:r w:rsidR="00D66574">
        <w:rPr>
          <w:bCs/>
          <w:sz w:val="20"/>
          <w:szCs w:val="20"/>
          <w:lang w:val="pt-PT"/>
        </w:rPr>
        <w:t xml:space="preserve">mais relevante nas </w:t>
      </w:r>
      <w:r w:rsidRPr="00DF0AAE">
        <w:rPr>
          <w:bCs/>
          <w:sz w:val="20"/>
          <w:szCs w:val="20"/>
          <w:lang w:val="pt-PT"/>
        </w:rPr>
        <w:t>carteiras</w:t>
      </w:r>
      <w:r w:rsidR="00D66574">
        <w:rPr>
          <w:bCs/>
          <w:sz w:val="20"/>
          <w:szCs w:val="20"/>
          <w:lang w:val="pt-PT"/>
        </w:rPr>
        <w:t xml:space="preserve"> de investimento,</w:t>
      </w:r>
      <w:r w:rsidRPr="00DF0AAE">
        <w:rPr>
          <w:bCs/>
          <w:sz w:val="20"/>
          <w:szCs w:val="20"/>
          <w:lang w:val="pt-PT"/>
        </w:rPr>
        <w:t xml:space="preserve"> nos próximos cinco anos. </w:t>
      </w:r>
      <w:r w:rsidRPr="000E1718">
        <w:rPr>
          <w:bCs/>
          <w:sz w:val="20"/>
          <w:szCs w:val="20"/>
          <w:lang w:val="pt-PT"/>
        </w:rPr>
        <w:t xml:space="preserve">A mudança climática </w:t>
      </w:r>
      <w:r w:rsidR="000E1718">
        <w:rPr>
          <w:bCs/>
          <w:sz w:val="20"/>
          <w:szCs w:val="20"/>
          <w:lang w:val="pt-PT"/>
        </w:rPr>
        <w:t>é agora</w:t>
      </w:r>
      <w:r w:rsidRPr="000E1718">
        <w:rPr>
          <w:bCs/>
          <w:sz w:val="20"/>
          <w:szCs w:val="20"/>
          <w:lang w:val="pt-PT"/>
        </w:rPr>
        <w:t xml:space="preserve"> vista como </w:t>
      </w:r>
      <w:r w:rsidR="0071395E">
        <w:rPr>
          <w:bCs/>
          <w:sz w:val="20"/>
          <w:szCs w:val="20"/>
          <w:lang w:val="pt-PT"/>
        </w:rPr>
        <w:t>uma prioridade</w:t>
      </w:r>
      <w:r w:rsidRPr="000E1718">
        <w:rPr>
          <w:bCs/>
          <w:sz w:val="20"/>
          <w:szCs w:val="20"/>
          <w:lang w:val="pt-PT"/>
        </w:rPr>
        <w:t xml:space="preserve">, </w:t>
      </w:r>
      <w:r w:rsidR="009B5134">
        <w:rPr>
          <w:bCs/>
          <w:sz w:val="20"/>
          <w:szCs w:val="20"/>
          <w:lang w:val="pt-PT"/>
        </w:rPr>
        <w:t>tendo até mais importância do que dimensões como a</w:t>
      </w:r>
      <w:r w:rsidRPr="000E1718">
        <w:rPr>
          <w:bCs/>
          <w:sz w:val="20"/>
          <w:szCs w:val="20"/>
          <w:lang w:val="pt-PT"/>
        </w:rPr>
        <w:t xml:space="preserve"> estratégia corporativa</w:t>
      </w:r>
      <w:r w:rsidR="009B1DE7">
        <w:rPr>
          <w:bCs/>
          <w:sz w:val="20"/>
          <w:szCs w:val="20"/>
          <w:lang w:val="pt-PT"/>
        </w:rPr>
        <w:t xml:space="preserve"> e</w:t>
      </w:r>
      <w:r w:rsidRPr="000E1718">
        <w:rPr>
          <w:bCs/>
          <w:sz w:val="20"/>
          <w:szCs w:val="20"/>
          <w:lang w:val="pt-PT"/>
        </w:rPr>
        <w:t xml:space="preserve"> corrupção, </w:t>
      </w:r>
      <w:r w:rsidR="000C041B">
        <w:rPr>
          <w:bCs/>
          <w:sz w:val="20"/>
          <w:szCs w:val="20"/>
          <w:lang w:val="pt-PT"/>
        </w:rPr>
        <w:t xml:space="preserve">o que reflete </w:t>
      </w:r>
      <w:r w:rsidR="003F1B85">
        <w:rPr>
          <w:bCs/>
          <w:sz w:val="20"/>
          <w:szCs w:val="20"/>
          <w:lang w:val="pt-PT"/>
        </w:rPr>
        <w:t xml:space="preserve">a forma como os reguladores </w:t>
      </w:r>
      <w:r w:rsidR="009E0855">
        <w:rPr>
          <w:bCs/>
          <w:sz w:val="20"/>
          <w:szCs w:val="20"/>
          <w:lang w:val="pt-PT"/>
        </w:rPr>
        <w:t xml:space="preserve">dão importância à forma como as seguradoras gerem </w:t>
      </w:r>
      <w:r w:rsidR="003F37DA">
        <w:rPr>
          <w:bCs/>
          <w:sz w:val="20"/>
          <w:szCs w:val="20"/>
          <w:lang w:val="pt-PT"/>
        </w:rPr>
        <w:t>os riscos de sustentabilidade.</w:t>
      </w:r>
      <w:r w:rsidR="00816770" w:rsidRPr="0017634C">
        <w:rPr>
          <w:bCs/>
          <w:sz w:val="20"/>
          <w:szCs w:val="20"/>
          <w:lang w:val="pt-PT"/>
        </w:rPr>
        <w:t xml:space="preserve"> </w:t>
      </w:r>
    </w:p>
    <w:p w14:paraId="0281383E" w14:textId="77777777" w:rsidR="002B21EB" w:rsidRDefault="002B21EB" w:rsidP="002938C4">
      <w:pPr>
        <w:jc w:val="center"/>
        <w:rPr>
          <w:b/>
          <w:bCs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AF3BEFF" wp14:editId="03F32B03">
            <wp:extent cx="3818535" cy="138163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1555" cy="139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5421" w14:textId="1E93D885" w:rsidR="008152D7" w:rsidRPr="00A73FD1" w:rsidRDefault="002B21EB" w:rsidP="002938C4">
      <w:pPr>
        <w:jc w:val="center"/>
        <w:rPr>
          <w:bCs/>
          <w:sz w:val="20"/>
          <w:szCs w:val="20"/>
          <w:lang w:val="pt-PT"/>
        </w:rPr>
      </w:pPr>
      <w:r w:rsidRPr="00A73FD1">
        <w:rPr>
          <w:bCs/>
          <w:i/>
          <w:sz w:val="12"/>
          <w:szCs w:val="12"/>
          <w:lang w:val="pt-PT"/>
        </w:rPr>
        <w:t xml:space="preserve">Q. </w:t>
      </w:r>
      <w:r w:rsidR="0017634C" w:rsidRPr="00A73FD1">
        <w:rPr>
          <w:bCs/>
          <w:i/>
          <w:sz w:val="12"/>
          <w:szCs w:val="12"/>
          <w:lang w:val="pt-PT"/>
        </w:rPr>
        <w:t xml:space="preserve">Por favor, ordene por ordem de importância as áreas </w:t>
      </w:r>
      <w:r w:rsidR="00A73FD1">
        <w:rPr>
          <w:bCs/>
          <w:i/>
          <w:sz w:val="12"/>
          <w:szCs w:val="12"/>
          <w:lang w:val="pt-PT"/>
        </w:rPr>
        <w:t xml:space="preserve">em </w:t>
      </w:r>
      <w:r w:rsidR="005E56D6" w:rsidRPr="00A73FD1">
        <w:rPr>
          <w:bCs/>
          <w:i/>
          <w:sz w:val="12"/>
          <w:szCs w:val="12"/>
          <w:lang w:val="pt-PT"/>
        </w:rPr>
        <w:t>que acredita ser importante</w:t>
      </w:r>
      <w:r w:rsidR="00A73FD1">
        <w:rPr>
          <w:bCs/>
          <w:i/>
          <w:sz w:val="12"/>
          <w:szCs w:val="12"/>
          <w:lang w:val="pt-PT"/>
        </w:rPr>
        <w:t xml:space="preserve"> o envolvimento dos</w:t>
      </w:r>
      <w:r w:rsidR="00371582" w:rsidRPr="00A73FD1">
        <w:rPr>
          <w:bCs/>
          <w:i/>
          <w:sz w:val="12"/>
          <w:szCs w:val="12"/>
          <w:lang w:val="pt-PT"/>
        </w:rPr>
        <w:t xml:space="preserve"> </w:t>
      </w:r>
      <w:r w:rsidR="003C5848" w:rsidRPr="00A73FD1">
        <w:rPr>
          <w:bCs/>
          <w:i/>
          <w:sz w:val="12"/>
          <w:szCs w:val="12"/>
          <w:lang w:val="pt-PT"/>
        </w:rPr>
        <w:t xml:space="preserve">gestores de investimento e </w:t>
      </w:r>
      <w:r w:rsidR="00A73FD1">
        <w:rPr>
          <w:bCs/>
          <w:i/>
          <w:sz w:val="12"/>
          <w:szCs w:val="12"/>
          <w:lang w:val="pt-PT"/>
        </w:rPr>
        <w:t>d</w:t>
      </w:r>
      <w:r w:rsidR="002B18DE" w:rsidRPr="00A73FD1">
        <w:rPr>
          <w:bCs/>
          <w:i/>
          <w:sz w:val="12"/>
          <w:szCs w:val="12"/>
          <w:lang w:val="pt-PT"/>
        </w:rPr>
        <w:t xml:space="preserve">os </w:t>
      </w:r>
      <w:r w:rsidR="00F67346" w:rsidRPr="00A73FD1">
        <w:rPr>
          <w:bCs/>
          <w:i/>
          <w:sz w:val="12"/>
          <w:szCs w:val="12"/>
          <w:lang w:val="pt-PT"/>
        </w:rPr>
        <w:t xml:space="preserve">proprietários </w:t>
      </w:r>
      <w:r w:rsidR="005E720D">
        <w:rPr>
          <w:bCs/>
          <w:i/>
          <w:sz w:val="12"/>
          <w:szCs w:val="12"/>
          <w:lang w:val="pt-PT"/>
        </w:rPr>
        <w:t>de ativos.</w:t>
      </w:r>
    </w:p>
    <w:p w14:paraId="5B4332E8" w14:textId="59B7A4A4" w:rsidR="00745DEB" w:rsidRPr="00E16FFA" w:rsidRDefault="002D5735" w:rsidP="003875A8">
      <w:pPr>
        <w:jc w:val="both"/>
        <w:rPr>
          <w:b/>
          <w:bCs/>
          <w:sz w:val="20"/>
          <w:szCs w:val="20"/>
          <w:lang w:val="pt-PT"/>
        </w:rPr>
      </w:pPr>
      <w:r w:rsidRPr="00E16FFA">
        <w:rPr>
          <w:b/>
          <w:bCs/>
          <w:sz w:val="20"/>
          <w:szCs w:val="20"/>
          <w:lang w:val="pt-PT"/>
        </w:rPr>
        <w:t>Gavin Ralston, Responsável</w:t>
      </w:r>
      <w:r w:rsidR="00E16FFA" w:rsidRPr="00E16FFA">
        <w:rPr>
          <w:b/>
          <w:bCs/>
          <w:sz w:val="20"/>
          <w:szCs w:val="20"/>
          <w:lang w:val="pt-PT"/>
        </w:rPr>
        <w:t xml:space="preserve"> pela Gestão de Ativos de Seguros da Schroders, af</w:t>
      </w:r>
      <w:r w:rsidR="00E16FFA">
        <w:rPr>
          <w:b/>
          <w:bCs/>
          <w:sz w:val="20"/>
          <w:szCs w:val="20"/>
          <w:lang w:val="pt-PT"/>
        </w:rPr>
        <w:t>irma</w:t>
      </w:r>
      <w:r w:rsidR="00895E15" w:rsidRPr="00E16FFA">
        <w:rPr>
          <w:b/>
          <w:bCs/>
          <w:sz w:val="20"/>
          <w:szCs w:val="20"/>
          <w:lang w:val="pt-PT"/>
        </w:rPr>
        <w:t xml:space="preserve">: </w:t>
      </w:r>
    </w:p>
    <w:p w14:paraId="77A2B10B" w14:textId="445BF4A0" w:rsidR="0088444D" w:rsidRPr="0088444D" w:rsidRDefault="002379B9" w:rsidP="003875A8">
      <w:pPr>
        <w:jc w:val="both"/>
        <w:rPr>
          <w:bCs/>
          <w:i/>
          <w:sz w:val="20"/>
          <w:szCs w:val="20"/>
          <w:lang w:val="pt-PT"/>
        </w:rPr>
      </w:pPr>
      <w:r w:rsidRPr="0088444D">
        <w:rPr>
          <w:bCs/>
          <w:i/>
          <w:sz w:val="20"/>
          <w:szCs w:val="20"/>
          <w:lang w:val="pt-PT"/>
        </w:rPr>
        <w:t>“</w:t>
      </w:r>
      <w:r w:rsidR="0088444D" w:rsidRPr="0088444D">
        <w:rPr>
          <w:bCs/>
          <w:i/>
          <w:sz w:val="20"/>
          <w:szCs w:val="20"/>
          <w:lang w:val="pt-PT"/>
        </w:rPr>
        <w:t>As segurador</w:t>
      </w:r>
      <w:r w:rsidR="004074C8">
        <w:rPr>
          <w:bCs/>
          <w:i/>
          <w:sz w:val="20"/>
          <w:szCs w:val="20"/>
          <w:lang w:val="pt-PT"/>
        </w:rPr>
        <w:t>a</w:t>
      </w:r>
      <w:r w:rsidR="0088444D" w:rsidRPr="0088444D">
        <w:rPr>
          <w:bCs/>
          <w:i/>
          <w:sz w:val="20"/>
          <w:szCs w:val="20"/>
          <w:lang w:val="pt-PT"/>
        </w:rPr>
        <w:t>s podem ser p</w:t>
      </w:r>
      <w:r w:rsidR="0088444D">
        <w:rPr>
          <w:bCs/>
          <w:i/>
          <w:sz w:val="20"/>
          <w:szCs w:val="20"/>
          <w:lang w:val="pt-PT"/>
        </w:rPr>
        <w:t>erdoadas por terem uma forte sensação de déjà vu</w:t>
      </w:r>
      <w:r w:rsidR="00197EB0">
        <w:rPr>
          <w:bCs/>
          <w:i/>
          <w:sz w:val="20"/>
          <w:szCs w:val="20"/>
          <w:lang w:val="pt-PT"/>
        </w:rPr>
        <w:t xml:space="preserve"> à</w:t>
      </w:r>
      <w:r w:rsidR="00C5613E">
        <w:rPr>
          <w:bCs/>
          <w:i/>
          <w:sz w:val="20"/>
          <w:szCs w:val="20"/>
          <w:lang w:val="pt-PT"/>
        </w:rPr>
        <w:t xml:space="preserve"> entrada de 2020. </w:t>
      </w:r>
      <w:r w:rsidR="00F92D31">
        <w:rPr>
          <w:bCs/>
          <w:i/>
          <w:sz w:val="20"/>
          <w:szCs w:val="20"/>
          <w:lang w:val="pt-PT"/>
        </w:rPr>
        <w:t xml:space="preserve">Muitas das incertezas geopolíticas </w:t>
      </w:r>
      <w:r w:rsidR="00A763BD">
        <w:rPr>
          <w:bCs/>
          <w:i/>
          <w:sz w:val="20"/>
          <w:szCs w:val="20"/>
          <w:lang w:val="pt-PT"/>
        </w:rPr>
        <w:t xml:space="preserve">de há um ano mantêm-se </w:t>
      </w:r>
      <w:r w:rsidR="00BB610D">
        <w:rPr>
          <w:bCs/>
          <w:i/>
          <w:sz w:val="20"/>
          <w:szCs w:val="20"/>
          <w:lang w:val="pt-PT"/>
        </w:rPr>
        <w:t>e</w:t>
      </w:r>
      <w:r w:rsidR="00EA6554">
        <w:rPr>
          <w:bCs/>
          <w:i/>
          <w:sz w:val="20"/>
          <w:szCs w:val="20"/>
          <w:lang w:val="pt-PT"/>
        </w:rPr>
        <w:t xml:space="preserve"> poucos se podem surpreender </w:t>
      </w:r>
      <w:r w:rsidR="00D9351E">
        <w:rPr>
          <w:bCs/>
          <w:i/>
          <w:sz w:val="20"/>
          <w:szCs w:val="20"/>
          <w:lang w:val="pt-PT"/>
        </w:rPr>
        <w:t>se is</w:t>
      </w:r>
      <w:r w:rsidR="0043160D">
        <w:rPr>
          <w:bCs/>
          <w:i/>
          <w:sz w:val="20"/>
          <w:szCs w:val="20"/>
          <w:lang w:val="pt-PT"/>
        </w:rPr>
        <w:t>t</w:t>
      </w:r>
      <w:r w:rsidR="00D9351E">
        <w:rPr>
          <w:bCs/>
          <w:i/>
          <w:sz w:val="20"/>
          <w:szCs w:val="20"/>
          <w:lang w:val="pt-PT"/>
        </w:rPr>
        <w:t>o continuar a comprometer a sua confiança</w:t>
      </w:r>
      <w:r w:rsidR="00D41421">
        <w:rPr>
          <w:bCs/>
          <w:i/>
          <w:sz w:val="20"/>
          <w:szCs w:val="20"/>
          <w:lang w:val="pt-PT"/>
        </w:rPr>
        <w:t>.</w:t>
      </w:r>
      <w:r w:rsidR="007A7AB9">
        <w:rPr>
          <w:bCs/>
          <w:i/>
          <w:sz w:val="20"/>
          <w:szCs w:val="20"/>
          <w:lang w:val="pt-PT"/>
        </w:rPr>
        <w:t xml:space="preserve"> É, no entanto, encorajador</w:t>
      </w:r>
      <w:r w:rsidR="00C56103">
        <w:rPr>
          <w:bCs/>
          <w:i/>
          <w:sz w:val="20"/>
          <w:szCs w:val="20"/>
          <w:lang w:val="pt-PT"/>
        </w:rPr>
        <w:t xml:space="preserve"> verificar que, apesar destes desafios, as seguradoras não têm medo de diversificar </w:t>
      </w:r>
      <w:r w:rsidR="00834668">
        <w:rPr>
          <w:bCs/>
          <w:i/>
          <w:sz w:val="20"/>
          <w:szCs w:val="20"/>
          <w:lang w:val="pt-PT"/>
        </w:rPr>
        <w:t xml:space="preserve">as carteiras de investimento. Os Ativos Privados – em particular private equity e </w:t>
      </w:r>
      <w:r w:rsidR="002B0D3C">
        <w:rPr>
          <w:bCs/>
          <w:i/>
          <w:sz w:val="20"/>
          <w:szCs w:val="20"/>
          <w:lang w:val="pt-PT"/>
        </w:rPr>
        <w:t xml:space="preserve">infraestruturas privadas </w:t>
      </w:r>
      <w:r w:rsidR="001475C5">
        <w:rPr>
          <w:bCs/>
          <w:i/>
          <w:sz w:val="20"/>
          <w:szCs w:val="20"/>
          <w:lang w:val="pt-PT"/>
        </w:rPr>
        <w:t>–</w:t>
      </w:r>
      <w:r w:rsidR="002B0D3C">
        <w:rPr>
          <w:bCs/>
          <w:i/>
          <w:sz w:val="20"/>
          <w:szCs w:val="20"/>
          <w:lang w:val="pt-PT"/>
        </w:rPr>
        <w:t xml:space="preserve"> </w:t>
      </w:r>
      <w:r w:rsidR="001475C5">
        <w:rPr>
          <w:bCs/>
          <w:i/>
          <w:sz w:val="20"/>
          <w:szCs w:val="20"/>
          <w:lang w:val="pt-PT"/>
        </w:rPr>
        <w:t xml:space="preserve">estão a ser cada vez mais procurados, </w:t>
      </w:r>
      <w:r w:rsidR="00E07C3B">
        <w:rPr>
          <w:bCs/>
          <w:i/>
          <w:sz w:val="20"/>
          <w:szCs w:val="20"/>
          <w:lang w:val="pt-PT"/>
        </w:rPr>
        <w:t xml:space="preserve">com o </w:t>
      </w:r>
      <w:r w:rsidR="00254DCC">
        <w:rPr>
          <w:bCs/>
          <w:i/>
          <w:sz w:val="20"/>
          <w:szCs w:val="20"/>
          <w:lang w:val="pt-PT"/>
        </w:rPr>
        <w:t>estímulo</w:t>
      </w:r>
      <w:r w:rsidR="00E07C3B">
        <w:rPr>
          <w:bCs/>
          <w:i/>
          <w:sz w:val="20"/>
          <w:szCs w:val="20"/>
          <w:lang w:val="pt-PT"/>
        </w:rPr>
        <w:t xml:space="preserve"> adicional </w:t>
      </w:r>
      <w:r w:rsidR="00E8500D">
        <w:rPr>
          <w:bCs/>
          <w:i/>
          <w:sz w:val="20"/>
          <w:szCs w:val="20"/>
          <w:lang w:val="pt-PT"/>
        </w:rPr>
        <w:t xml:space="preserve">de um melhor </w:t>
      </w:r>
      <w:r w:rsidR="00A31724">
        <w:rPr>
          <w:bCs/>
          <w:i/>
          <w:sz w:val="20"/>
          <w:szCs w:val="20"/>
          <w:lang w:val="pt-PT"/>
        </w:rPr>
        <w:t>desempenho</w:t>
      </w:r>
      <w:r w:rsidR="00E8500D">
        <w:rPr>
          <w:bCs/>
          <w:i/>
          <w:sz w:val="20"/>
          <w:szCs w:val="20"/>
          <w:lang w:val="pt-PT"/>
        </w:rPr>
        <w:t xml:space="preserve"> na europa, </w:t>
      </w:r>
      <w:r w:rsidR="003205AA">
        <w:rPr>
          <w:bCs/>
          <w:i/>
          <w:sz w:val="20"/>
          <w:szCs w:val="20"/>
          <w:lang w:val="pt-PT"/>
        </w:rPr>
        <w:t xml:space="preserve">em investimentos de longo prazo. </w:t>
      </w:r>
      <w:r w:rsidR="000122EF">
        <w:rPr>
          <w:bCs/>
          <w:i/>
          <w:sz w:val="20"/>
          <w:szCs w:val="20"/>
          <w:lang w:val="pt-PT"/>
        </w:rPr>
        <w:t xml:space="preserve">Os resultados deste inquérito revelam igualmente </w:t>
      </w:r>
      <w:r w:rsidR="00D05D3B">
        <w:rPr>
          <w:bCs/>
          <w:i/>
          <w:sz w:val="20"/>
          <w:szCs w:val="20"/>
          <w:lang w:val="pt-PT"/>
        </w:rPr>
        <w:t xml:space="preserve">que o foco </w:t>
      </w:r>
      <w:r w:rsidR="00DB580A">
        <w:rPr>
          <w:bCs/>
          <w:i/>
          <w:sz w:val="20"/>
          <w:szCs w:val="20"/>
          <w:lang w:val="pt-PT"/>
        </w:rPr>
        <w:t>na</w:t>
      </w:r>
      <w:r w:rsidR="00D05D3B">
        <w:rPr>
          <w:bCs/>
          <w:i/>
          <w:sz w:val="20"/>
          <w:szCs w:val="20"/>
          <w:lang w:val="pt-PT"/>
        </w:rPr>
        <w:t xml:space="preserve"> sustentabilidade não é uma moda. Está aí para ficar</w:t>
      </w:r>
      <w:r w:rsidR="007A04EC">
        <w:rPr>
          <w:bCs/>
          <w:i/>
          <w:sz w:val="20"/>
          <w:szCs w:val="20"/>
          <w:lang w:val="pt-PT"/>
        </w:rPr>
        <w:t>, tanto para</w:t>
      </w:r>
      <w:r w:rsidR="00ED2C5A">
        <w:rPr>
          <w:bCs/>
          <w:i/>
          <w:sz w:val="20"/>
          <w:szCs w:val="20"/>
          <w:lang w:val="pt-PT"/>
        </w:rPr>
        <w:t xml:space="preserve"> os</w:t>
      </w:r>
      <w:r w:rsidR="00D17D38">
        <w:rPr>
          <w:bCs/>
          <w:i/>
          <w:sz w:val="20"/>
          <w:szCs w:val="20"/>
          <w:lang w:val="pt-PT"/>
        </w:rPr>
        <w:t xml:space="preserve"> </w:t>
      </w:r>
      <w:r w:rsidR="0096513E">
        <w:rPr>
          <w:bCs/>
          <w:i/>
          <w:sz w:val="20"/>
          <w:szCs w:val="20"/>
          <w:lang w:val="pt-PT"/>
        </w:rPr>
        <w:t>reguladores</w:t>
      </w:r>
      <w:r w:rsidR="007A04EC">
        <w:rPr>
          <w:bCs/>
          <w:i/>
          <w:sz w:val="20"/>
          <w:szCs w:val="20"/>
          <w:lang w:val="pt-PT"/>
        </w:rPr>
        <w:t xml:space="preserve"> como para</w:t>
      </w:r>
      <w:r w:rsidR="00D17D38">
        <w:rPr>
          <w:bCs/>
          <w:i/>
          <w:sz w:val="20"/>
          <w:szCs w:val="20"/>
          <w:lang w:val="pt-PT"/>
        </w:rPr>
        <w:t xml:space="preserve"> as </w:t>
      </w:r>
      <w:r w:rsidR="0096513E">
        <w:rPr>
          <w:bCs/>
          <w:i/>
          <w:sz w:val="20"/>
          <w:szCs w:val="20"/>
          <w:lang w:val="pt-PT"/>
        </w:rPr>
        <w:t>seguradoras</w:t>
      </w:r>
      <w:r w:rsidR="00AC367B">
        <w:rPr>
          <w:bCs/>
          <w:i/>
          <w:sz w:val="20"/>
          <w:szCs w:val="20"/>
          <w:lang w:val="pt-PT"/>
        </w:rPr>
        <w:t>,</w:t>
      </w:r>
      <w:r w:rsidR="0096513E">
        <w:rPr>
          <w:bCs/>
          <w:i/>
          <w:sz w:val="20"/>
          <w:szCs w:val="20"/>
          <w:lang w:val="pt-PT"/>
        </w:rPr>
        <w:t xml:space="preserve"> e</w:t>
      </w:r>
      <w:r w:rsidR="00D17D38">
        <w:rPr>
          <w:bCs/>
          <w:i/>
          <w:sz w:val="20"/>
          <w:szCs w:val="20"/>
          <w:lang w:val="pt-PT"/>
        </w:rPr>
        <w:t xml:space="preserve"> os</w:t>
      </w:r>
      <w:r w:rsidR="0096513E">
        <w:rPr>
          <w:bCs/>
          <w:i/>
          <w:sz w:val="20"/>
          <w:szCs w:val="20"/>
          <w:lang w:val="pt-PT"/>
        </w:rPr>
        <w:t xml:space="preserve"> gesto</w:t>
      </w:r>
      <w:r w:rsidR="00CB2101">
        <w:rPr>
          <w:bCs/>
          <w:i/>
          <w:sz w:val="20"/>
          <w:szCs w:val="20"/>
          <w:lang w:val="pt-PT"/>
        </w:rPr>
        <w:t>res de ativos</w:t>
      </w:r>
      <w:r w:rsidR="00D60A64">
        <w:rPr>
          <w:bCs/>
          <w:i/>
          <w:sz w:val="20"/>
          <w:szCs w:val="20"/>
          <w:lang w:val="pt-PT"/>
        </w:rPr>
        <w:t xml:space="preserve"> </w:t>
      </w:r>
      <w:r w:rsidR="00ED2C5A">
        <w:rPr>
          <w:bCs/>
          <w:i/>
          <w:sz w:val="20"/>
          <w:szCs w:val="20"/>
          <w:lang w:val="pt-PT"/>
        </w:rPr>
        <w:t xml:space="preserve">têm de tomar boa nota disso. </w:t>
      </w:r>
      <w:r w:rsidR="0002063A">
        <w:rPr>
          <w:bCs/>
          <w:i/>
          <w:sz w:val="20"/>
          <w:szCs w:val="20"/>
          <w:lang w:val="pt-PT"/>
        </w:rPr>
        <w:t xml:space="preserve">Cabe-lhes trabalhar </w:t>
      </w:r>
      <w:r w:rsidR="00953CBE">
        <w:rPr>
          <w:bCs/>
          <w:i/>
          <w:sz w:val="20"/>
          <w:szCs w:val="20"/>
          <w:lang w:val="pt-PT"/>
        </w:rPr>
        <w:t xml:space="preserve">em parceria com </w:t>
      </w:r>
      <w:r w:rsidR="00CD56BA">
        <w:rPr>
          <w:bCs/>
          <w:i/>
          <w:sz w:val="20"/>
          <w:szCs w:val="20"/>
          <w:lang w:val="pt-PT"/>
        </w:rPr>
        <w:t>os clientes de seguros</w:t>
      </w:r>
      <w:r w:rsidR="00555B72">
        <w:rPr>
          <w:bCs/>
          <w:i/>
          <w:sz w:val="20"/>
          <w:szCs w:val="20"/>
          <w:lang w:val="pt-PT"/>
        </w:rPr>
        <w:t xml:space="preserve">, ajudando-os a navegar </w:t>
      </w:r>
      <w:r w:rsidR="003140EE">
        <w:rPr>
          <w:bCs/>
          <w:i/>
          <w:sz w:val="20"/>
          <w:szCs w:val="20"/>
          <w:lang w:val="pt-PT"/>
        </w:rPr>
        <w:t>neste quadro de incerteza económica</w:t>
      </w:r>
      <w:r w:rsidR="00717359">
        <w:rPr>
          <w:bCs/>
          <w:i/>
          <w:sz w:val="20"/>
          <w:szCs w:val="20"/>
          <w:lang w:val="pt-PT"/>
        </w:rPr>
        <w:t xml:space="preserve">, </w:t>
      </w:r>
      <w:r w:rsidR="0007769A">
        <w:rPr>
          <w:bCs/>
          <w:i/>
          <w:sz w:val="20"/>
          <w:szCs w:val="20"/>
          <w:lang w:val="pt-PT"/>
        </w:rPr>
        <w:t xml:space="preserve">enquanto </w:t>
      </w:r>
      <w:r w:rsidR="00366613">
        <w:rPr>
          <w:bCs/>
          <w:i/>
          <w:sz w:val="20"/>
          <w:szCs w:val="20"/>
          <w:lang w:val="pt-PT"/>
        </w:rPr>
        <w:t>contribuem para a gestão dos seus ativos privados e dos seus objetivos de investimento sustentável.</w:t>
      </w:r>
      <w:r w:rsidR="002F5AAA">
        <w:rPr>
          <w:bCs/>
          <w:i/>
          <w:sz w:val="20"/>
          <w:szCs w:val="20"/>
          <w:lang w:val="pt-PT"/>
        </w:rPr>
        <w:t>”</w:t>
      </w:r>
      <w:bookmarkStart w:id="0" w:name="_GoBack"/>
      <w:bookmarkEnd w:id="0"/>
      <w:r w:rsidR="0007769A">
        <w:rPr>
          <w:bCs/>
          <w:i/>
          <w:sz w:val="20"/>
          <w:szCs w:val="20"/>
          <w:lang w:val="pt-PT"/>
        </w:rPr>
        <w:t xml:space="preserve"> </w:t>
      </w:r>
    </w:p>
    <w:p w14:paraId="053DA582" w14:textId="2DF3BCC3" w:rsidR="00366613" w:rsidRPr="00A57E81" w:rsidRDefault="00366613" w:rsidP="003875A8">
      <w:pPr>
        <w:jc w:val="both"/>
        <w:rPr>
          <w:lang w:val="pt-PT"/>
        </w:rPr>
      </w:pPr>
    </w:p>
    <w:p w14:paraId="7762C9F1" w14:textId="16F74F15" w:rsidR="00E22777" w:rsidRDefault="004A05C6" w:rsidP="003875A8">
      <w:pPr>
        <w:jc w:val="both"/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</w:pPr>
      <w:r w:rsidRPr="00997127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A Schroders encomendou à CoreData a realização do terceiro </w:t>
      </w:r>
      <w:r w:rsidR="00997127" w:rsidRPr="00997127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In</w:t>
      </w:r>
      <w:r w:rsidR="00997127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stitutional Investor Study</w:t>
      </w:r>
      <w:r w:rsidRPr="00997127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 para analisar as</w:t>
      </w:r>
      <w:r w:rsidR="00E22777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 áreas em destaque para os </w:t>
      </w:r>
      <w:r w:rsidR="00A96BDC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maiores investidores institucionais do mundo</w:t>
      </w:r>
      <w:r w:rsidR="00AC5391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, nomeadamente </w:t>
      </w:r>
      <w:r w:rsidR="006E51AD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o</w:t>
      </w:r>
      <w:r w:rsidR="006D3B4C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 enquadramento macroeconómico, o clima geopolítico, expectativas de retorno, alocação de ativos e atit</w:t>
      </w:r>
      <w:r w:rsidR="0024690D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udes em relação aos ativos privados e ao investimento sustentável.</w:t>
      </w:r>
    </w:p>
    <w:p w14:paraId="5CB549E6" w14:textId="1290E5C2" w:rsidR="0024690D" w:rsidRDefault="006C2E87" w:rsidP="003875A8">
      <w:pPr>
        <w:jc w:val="both"/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</w:pPr>
      <w:r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Os inquiridos representam </w:t>
      </w:r>
      <w:r w:rsidR="003914C7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um leque alargado de instituições, que incluem fundos de pensões, </w:t>
      </w:r>
      <w:r w:rsidR="000B4A6B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seguradoras, fundos soberanos</w:t>
      </w:r>
      <w:r w:rsidR="006E1283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, associações e fundaç</w:t>
      </w:r>
      <w:r w:rsidR="00974BA9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ões, que gerem aproximadamente 25, 4 mil biliões de dólares em ativos. </w:t>
      </w:r>
      <w:r w:rsidR="001F381B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O inquérito</w:t>
      </w:r>
      <w:r w:rsidR="00974BA9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 </w:t>
      </w:r>
      <w:r w:rsidR="001F381B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decorreu em Maio de 2019. </w:t>
      </w:r>
      <w:r w:rsidR="00EA42D4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 xml:space="preserve">As 650 organizações institucionais que responderam foram divididas da seguinte forma: 175 na América do Norte, 250 na Europa, 175 na Ásia-Pacífico e 50 na América Latina. Os </w:t>
      </w:r>
      <w:r w:rsidR="00625547">
        <w:rPr>
          <w:rFonts w:cs="Arial"/>
          <w:i/>
          <w:color w:val="2B2B2A"/>
          <w:sz w:val="14"/>
          <w:szCs w:val="14"/>
          <w:shd w:val="clear" w:color="auto" w:fill="FFFFFF"/>
          <w:lang w:val="pt-PT"/>
        </w:rPr>
        <w:t>inquiridos foram identificados em 20 localizações diferentes.</w:t>
      </w:r>
    </w:p>
    <w:p w14:paraId="557E4417" w14:textId="77777777" w:rsidR="001532F0" w:rsidRPr="00A57E81" w:rsidRDefault="001532F0" w:rsidP="001532F0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b/>
          <w:bCs/>
          <w:sz w:val="20"/>
          <w:szCs w:val="20"/>
          <w:lang w:val="pt-PT"/>
        </w:rPr>
      </w:pPr>
    </w:p>
    <w:p w14:paraId="7D13690A" w14:textId="77777777" w:rsidR="004074C8" w:rsidRDefault="004074C8" w:rsidP="004074C8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b/>
          <w:sz w:val="18"/>
          <w:szCs w:val="18"/>
          <w:lang w:val="pt-PT"/>
        </w:rPr>
        <w:t>Para mais informações, por favor, contacte:</w:t>
      </w:r>
    </w:p>
    <w:p w14:paraId="6CB1A07D" w14:textId="77777777" w:rsidR="004074C8" w:rsidRDefault="004074C8" w:rsidP="004074C8">
      <w:pPr>
        <w:spacing w:after="0"/>
        <w:jc w:val="both"/>
        <w:rPr>
          <w:rFonts w:eastAsia="Times New Roman"/>
          <w:b/>
          <w:sz w:val="18"/>
          <w:szCs w:val="18"/>
          <w:lang w:val="pt-PT" w:eastAsia="en-GB"/>
        </w:rPr>
      </w:pPr>
      <w:r>
        <w:rPr>
          <w:rFonts w:eastAsia="Times New Roman"/>
          <w:b/>
          <w:sz w:val="18"/>
          <w:szCs w:val="18"/>
          <w:lang w:val="pt-PT" w:eastAsia="en-GB"/>
        </w:rPr>
        <w:t>Lift Consulting</w:t>
      </w:r>
    </w:p>
    <w:p w14:paraId="7566BEFD" w14:textId="77777777" w:rsidR="004074C8" w:rsidRDefault="004074C8" w:rsidP="004074C8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br/>
        <w:t xml:space="preserve">Erica Macieira - erica.macieira@lift.com.pt - 910 549 515 </w:t>
      </w:r>
    </w:p>
    <w:p w14:paraId="01B9D930" w14:textId="77777777" w:rsidR="004074C8" w:rsidRDefault="004074C8" w:rsidP="004074C8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t xml:space="preserve">Nuno Augusto – nuno.augusto@lift.com.pt - 918267701 </w:t>
      </w:r>
    </w:p>
    <w:p w14:paraId="51CDC1DB" w14:textId="77777777" w:rsidR="004074C8" w:rsidRDefault="004074C8" w:rsidP="004074C8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</w:p>
    <w:p w14:paraId="5D92C9F9" w14:textId="77777777" w:rsidR="004074C8" w:rsidRDefault="004074C8" w:rsidP="004074C8">
      <w:pPr>
        <w:spacing w:line="276" w:lineRule="auto"/>
        <w:jc w:val="both"/>
        <w:rPr>
          <w:rFonts w:eastAsia="Times New Roman"/>
          <w:b/>
          <w:sz w:val="18"/>
          <w:szCs w:val="18"/>
          <w:lang w:val="pt-PT" w:eastAsia="en-GB"/>
        </w:rPr>
      </w:pPr>
      <w:r>
        <w:rPr>
          <w:rFonts w:eastAsia="Times New Roman"/>
          <w:b/>
          <w:sz w:val="18"/>
          <w:szCs w:val="18"/>
          <w:lang w:val="pt-PT" w:eastAsia="en-GB"/>
        </w:rPr>
        <w:t xml:space="preserve">Sobre a Schroders plc </w:t>
      </w:r>
    </w:p>
    <w:p w14:paraId="635B3703" w14:textId="77777777" w:rsidR="004074C8" w:rsidRDefault="004074C8" w:rsidP="004074C8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lastRenderedPageBreak/>
        <w:t xml:space="preserve">Enquanto gestora global de investimentos, apoiamos instituições, intermediários e indivíduos a alcançar os seus objetivos, as suas ambições e a prepararem-se para o futuro. Mas à medida que o mundo muda, mudam também as necessidades dos clientes. É por esta razão que temos uma longa história de adaptação, acompanhando os tempos e mantendo a nossa atenção centrada no que mais importa para os nossos clientes. </w:t>
      </w:r>
    </w:p>
    <w:p w14:paraId="3D5A5AF6" w14:textId="77777777" w:rsidR="004074C8" w:rsidRDefault="004074C8" w:rsidP="004074C8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t xml:space="preserve">Fazê-lo implica experiência e conhecimento especializado. Ouvimos as pessoas e analisamos os dados para identificar tendências que vão marcar o futuro. Este conhecimento permite-nos ter uma perspetiva única, que apoia um investimento com convicção. Somos responsáveis pela gestão de uma carteira de 469, 5 mil milhões de Euros** em ativos que os nossos clientes nos confiam para que lhes entreguemos retornos sustentáveis. Mantemo-nos determinados a contribuir para a sua prosperidade futura e para a da sociedade em geral. Atualmente, contamos com 5.000 colaboradores por todo o mundo, cuja missão é fazer isto mesmo. </w:t>
      </w:r>
    </w:p>
    <w:p w14:paraId="4E606649" w14:textId="77777777" w:rsidR="004074C8" w:rsidRDefault="004074C8" w:rsidP="004074C8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t xml:space="preserve">Somos uma empresa global com gestão local. Isto permite-nos manter as necessidades dos nossos clientes no centro de tudo o que fazemos. Esta proximidade com os clientes, as suas necessidades e interesses tem-nos permitido crescer com eles ao longo de 200 anos e mais de sete gerações. </w:t>
      </w:r>
    </w:p>
    <w:p w14:paraId="6340CCF8" w14:textId="77777777" w:rsidR="004074C8" w:rsidRDefault="004074C8" w:rsidP="004074C8">
      <w:pPr>
        <w:spacing w:before="100" w:beforeAutospacing="1" w:after="100" w:afterAutospacing="1"/>
        <w:jc w:val="both"/>
        <w:rPr>
          <w:rFonts w:eastAsia="Times New Roman"/>
          <w:color w:val="0074B7" w:themeColor="hyperlink"/>
          <w:sz w:val="18"/>
          <w:szCs w:val="18"/>
          <w:u w:val="single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t xml:space="preserve">Para mais informações, visite </w:t>
      </w:r>
      <w:hyperlink r:id="rId14" w:history="1">
        <w:r>
          <w:rPr>
            <w:rStyle w:val="Hiperligao"/>
            <w:rFonts w:eastAsia="Times New Roman"/>
            <w:sz w:val="18"/>
            <w:szCs w:val="18"/>
            <w:lang w:val="pt-PT" w:eastAsia="en-GB"/>
          </w:rPr>
          <w:t>www.schroders.pt</w:t>
        </w:r>
      </w:hyperlink>
    </w:p>
    <w:p w14:paraId="480426C0" w14:textId="77777777" w:rsidR="004074C8" w:rsidRDefault="004074C8" w:rsidP="004074C8">
      <w:pPr>
        <w:pStyle w:val="NormalWeb"/>
        <w:shd w:val="clear" w:color="auto" w:fill="FFFFFF"/>
        <w:jc w:val="both"/>
        <w:rPr>
          <w:rFonts w:asciiTheme="minorHAnsi" w:hAnsiTheme="minorHAnsi" w:cstheme="minorBidi"/>
          <w:sz w:val="18"/>
          <w:szCs w:val="18"/>
          <w:lang w:val="pt-PT"/>
        </w:rPr>
      </w:pPr>
      <w:r>
        <w:rPr>
          <w:rFonts w:asciiTheme="minorHAnsi" w:hAnsiTheme="minorHAnsi" w:cstheme="minorBidi"/>
          <w:sz w:val="18"/>
          <w:szCs w:val="18"/>
          <w:lang w:val="pt-PT"/>
        </w:rPr>
        <w:t>**a 30 Junho de 2019</w:t>
      </w:r>
    </w:p>
    <w:p w14:paraId="624F79BA" w14:textId="77777777" w:rsidR="004074C8" w:rsidRDefault="004074C8" w:rsidP="004074C8">
      <w:pPr>
        <w:rPr>
          <w:sz w:val="22"/>
        </w:rPr>
      </w:pPr>
    </w:p>
    <w:p w14:paraId="79AA0E7E" w14:textId="77777777" w:rsidR="001532F0" w:rsidRPr="00F82CEA" w:rsidRDefault="001532F0" w:rsidP="004074C8">
      <w:pPr>
        <w:pStyle w:val="NormalWeb"/>
        <w:shd w:val="clear" w:color="auto" w:fill="FFFFFF"/>
        <w:spacing w:before="0" w:after="0" w:line="240" w:lineRule="auto"/>
        <w:rPr>
          <w:b/>
        </w:rPr>
      </w:pPr>
    </w:p>
    <w:sectPr w:rsidR="001532F0" w:rsidRPr="00F82CEA" w:rsidSect="009B7A37">
      <w:headerReference w:type="default" r:id="rId15"/>
      <w:headerReference w:type="first" r:id="rId16"/>
      <w:footerReference w:type="first" r:id="rId17"/>
      <w:pgSz w:w="11906" w:h="16838" w:code="9"/>
      <w:pgMar w:top="2155" w:right="992" w:bottom="851" w:left="992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5E68" w14:textId="77777777" w:rsidR="00E36A99" w:rsidRDefault="00E36A99" w:rsidP="009F4ABF">
      <w:pPr>
        <w:spacing w:after="0"/>
      </w:pPr>
      <w:r>
        <w:separator/>
      </w:r>
    </w:p>
  </w:endnote>
  <w:endnote w:type="continuationSeparator" w:id="0">
    <w:p w14:paraId="0AE2F819" w14:textId="77777777" w:rsidR="00E36A99" w:rsidRDefault="00E36A99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Schroders Circular TT">
    <w:altName w:val="Calibri"/>
    <w:charset w:val="00"/>
    <w:family w:val="swiss"/>
    <w:pitch w:val="variable"/>
    <w:sig w:usb0="A00000BF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A500" w14:textId="77777777" w:rsidR="00027FB1" w:rsidRDefault="00027FB1" w:rsidP="006441F5">
    <w:pPr>
      <w:pStyle w:val="Rodap"/>
      <w:rPr>
        <w:b/>
      </w:rPr>
    </w:pPr>
  </w:p>
  <w:p w14:paraId="48C0CAFD" w14:textId="77777777" w:rsidR="00027FB1" w:rsidRDefault="00027FB1" w:rsidP="006441F5">
    <w:pPr>
      <w:pStyle w:val="Rodap"/>
      <w:rPr>
        <w:b/>
      </w:rPr>
    </w:pPr>
  </w:p>
  <w:p w14:paraId="27382B85" w14:textId="3E54D5DD" w:rsidR="006441F5" w:rsidRDefault="006441F5" w:rsidP="00644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7C97" w14:textId="77777777" w:rsidR="00E36A99" w:rsidRDefault="00E36A99" w:rsidP="009F4ABF">
      <w:pPr>
        <w:spacing w:after="0"/>
      </w:pPr>
      <w:r>
        <w:separator/>
      </w:r>
    </w:p>
  </w:footnote>
  <w:footnote w:type="continuationSeparator" w:id="0">
    <w:p w14:paraId="0831DE85" w14:textId="77777777" w:rsidR="00E36A99" w:rsidRDefault="00E36A99" w:rsidP="009F4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AE5B" w14:textId="77777777" w:rsidR="000D1056" w:rsidRPr="000D1056" w:rsidRDefault="009B7A37" w:rsidP="000D78A6">
    <w:pPr>
      <w:pStyle w:val="Cabealho"/>
      <w:tabs>
        <w:tab w:val="clear" w:pos="9026"/>
        <w:tab w:val="right" w:pos="1020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F817F7" wp14:editId="52BC27DC">
          <wp:simplePos x="0" y="0"/>
          <wp:positionH relativeFrom="column">
            <wp:posOffset>4695520</wp:posOffset>
          </wp:positionH>
          <wp:positionV relativeFrom="paragraph">
            <wp:posOffset>-1270</wp:posOffset>
          </wp:positionV>
          <wp:extent cx="1605280" cy="287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056" w:rsidRPr="000D1056">
      <w:rPr>
        <w:rStyle w:val="Nmerodepgina"/>
      </w:rPr>
      <w:t xml:space="preserve">Page </w:t>
    </w:r>
    <w:r w:rsidR="000D1056" w:rsidRPr="000D1056">
      <w:rPr>
        <w:rStyle w:val="Nmerodepgina"/>
      </w:rPr>
      <w:fldChar w:fldCharType="begin"/>
    </w:r>
    <w:r w:rsidR="000D1056" w:rsidRPr="000D1056">
      <w:rPr>
        <w:rStyle w:val="Nmerodepgina"/>
      </w:rPr>
      <w:instrText xml:space="preserve"> PAGE </w:instrText>
    </w:r>
    <w:r w:rsidR="000D1056" w:rsidRPr="000D1056">
      <w:rPr>
        <w:rStyle w:val="Nmerodepgina"/>
      </w:rPr>
      <w:fldChar w:fldCharType="separate"/>
    </w:r>
    <w:r w:rsidR="005309C8">
      <w:rPr>
        <w:rStyle w:val="Nmerodepgina"/>
        <w:noProof/>
      </w:rPr>
      <w:t>2</w:t>
    </w:r>
    <w:r w:rsidR="000D1056" w:rsidRPr="000D1056">
      <w:rPr>
        <w:rStyle w:val="Nmerodepgina"/>
      </w:rPr>
      <w:fldChar w:fldCharType="end"/>
    </w:r>
    <w:r w:rsidR="000D1056" w:rsidRPr="000D1056">
      <w:rPr>
        <w:rStyle w:val="Nmerodepgina"/>
      </w:rPr>
      <w:t xml:space="preserve"> of </w:t>
    </w:r>
    <w:r w:rsidR="000D1056" w:rsidRPr="000D1056">
      <w:rPr>
        <w:rStyle w:val="Nmerodepgina"/>
      </w:rPr>
      <w:fldChar w:fldCharType="begin"/>
    </w:r>
    <w:r w:rsidR="000D1056" w:rsidRPr="000D1056">
      <w:rPr>
        <w:rStyle w:val="Nmerodepgina"/>
      </w:rPr>
      <w:instrText xml:space="preserve"> NUMPAGES </w:instrText>
    </w:r>
    <w:r w:rsidR="000D1056" w:rsidRPr="000D1056">
      <w:rPr>
        <w:rStyle w:val="Nmerodepgina"/>
      </w:rPr>
      <w:fldChar w:fldCharType="separate"/>
    </w:r>
    <w:r w:rsidR="005309C8">
      <w:rPr>
        <w:rStyle w:val="Nmerodepgina"/>
        <w:noProof/>
      </w:rPr>
      <w:t>3</w:t>
    </w:r>
    <w:r w:rsidR="000D1056" w:rsidRPr="000D1056">
      <w:rPr>
        <w:rStyle w:val="Nmerodepgina"/>
      </w:rPr>
      <w:fldChar w:fldCharType="end"/>
    </w:r>
    <w:r w:rsidR="000D78A6">
      <w:rPr>
        <w:rStyle w:val="Nmerodepgina"/>
      </w:rPr>
      <w:tab/>
    </w:r>
    <w:r w:rsidR="000D78A6">
      <w:rPr>
        <w:rStyle w:val="Nmerodepgi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922"/>
    </w:tblGrid>
    <w:tr w:rsidR="0038704B" w:rsidRPr="009534C3" w14:paraId="2CFF69AB" w14:textId="77777777" w:rsidTr="009B7A37">
      <w:trPr>
        <w:trHeight w:hRule="exact" w:val="851"/>
      </w:trPr>
      <w:tc>
        <w:tcPr>
          <w:tcW w:w="10874" w:type="dxa"/>
        </w:tcPr>
        <w:p w14:paraId="1BEEA367" w14:textId="77777777" w:rsidR="0038704B" w:rsidRDefault="00196329" w:rsidP="0038704B">
          <w:pPr>
            <w:jc w:val="right"/>
          </w:pPr>
          <w:r w:rsidRPr="005D30F6">
            <w:rPr>
              <w:noProof/>
              <w:lang w:eastAsia="en-GB"/>
            </w:rPr>
            <mc:AlternateContent>
              <mc:Choice Requires="wps">
                <w:drawing>
                  <wp:inline distT="0" distB="0" distL="0" distR="0" wp14:anchorId="1752078E" wp14:editId="40F883E4">
                    <wp:extent cx="1627200" cy="291600"/>
                    <wp:effectExtent l="0" t="0" r="0" b="0"/>
                    <wp:docPr id="6" name="Freeform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627200" cy="291600"/>
                            </a:xfrm>
                            <a:custGeom>
                              <a:avLst/>
                              <a:gdLst>
                                <a:gd name="T0" fmla="*/ 504 w 1138"/>
                                <a:gd name="T1" fmla="*/ 99 h 203"/>
                                <a:gd name="T2" fmla="*/ 458 w 1138"/>
                                <a:gd name="T3" fmla="*/ 112 h 203"/>
                                <a:gd name="T4" fmla="*/ 427 w 1138"/>
                                <a:gd name="T5" fmla="*/ 200 h 203"/>
                                <a:gd name="T6" fmla="*/ 449 w 1138"/>
                                <a:gd name="T7" fmla="*/ 71 h 203"/>
                                <a:gd name="T8" fmla="*/ 491 w 1138"/>
                                <a:gd name="T9" fmla="*/ 67 h 203"/>
                                <a:gd name="T10" fmla="*/ 981 w 1138"/>
                                <a:gd name="T11" fmla="*/ 85 h 203"/>
                                <a:gd name="T12" fmla="*/ 952 w 1138"/>
                                <a:gd name="T13" fmla="*/ 71 h 203"/>
                                <a:gd name="T14" fmla="*/ 983 w 1138"/>
                                <a:gd name="T15" fmla="*/ 200 h 203"/>
                                <a:gd name="T16" fmla="*/ 1013 w 1138"/>
                                <a:gd name="T17" fmla="*/ 96 h 203"/>
                                <a:gd name="T18" fmla="*/ 1032 w 1138"/>
                                <a:gd name="T19" fmla="*/ 70 h 203"/>
                                <a:gd name="T20" fmla="*/ 981 w 1138"/>
                                <a:gd name="T21" fmla="*/ 85 h 203"/>
                                <a:gd name="T22" fmla="*/ 315 w 1138"/>
                                <a:gd name="T23" fmla="*/ 83 h 203"/>
                                <a:gd name="T24" fmla="*/ 284 w 1138"/>
                                <a:gd name="T25" fmla="*/ 7 h 203"/>
                                <a:gd name="T26" fmla="*/ 315 w 1138"/>
                                <a:gd name="T27" fmla="*/ 200 h 203"/>
                                <a:gd name="T28" fmla="*/ 346 w 1138"/>
                                <a:gd name="T29" fmla="*/ 97 h 203"/>
                                <a:gd name="T30" fmla="*/ 376 w 1138"/>
                                <a:gd name="T31" fmla="*/ 200 h 203"/>
                                <a:gd name="T32" fmla="*/ 407 w 1138"/>
                                <a:gd name="T33" fmla="*/ 136 h 203"/>
                                <a:gd name="T34" fmla="*/ 218 w 1138"/>
                                <a:gd name="T35" fmla="*/ 174 h 203"/>
                                <a:gd name="T36" fmla="*/ 217 w 1138"/>
                                <a:gd name="T37" fmla="*/ 97 h 203"/>
                                <a:gd name="T38" fmla="*/ 271 w 1138"/>
                                <a:gd name="T39" fmla="*/ 94 h 203"/>
                                <a:gd name="T40" fmla="*/ 150 w 1138"/>
                                <a:gd name="T41" fmla="*/ 135 h 203"/>
                                <a:gd name="T42" fmla="*/ 272 w 1138"/>
                                <a:gd name="T43" fmla="*/ 178 h 203"/>
                                <a:gd name="T44" fmla="*/ 218 w 1138"/>
                                <a:gd name="T45" fmla="*/ 174 h 203"/>
                                <a:gd name="T46" fmla="*/ 68 w 1138"/>
                                <a:gd name="T47" fmla="*/ 84 h 203"/>
                                <a:gd name="T48" fmla="*/ 68 w 1138"/>
                                <a:gd name="T49" fmla="*/ 38 h 203"/>
                                <a:gd name="T50" fmla="*/ 130 w 1138"/>
                                <a:gd name="T51" fmla="*/ 39 h 203"/>
                                <a:gd name="T52" fmla="*/ 4 w 1138"/>
                                <a:gd name="T53" fmla="*/ 64 h 203"/>
                                <a:gd name="T54" fmla="*/ 71 w 1138"/>
                                <a:gd name="T55" fmla="*/ 119 h 203"/>
                                <a:gd name="T56" fmla="*/ 70 w 1138"/>
                                <a:gd name="T57" fmla="*/ 172 h 203"/>
                                <a:gd name="T58" fmla="*/ 0 w 1138"/>
                                <a:gd name="T59" fmla="*/ 161 h 203"/>
                                <a:gd name="T60" fmla="*/ 136 w 1138"/>
                                <a:gd name="T61" fmla="*/ 146 h 203"/>
                                <a:gd name="T62" fmla="*/ 1097 w 1138"/>
                                <a:gd name="T63" fmla="*/ 122 h 203"/>
                                <a:gd name="T64" fmla="*/ 1088 w 1138"/>
                                <a:gd name="T65" fmla="*/ 93 h 203"/>
                                <a:gd name="T66" fmla="*/ 1135 w 1138"/>
                                <a:gd name="T67" fmla="*/ 91 h 203"/>
                                <a:gd name="T68" fmla="*/ 1039 w 1138"/>
                                <a:gd name="T69" fmla="*/ 107 h 203"/>
                                <a:gd name="T70" fmla="*/ 1109 w 1138"/>
                                <a:gd name="T71" fmla="*/ 163 h 203"/>
                                <a:gd name="T72" fmla="*/ 1054 w 1138"/>
                                <a:gd name="T73" fmla="*/ 158 h 203"/>
                                <a:gd name="T74" fmla="*/ 1091 w 1138"/>
                                <a:gd name="T75" fmla="*/ 203 h 203"/>
                                <a:gd name="T76" fmla="*/ 1097 w 1138"/>
                                <a:gd name="T77" fmla="*/ 122 h 203"/>
                                <a:gd name="T78" fmla="*/ 570 w 1138"/>
                                <a:gd name="T79" fmla="*/ 203 h 203"/>
                                <a:gd name="T80" fmla="*/ 538 w 1138"/>
                                <a:gd name="T81" fmla="*/ 135 h 203"/>
                                <a:gd name="T82" fmla="*/ 570 w 1138"/>
                                <a:gd name="T83" fmla="*/ 67 h 203"/>
                                <a:gd name="T84" fmla="*/ 583 w 1138"/>
                                <a:gd name="T85" fmla="*/ 67 h 203"/>
                                <a:gd name="T86" fmla="*/ 615 w 1138"/>
                                <a:gd name="T87" fmla="*/ 135 h 203"/>
                                <a:gd name="T88" fmla="*/ 583 w 1138"/>
                                <a:gd name="T89" fmla="*/ 203 h 203"/>
                                <a:gd name="T90" fmla="*/ 583 w 1138"/>
                                <a:gd name="T91" fmla="*/ 67 h 203"/>
                                <a:gd name="T92" fmla="*/ 799 w 1138"/>
                                <a:gd name="T93" fmla="*/ 200 h 203"/>
                                <a:gd name="T94" fmla="*/ 764 w 1138"/>
                                <a:gd name="T95" fmla="*/ 188 h 203"/>
                                <a:gd name="T96" fmla="*/ 660 w 1138"/>
                                <a:gd name="T97" fmla="*/ 135 h 203"/>
                                <a:gd name="T98" fmla="*/ 760 w 1138"/>
                                <a:gd name="T99" fmla="*/ 79 h 203"/>
                                <a:gd name="T100" fmla="*/ 791 w 1138"/>
                                <a:gd name="T101" fmla="*/ 0 h 203"/>
                                <a:gd name="T102" fmla="*/ 760 w 1138"/>
                                <a:gd name="T103" fmla="*/ 107 h 203"/>
                                <a:gd name="T104" fmla="*/ 691 w 1138"/>
                                <a:gd name="T105" fmla="*/ 135 h 203"/>
                                <a:gd name="T106" fmla="*/ 760 w 1138"/>
                                <a:gd name="T107" fmla="*/ 161 h 203"/>
                                <a:gd name="T108" fmla="*/ 936 w 1138"/>
                                <a:gd name="T109" fmla="*/ 135 h 203"/>
                                <a:gd name="T110" fmla="*/ 839 w 1138"/>
                                <a:gd name="T111" fmla="*/ 144 h 203"/>
                                <a:gd name="T112" fmla="*/ 910 w 1138"/>
                                <a:gd name="T113" fmla="*/ 160 h 203"/>
                                <a:gd name="T114" fmla="*/ 876 w 1138"/>
                                <a:gd name="T115" fmla="*/ 203 h 203"/>
                                <a:gd name="T116" fmla="*/ 874 w 1138"/>
                                <a:gd name="T117" fmla="*/ 67 h 203"/>
                                <a:gd name="T118" fmla="*/ 904 w 1138"/>
                                <a:gd name="T119" fmla="*/ 121 h 203"/>
                                <a:gd name="T120" fmla="*/ 840 w 1138"/>
                                <a:gd name="T121" fmla="*/ 12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38" h="203">
                                  <a:moveTo>
                                    <a:pt x="507" y="70"/>
                                  </a:moveTo>
                                  <a:cubicBezTo>
                                    <a:pt x="504" y="99"/>
                                    <a:pt x="504" y="99"/>
                                    <a:pt x="504" y="99"/>
                                  </a:cubicBezTo>
                                  <a:cubicBezTo>
                                    <a:pt x="498" y="97"/>
                                    <a:pt x="493" y="96"/>
                                    <a:pt x="488" y="96"/>
                                  </a:cubicBezTo>
                                  <a:cubicBezTo>
                                    <a:pt x="476" y="96"/>
                                    <a:pt x="466" y="102"/>
                                    <a:pt x="458" y="112"/>
                                  </a:cubicBezTo>
                                  <a:cubicBezTo>
                                    <a:pt x="458" y="200"/>
                                    <a:pt x="458" y="200"/>
                                    <a:pt x="458" y="200"/>
                                  </a:cubicBezTo>
                                  <a:cubicBezTo>
                                    <a:pt x="427" y="200"/>
                                    <a:pt x="427" y="200"/>
                                    <a:pt x="427" y="200"/>
                                  </a:cubicBezTo>
                                  <a:cubicBezTo>
                                    <a:pt x="427" y="71"/>
                                    <a:pt x="427" y="71"/>
                                    <a:pt x="427" y="71"/>
                                  </a:cubicBezTo>
                                  <a:cubicBezTo>
                                    <a:pt x="449" y="71"/>
                                    <a:pt x="449" y="71"/>
                                    <a:pt x="449" y="71"/>
                                  </a:cubicBezTo>
                                  <a:cubicBezTo>
                                    <a:pt x="456" y="85"/>
                                    <a:pt x="456" y="85"/>
                                    <a:pt x="456" y="85"/>
                                  </a:cubicBezTo>
                                  <a:cubicBezTo>
                                    <a:pt x="464" y="75"/>
                                    <a:pt x="475" y="67"/>
                                    <a:pt x="491" y="67"/>
                                  </a:cubicBezTo>
                                  <a:cubicBezTo>
                                    <a:pt x="496" y="67"/>
                                    <a:pt x="502" y="68"/>
                                    <a:pt x="507" y="70"/>
                                  </a:cubicBezTo>
                                  <a:close/>
                                  <a:moveTo>
                                    <a:pt x="981" y="85"/>
                                  </a:moveTo>
                                  <a:cubicBezTo>
                                    <a:pt x="973" y="71"/>
                                    <a:pt x="973" y="71"/>
                                    <a:pt x="973" y="71"/>
                                  </a:cubicBezTo>
                                  <a:cubicBezTo>
                                    <a:pt x="952" y="71"/>
                                    <a:pt x="952" y="71"/>
                                    <a:pt x="952" y="71"/>
                                  </a:cubicBezTo>
                                  <a:cubicBezTo>
                                    <a:pt x="952" y="200"/>
                                    <a:pt x="952" y="200"/>
                                    <a:pt x="952" y="200"/>
                                  </a:cubicBezTo>
                                  <a:cubicBezTo>
                                    <a:pt x="983" y="200"/>
                                    <a:pt x="983" y="200"/>
                                    <a:pt x="983" y="200"/>
                                  </a:cubicBezTo>
                                  <a:cubicBezTo>
                                    <a:pt x="983" y="112"/>
                                    <a:pt x="983" y="112"/>
                                    <a:pt x="983" y="112"/>
                                  </a:cubicBezTo>
                                  <a:cubicBezTo>
                                    <a:pt x="991" y="102"/>
                                    <a:pt x="1001" y="96"/>
                                    <a:pt x="1013" y="96"/>
                                  </a:cubicBezTo>
                                  <a:cubicBezTo>
                                    <a:pt x="1018" y="96"/>
                                    <a:pt x="1023" y="97"/>
                                    <a:pt x="1029" y="99"/>
                                  </a:cubicBezTo>
                                  <a:cubicBezTo>
                                    <a:pt x="1032" y="70"/>
                                    <a:pt x="1032" y="70"/>
                                    <a:pt x="1032" y="70"/>
                                  </a:cubicBezTo>
                                  <a:cubicBezTo>
                                    <a:pt x="1027" y="68"/>
                                    <a:pt x="1021" y="67"/>
                                    <a:pt x="1016" y="67"/>
                                  </a:cubicBezTo>
                                  <a:cubicBezTo>
                                    <a:pt x="1000" y="67"/>
                                    <a:pt x="989" y="75"/>
                                    <a:pt x="981" y="85"/>
                                  </a:cubicBezTo>
                                  <a:close/>
                                  <a:moveTo>
                                    <a:pt x="354" y="67"/>
                                  </a:moveTo>
                                  <a:cubicBezTo>
                                    <a:pt x="340" y="67"/>
                                    <a:pt x="326" y="73"/>
                                    <a:pt x="315" y="83"/>
                                  </a:cubicBezTo>
                                  <a:cubicBezTo>
                                    <a:pt x="315" y="0"/>
                                    <a:pt x="315" y="0"/>
                                    <a:pt x="315" y="0"/>
                                  </a:cubicBezTo>
                                  <a:cubicBezTo>
                                    <a:pt x="284" y="7"/>
                                    <a:pt x="284" y="7"/>
                                    <a:pt x="284" y="7"/>
                                  </a:cubicBezTo>
                                  <a:cubicBezTo>
                                    <a:pt x="284" y="200"/>
                                    <a:pt x="284" y="200"/>
                                    <a:pt x="284" y="200"/>
                                  </a:cubicBezTo>
                                  <a:cubicBezTo>
                                    <a:pt x="315" y="200"/>
                                    <a:pt x="315" y="200"/>
                                    <a:pt x="315" y="200"/>
                                  </a:cubicBezTo>
                                  <a:cubicBezTo>
                                    <a:pt x="315" y="114"/>
                                    <a:pt x="315" y="114"/>
                                    <a:pt x="315" y="114"/>
                                  </a:cubicBezTo>
                                  <a:cubicBezTo>
                                    <a:pt x="323" y="104"/>
                                    <a:pt x="334" y="97"/>
                                    <a:pt x="346" y="97"/>
                                  </a:cubicBezTo>
                                  <a:cubicBezTo>
                                    <a:pt x="365" y="97"/>
                                    <a:pt x="376" y="108"/>
                                    <a:pt x="376" y="137"/>
                                  </a:cubicBezTo>
                                  <a:cubicBezTo>
                                    <a:pt x="376" y="162"/>
                                    <a:pt x="376" y="200"/>
                                    <a:pt x="376" y="200"/>
                                  </a:cubicBezTo>
                                  <a:cubicBezTo>
                                    <a:pt x="407" y="200"/>
                                    <a:pt x="407" y="200"/>
                                    <a:pt x="407" y="200"/>
                                  </a:cubicBezTo>
                                  <a:cubicBezTo>
                                    <a:pt x="407" y="136"/>
                                    <a:pt x="407" y="136"/>
                                    <a:pt x="407" y="136"/>
                                  </a:cubicBezTo>
                                  <a:cubicBezTo>
                                    <a:pt x="407" y="97"/>
                                    <a:pt x="390" y="67"/>
                                    <a:pt x="354" y="67"/>
                                  </a:cubicBezTo>
                                  <a:close/>
                                  <a:moveTo>
                                    <a:pt x="218" y="174"/>
                                  </a:moveTo>
                                  <a:cubicBezTo>
                                    <a:pt x="198" y="174"/>
                                    <a:pt x="181" y="158"/>
                                    <a:pt x="181" y="135"/>
                                  </a:cubicBezTo>
                                  <a:cubicBezTo>
                                    <a:pt x="181" y="113"/>
                                    <a:pt x="197" y="97"/>
                                    <a:pt x="217" y="97"/>
                                  </a:cubicBezTo>
                                  <a:cubicBezTo>
                                    <a:pt x="228" y="97"/>
                                    <a:pt x="240" y="103"/>
                                    <a:pt x="248" y="114"/>
                                  </a:cubicBezTo>
                                  <a:cubicBezTo>
                                    <a:pt x="271" y="94"/>
                                    <a:pt x="271" y="94"/>
                                    <a:pt x="271" y="94"/>
                                  </a:cubicBezTo>
                                  <a:cubicBezTo>
                                    <a:pt x="259" y="78"/>
                                    <a:pt x="241" y="67"/>
                                    <a:pt x="218" y="67"/>
                                  </a:cubicBezTo>
                                  <a:cubicBezTo>
                                    <a:pt x="178" y="67"/>
                                    <a:pt x="150" y="98"/>
                                    <a:pt x="150" y="135"/>
                                  </a:cubicBezTo>
                                  <a:cubicBezTo>
                                    <a:pt x="150" y="175"/>
                                    <a:pt x="180" y="203"/>
                                    <a:pt x="218" y="203"/>
                                  </a:cubicBezTo>
                                  <a:cubicBezTo>
                                    <a:pt x="240" y="203"/>
                                    <a:pt x="259" y="193"/>
                                    <a:pt x="272" y="178"/>
                                  </a:cubicBezTo>
                                  <a:cubicBezTo>
                                    <a:pt x="250" y="158"/>
                                    <a:pt x="250" y="158"/>
                                    <a:pt x="250" y="158"/>
                                  </a:cubicBezTo>
                                  <a:cubicBezTo>
                                    <a:pt x="240" y="169"/>
                                    <a:pt x="231" y="174"/>
                                    <a:pt x="218" y="174"/>
                                  </a:cubicBezTo>
                                  <a:close/>
                                  <a:moveTo>
                                    <a:pt x="85" y="88"/>
                                  </a:moveTo>
                                  <a:cubicBezTo>
                                    <a:pt x="82" y="88"/>
                                    <a:pt x="73" y="85"/>
                                    <a:pt x="68" y="84"/>
                                  </a:cubicBezTo>
                                  <a:cubicBezTo>
                                    <a:pt x="49" y="80"/>
                                    <a:pt x="38" y="74"/>
                                    <a:pt x="38" y="61"/>
                                  </a:cubicBezTo>
                                  <a:cubicBezTo>
                                    <a:pt x="38" y="49"/>
                                    <a:pt x="50" y="38"/>
                                    <a:pt x="68" y="38"/>
                                  </a:cubicBezTo>
                                  <a:cubicBezTo>
                                    <a:pt x="84" y="38"/>
                                    <a:pt x="96" y="46"/>
                                    <a:pt x="107" y="61"/>
                                  </a:cubicBezTo>
                                  <a:cubicBezTo>
                                    <a:pt x="130" y="39"/>
                                    <a:pt x="130" y="39"/>
                                    <a:pt x="130" y="39"/>
                                  </a:cubicBezTo>
                                  <a:cubicBezTo>
                                    <a:pt x="118" y="24"/>
                                    <a:pt x="100" y="7"/>
                                    <a:pt x="68" y="7"/>
                                  </a:cubicBezTo>
                                  <a:cubicBezTo>
                                    <a:pt x="33" y="7"/>
                                    <a:pt x="4" y="31"/>
                                    <a:pt x="4" y="64"/>
                                  </a:cubicBezTo>
                                  <a:cubicBezTo>
                                    <a:pt x="4" y="89"/>
                                    <a:pt x="20" y="107"/>
                                    <a:pt x="54" y="115"/>
                                  </a:cubicBezTo>
                                  <a:cubicBezTo>
                                    <a:pt x="59" y="116"/>
                                    <a:pt x="66" y="118"/>
                                    <a:pt x="71" y="119"/>
                                  </a:cubicBezTo>
                                  <a:cubicBezTo>
                                    <a:pt x="92" y="125"/>
                                    <a:pt x="101" y="134"/>
                                    <a:pt x="101" y="146"/>
                                  </a:cubicBezTo>
                                  <a:cubicBezTo>
                                    <a:pt x="101" y="161"/>
                                    <a:pt x="86" y="172"/>
                                    <a:pt x="70" y="172"/>
                                  </a:cubicBezTo>
                                  <a:cubicBezTo>
                                    <a:pt x="56" y="172"/>
                                    <a:pt x="39" y="167"/>
                                    <a:pt x="28" y="144"/>
                                  </a:cubicBezTo>
                                  <a:cubicBezTo>
                                    <a:pt x="0" y="161"/>
                                    <a:pt x="0" y="161"/>
                                    <a:pt x="0" y="161"/>
                                  </a:cubicBezTo>
                                  <a:cubicBezTo>
                                    <a:pt x="10" y="182"/>
                                    <a:pt x="35" y="203"/>
                                    <a:pt x="69" y="203"/>
                                  </a:cubicBezTo>
                                  <a:cubicBezTo>
                                    <a:pt x="108" y="203"/>
                                    <a:pt x="136" y="177"/>
                                    <a:pt x="136" y="146"/>
                                  </a:cubicBezTo>
                                  <a:cubicBezTo>
                                    <a:pt x="136" y="117"/>
                                    <a:pt x="118" y="97"/>
                                    <a:pt x="85" y="88"/>
                                  </a:cubicBezTo>
                                  <a:close/>
                                  <a:moveTo>
                                    <a:pt x="1097" y="122"/>
                                  </a:moveTo>
                                  <a:cubicBezTo>
                                    <a:pt x="1079" y="118"/>
                                    <a:pt x="1068" y="114"/>
                                    <a:pt x="1068" y="105"/>
                                  </a:cubicBezTo>
                                  <a:cubicBezTo>
                                    <a:pt x="1068" y="98"/>
                                    <a:pt x="1076" y="93"/>
                                    <a:pt x="1088" y="93"/>
                                  </a:cubicBezTo>
                                  <a:cubicBezTo>
                                    <a:pt x="1098" y="93"/>
                                    <a:pt x="1110" y="100"/>
                                    <a:pt x="1115" y="109"/>
                                  </a:cubicBezTo>
                                  <a:cubicBezTo>
                                    <a:pt x="1135" y="91"/>
                                    <a:pt x="1135" y="91"/>
                                    <a:pt x="1135" y="91"/>
                                  </a:cubicBezTo>
                                  <a:cubicBezTo>
                                    <a:pt x="1128" y="79"/>
                                    <a:pt x="1111" y="67"/>
                                    <a:pt x="1088" y="67"/>
                                  </a:cubicBezTo>
                                  <a:cubicBezTo>
                                    <a:pt x="1064" y="67"/>
                                    <a:pt x="1039" y="83"/>
                                    <a:pt x="1039" y="107"/>
                                  </a:cubicBezTo>
                                  <a:cubicBezTo>
                                    <a:pt x="1039" y="129"/>
                                    <a:pt x="1057" y="140"/>
                                    <a:pt x="1088" y="148"/>
                                  </a:cubicBezTo>
                                  <a:cubicBezTo>
                                    <a:pt x="1100" y="150"/>
                                    <a:pt x="1109" y="155"/>
                                    <a:pt x="1109" y="163"/>
                                  </a:cubicBezTo>
                                  <a:cubicBezTo>
                                    <a:pt x="1109" y="171"/>
                                    <a:pt x="1103" y="177"/>
                                    <a:pt x="1090" y="177"/>
                                  </a:cubicBezTo>
                                  <a:cubicBezTo>
                                    <a:pt x="1075" y="177"/>
                                    <a:pt x="1063" y="171"/>
                                    <a:pt x="1054" y="158"/>
                                  </a:cubicBezTo>
                                  <a:cubicBezTo>
                                    <a:pt x="1034" y="176"/>
                                    <a:pt x="1034" y="176"/>
                                    <a:pt x="1034" y="176"/>
                                  </a:cubicBezTo>
                                  <a:cubicBezTo>
                                    <a:pt x="1045" y="193"/>
                                    <a:pt x="1067" y="203"/>
                                    <a:pt x="1091" y="203"/>
                                  </a:cubicBezTo>
                                  <a:cubicBezTo>
                                    <a:pt x="1118" y="203"/>
                                    <a:pt x="1138" y="185"/>
                                    <a:pt x="1138" y="162"/>
                                  </a:cubicBezTo>
                                  <a:cubicBezTo>
                                    <a:pt x="1138" y="139"/>
                                    <a:pt x="1119" y="127"/>
                                    <a:pt x="1097" y="122"/>
                                  </a:cubicBezTo>
                                  <a:close/>
                                  <a:moveTo>
                                    <a:pt x="507" y="135"/>
                                  </a:moveTo>
                                  <a:cubicBezTo>
                                    <a:pt x="507" y="171"/>
                                    <a:pt x="533" y="200"/>
                                    <a:pt x="570" y="203"/>
                                  </a:cubicBezTo>
                                  <a:cubicBezTo>
                                    <a:pt x="570" y="174"/>
                                    <a:pt x="570" y="174"/>
                                    <a:pt x="570" y="174"/>
                                  </a:cubicBezTo>
                                  <a:cubicBezTo>
                                    <a:pt x="551" y="171"/>
                                    <a:pt x="538" y="155"/>
                                    <a:pt x="538" y="135"/>
                                  </a:cubicBezTo>
                                  <a:cubicBezTo>
                                    <a:pt x="538" y="115"/>
                                    <a:pt x="552" y="99"/>
                                    <a:pt x="570" y="96"/>
                                  </a:cubicBezTo>
                                  <a:cubicBezTo>
                                    <a:pt x="570" y="67"/>
                                    <a:pt x="570" y="67"/>
                                    <a:pt x="570" y="67"/>
                                  </a:cubicBezTo>
                                  <a:cubicBezTo>
                                    <a:pt x="533" y="70"/>
                                    <a:pt x="507" y="100"/>
                                    <a:pt x="507" y="135"/>
                                  </a:cubicBezTo>
                                  <a:close/>
                                  <a:moveTo>
                                    <a:pt x="583" y="67"/>
                                  </a:moveTo>
                                  <a:cubicBezTo>
                                    <a:pt x="583" y="96"/>
                                    <a:pt x="583" y="96"/>
                                    <a:pt x="583" y="96"/>
                                  </a:cubicBezTo>
                                  <a:cubicBezTo>
                                    <a:pt x="601" y="99"/>
                                    <a:pt x="615" y="115"/>
                                    <a:pt x="615" y="135"/>
                                  </a:cubicBezTo>
                                  <a:cubicBezTo>
                                    <a:pt x="615" y="155"/>
                                    <a:pt x="602" y="171"/>
                                    <a:pt x="583" y="174"/>
                                  </a:cubicBezTo>
                                  <a:cubicBezTo>
                                    <a:pt x="583" y="203"/>
                                    <a:pt x="583" y="203"/>
                                    <a:pt x="583" y="203"/>
                                  </a:cubicBezTo>
                                  <a:cubicBezTo>
                                    <a:pt x="620" y="200"/>
                                    <a:pt x="646" y="171"/>
                                    <a:pt x="646" y="135"/>
                                  </a:cubicBezTo>
                                  <a:cubicBezTo>
                                    <a:pt x="646" y="100"/>
                                    <a:pt x="620" y="70"/>
                                    <a:pt x="583" y="67"/>
                                  </a:cubicBezTo>
                                  <a:close/>
                                  <a:moveTo>
                                    <a:pt x="791" y="167"/>
                                  </a:moveTo>
                                  <a:cubicBezTo>
                                    <a:pt x="799" y="200"/>
                                    <a:pt x="799" y="200"/>
                                    <a:pt x="799" y="200"/>
                                  </a:cubicBezTo>
                                  <a:cubicBezTo>
                                    <a:pt x="770" y="200"/>
                                    <a:pt x="770" y="200"/>
                                    <a:pt x="770" y="200"/>
                                  </a:cubicBezTo>
                                  <a:cubicBezTo>
                                    <a:pt x="764" y="188"/>
                                    <a:pt x="764" y="188"/>
                                    <a:pt x="764" y="188"/>
                                  </a:cubicBezTo>
                                  <a:cubicBezTo>
                                    <a:pt x="754" y="196"/>
                                    <a:pt x="740" y="203"/>
                                    <a:pt x="724" y="203"/>
                                  </a:cubicBezTo>
                                  <a:cubicBezTo>
                                    <a:pt x="687" y="203"/>
                                    <a:pt x="660" y="173"/>
                                    <a:pt x="660" y="135"/>
                                  </a:cubicBezTo>
                                  <a:cubicBezTo>
                                    <a:pt x="660" y="96"/>
                                    <a:pt x="690" y="67"/>
                                    <a:pt x="726" y="67"/>
                                  </a:cubicBezTo>
                                  <a:cubicBezTo>
                                    <a:pt x="739" y="67"/>
                                    <a:pt x="751" y="72"/>
                                    <a:pt x="760" y="79"/>
                                  </a:cubicBezTo>
                                  <a:cubicBezTo>
                                    <a:pt x="760" y="7"/>
                                    <a:pt x="760" y="7"/>
                                    <a:pt x="760" y="7"/>
                                  </a:cubicBezTo>
                                  <a:cubicBezTo>
                                    <a:pt x="791" y="0"/>
                                    <a:pt x="791" y="0"/>
                                    <a:pt x="791" y="0"/>
                                  </a:cubicBezTo>
                                  <a:lnTo>
                                    <a:pt x="791" y="167"/>
                                  </a:lnTo>
                                  <a:close/>
                                  <a:moveTo>
                                    <a:pt x="760" y="107"/>
                                  </a:moveTo>
                                  <a:cubicBezTo>
                                    <a:pt x="752" y="100"/>
                                    <a:pt x="742" y="96"/>
                                    <a:pt x="729" y="96"/>
                                  </a:cubicBezTo>
                                  <a:cubicBezTo>
                                    <a:pt x="708" y="96"/>
                                    <a:pt x="691" y="113"/>
                                    <a:pt x="691" y="135"/>
                                  </a:cubicBezTo>
                                  <a:cubicBezTo>
                                    <a:pt x="691" y="160"/>
                                    <a:pt x="709" y="175"/>
                                    <a:pt x="728" y="175"/>
                                  </a:cubicBezTo>
                                  <a:cubicBezTo>
                                    <a:pt x="741" y="175"/>
                                    <a:pt x="752" y="169"/>
                                    <a:pt x="760" y="161"/>
                                  </a:cubicBezTo>
                                  <a:lnTo>
                                    <a:pt x="760" y="107"/>
                                  </a:lnTo>
                                  <a:close/>
                                  <a:moveTo>
                                    <a:pt x="936" y="135"/>
                                  </a:moveTo>
                                  <a:cubicBezTo>
                                    <a:pt x="936" y="139"/>
                                    <a:pt x="936" y="144"/>
                                    <a:pt x="936" y="144"/>
                                  </a:cubicBezTo>
                                  <a:cubicBezTo>
                                    <a:pt x="839" y="144"/>
                                    <a:pt x="839" y="144"/>
                                    <a:pt x="839" y="144"/>
                                  </a:cubicBezTo>
                                  <a:cubicBezTo>
                                    <a:pt x="841" y="163"/>
                                    <a:pt x="856" y="176"/>
                                    <a:pt x="875" y="176"/>
                                  </a:cubicBezTo>
                                  <a:cubicBezTo>
                                    <a:pt x="889" y="176"/>
                                    <a:pt x="901" y="170"/>
                                    <a:pt x="910" y="160"/>
                                  </a:cubicBezTo>
                                  <a:cubicBezTo>
                                    <a:pt x="930" y="178"/>
                                    <a:pt x="930" y="178"/>
                                    <a:pt x="930" y="178"/>
                                  </a:cubicBezTo>
                                  <a:cubicBezTo>
                                    <a:pt x="918" y="193"/>
                                    <a:pt x="899" y="203"/>
                                    <a:pt x="876" y="203"/>
                                  </a:cubicBezTo>
                                  <a:cubicBezTo>
                                    <a:pt x="838" y="203"/>
                                    <a:pt x="808" y="175"/>
                                    <a:pt x="808" y="135"/>
                                  </a:cubicBezTo>
                                  <a:cubicBezTo>
                                    <a:pt x="808" y="97"/>
                                    <a:pt x="836" y="67"/>
                                    <a:pt x="874" y="67"/>
                                  </a:cubicBezTo>
                                  <a:cubicBezTo>
                                    <a:pt x="910" y="67"/>
                                    <a:pt x="936" y="98"/>
                                    <a:pt x="936" y="135"/>
                                  </a:cubicBezTo>
                                  <a:close/>
                                  <a:moveTo>
                                    <a:pt x="904" y="121"/>
                                  </a:moveTo>
                                  <a:cubicBezTo>
                                    <a:pt x="902" y="108"/>
                                    <a:pt x="890" y="95"/>
                                    <a:pt x="872" y="95"/>
                                  </a:cubicBezTo>
                                  <a:cubicBezTo>
                                    <a:pt x="856" y="95"/>
                                    <a:pt x="844" y="106"/>
                                    <a:pt x="840" y="121"/>
                                  </a:cubicBezTo>
                                  <a:lnTo>
                                    <a:pt x="904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480D423" id="Freeform 6" o:spid="_x0000_s1026" style="width:128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3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" path="m507,70v-3,29,-3,29,-3,29c498,97,493,96,488,96v-12,,-22,6,-30,16c458,200,458,200,458,200v-31,,-31,,-31,c427,71,427,71,427,71v22,,22,,22,c456,85,456,85,456,85v8,-10,19,-18,35,-18c496,67,502,68,507,70xm981,85c973,71,973,71,973,71v-21,,-21,,-21,c952,200,952,200,952,200v31,,31,,31,c983,112,983,112,983,112v8,-10,18,-16,30,-16c1018,96,1023,97,1029,99v3,-29,3,-29,3,-29c1027,68,1021,67,1016,67v-16,,-27,8,-35,18xm354,67v-14,,-28,6,-39,16c315,,315,,315,,284,7,284,7,284,7v,193,,193,,193c315,200,315,200,315,200v,-86,,-86,,-86c323,104,334,97,346,97v19,,30,11,30,40c376,162,376,200,376,200v31,,31,,31,c407,136,407,136,407,136,407,97,390,67,354,67xm218,174v-20,,-37,-16,-37,-39c181,113,197,97,217,97v11,,23,6,31,17c271,94,271,94,271,94,259,78,241,67,218,67v-40,,-68,31,-68,68c150,175,180,203,218,203v22,,41,-10,54,-25c250,158,250,158,250,158v-10,11,-19,16,-32,16xm85,88c82,88,73,85,68,84,49,80,38,74,38,61,38,49,50,38,68,38v16,,28,8,39,23c130,39,130,39,130,39,118,24,100,7,68,7,33,7,4,31,4,64v,25,16,43,50,51c59,116,66,118,71,119v21,6,30,15,30,27c101,161,86,172,70,172v-14,,-31,-5,-42,-28c,161,,161,,161v10,21,35,42,69,42c108,203,136,177,136,146,136,117,118,97,85,88xm1097,122v-18,-4,-29,-8,-29,-17c1068,98,1076,93,1088,93v10,,22,7,27,16c1135,91,1135,91,1135,91v-7,-12,-24,-24,-47,-24c1064,67,1039,83,1039,107v,22,18,33,49,41c1100,150,1109,155,1109,163v,8,-6,14,-19,14c1075,177,1063,171,1054,158v-20,18,-20,18,-20,18c1045,193,1067,203,1091,203v27,,47,-18,47,-41c1138,139,1119,127,1097,122xm507,135v,36,26,65,63,68c570,174,570,174,570,174v-19,-3,-32,-19,-32,-39c538,115,552,99,570,96v,-29,,-29,,-29c533,70,507,100,507,135xm583,67v,29,,29,,29c601,99,615,115,615,135v,20,-13,36,-32,39c583,203,583,203,583,203v37,-3,63,-32,63,-68c646,100,620,70,583,67xm791,167v8,33,8,33,8,33c770,200,770,200,770,200v-6,-12,-6,-12,-6,-12c754,196,740,203,724,203v-37,,-64,-30,-64,-68c660,96,690,67,726,67v13,,25,5,34,12c760,7,760,7,760,7,791,,791,,791,r,167xm760,107c752,100,742,96,729,96v-21,,-38,17,-38,39c691,160,709,175,728,175v13,,24,-6,32,-14l760,107xm936,135v,4,,9,,9c839,144,839,144,839,144v2,19,17,32,36,32c889,176,901,170,910,160v20,18,20,18,20,18c918,193,899,203,876,203v-38,,-68,-28,-68,-68c808,97,836,67,874,67v36,,62,31,62,68xm904,121c902,108,890,95,872,95v-16,,-28,11,-32,26l904,121xe" fillcolor="#002a5e" stroked="f">
                    <v:path arrowok="t" o:connecttype="custom" o:connectlocs="720658,142209;654884,160883;610557,287291;642015,101988;702070,96242;1402709,122099;1361243,101988;1405569,287291;1448465,137900;1475633,100552;1402709,122099;450411,119226;406085,10055;450411,287291;494737,139336;537634,287291;581960,195358;311713,249943;310283,139336;387497,135027;214482,193921;388927,255689;311713,249943;97232,120662;97232,54585;185884,56022;5720,91933;101521,170938;100091,247070;0,231269;194463,209722;1568575,175247;1555706,133590;1622910,130717;1485642,153700;1585734,234142;1507090,226960;1559996,291600;1568575,175247;815030,291600;769274,193921;815030,96242;833618,96242;879374,193921;833618,291600;833618,96242;1142472,287291;1092426,270053;943719,193921;1086707,113480;1131033,0;1086707,153700;988045,193921;1086707,231269;1338365,193921;1199667,206849;1301188,229833;1252572,291600;1249712,96242;1292609,173811;1201097,173811" o:connectangles="0,0,0,0,0,0,0,0,0,0,0,0,0,0,0,0,0,0,0,0,0,0,0,0,0,0,0,0,0,0,0,0,0,0,0,0,0,0,0,0,0,0,0,0,0,0,0,0,0,0,0,0,0,0,0,0,0,0,0,0,0"/>
                    <o:lock v:ext="edit" aspectratio="t" verticies="t"/>
                    <w10:anchorlock/>
                  </v:shape>
                </w:pict>
              </mc:Fallback>
            </mc:AlternateContent>
          </w:r>
        </w:p>
      </w:tc>
    </w:tr>
    <w:tr w:rsidR="009534C3" w:rsidRPr="00116C26" w14:paraId="5A79E6B6" w14:textId="77777777" w:rsidTr="001E74C7">
      <w:trPr>
        <w:trHeight w:hRule="exact" w:val="1134"/>
      </w:trPr>
      <w:tc>
        <w:tcPr>
          <w:tcW w:w="10874" w:type="dxa"/>
        </w:tcPr>
        <w:p w14:paraId="5D858CA4" w14:textId="77777777" w:rsidR="009534C3" w:rsidRDefault="009534C3" w:rsidP="006150C3">
          <w:pPr>
            <w:pStyle w:val="SchrodersContact"/>
          </w:pPr>
          <w:r>
            <w:t>Schroder Investment Management Limited</w:t>
          </w:r>
        </w:p>
        <w:p w14:paraId="677144A8" w14:textId="77777777" w:rsidR="009534C3" w:rsidRDefault="00F70E21" w:rsidP="006150C3">
          <w:pPr>
            <w:pStyle w:val="SchrodersContact"/>
          </w:pPr>
          <w:r>
            <w:t>1 London Wall Place</w:t>
          </w:r>
          <w:r w:rsidR="009534C3">
            <w:t xml:space="preserve">, </w:t>
          </w:r>
          <w:r>
            <w:t>London EC2Y 5AU</w:t>
          </w:r>
        </w:p>
        <w:p w14:paraId="7F63D7B7" w14:textId="77777777" w:rsidR="0038704B" w:rsidRPr="0022343E" w:rsidRDefault="0038704B" w:rsidP="009534C3">
          <w:pPr>
            <w:pStyle w:val="SchrodersContact"/>
          </w:pPr>
        </w:p>
        <w:p w14:paraId="34577CE5" w14:textId="77777777" w:rsidR="009534C3" w:rsidRPr="006150C3" w:rsidRDefault="009534C3" w:rsidP="009534C3">
          <w:pPr>
            <w:pStyle w:val="SchrodersContact"/>
          </w:pPr>
          <w:r w:rsidRPr="006150C3">
            <w:t>Tel</w:t>
          </w:r>
          <w:r w:rsidR="00E767A2" w:rsidRPr="006150C3">
            <w:t>:</w:t>
          </w:r>
          <w:r w:rsidRPr="006150C3">
            <w:t xml:space="preserve"> </w:t>
          </w:r>
          <w:r w:rsidR="009142DD" w:rsidRPr="006150C3">
            <w:t>+44 (</w:t>
          </w:r>
          <w:r w:rsidRPr="006150C3">
            <w:t>0</w:t>
          </w:r>
          <w:r w:rsidR="009142DD" w:rsidRPr="006150C3">
            <w:t>)</w:t>
          </w:r>
          <w:r w:rsidR="00116C26" w:rsidRPr="006150C3">
            <w:t>20 7658 6000</w:t>
          </w:r>
        </w:p>
        <w:p w14:paraId="1B5F28F2" w14:textId="77777777" w:rsidR="007E6101" w:rsidRPr="00BB12D6" w:rsidRDefault="009534C3" w:rsidP="007E6101">
          <w:pPr>
            <w:pStyle w:val="SchrodersContact"/>
          </w:pPr>
          <w:r w:rsidRPr="007E6101">
            <w:t>www.schroders.com</w:t>
          </w:r>
          <w:r w:rsidR="007E6101" w:rsidRPr="00BB12D6">
            <w:t xml:space="preserve"> </w:t>
          </w:r>
        </w:p>
        <w:p w14:paraId="2CB297E5" w14:textId="77777777" w:rsidR="009534C3" w:rsidRPr="007E6101" w:rsidRDefault="009534C3" w:rsidP="001E74C7">
          <w:pPr>
            <w:pStyle w:val="SchrodersContact"/>
            <w:jc w:val="center"/>
          </w:pPr>
        </w:p>
      </w:tc>
    </w:tr>
  </w:tbl>
  <w:p w14:paraId="1194A8A4" w14:textId="77777777" w:rsidR="009534C3" w:rsidRPr="009534C3" w:rsidRDefault="009534C3" w:rsidP="008763D0">
    <w:pPr>
      <w:pStyle w:val="Cabealho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pStyle w:val="Listacommarcas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4" w15:restartNumberingAfterBreak="0">
    <w:nsid w:val="53081AA0"/>
    <w:multiLevelType w:val="hybridMultilevel"/>
    <w:tmpl w:val="9602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50568"/>
    <w:multiLevelType w:val="multilevel"/>
    <w:tmpl w:val="21B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A1"/>
    <w:rsid w:val="00001BBD"/>
    <w:rsid w:val="000122EF"/>
    <w:rsid w:val="00014263"/>
    <w:rsid w:val="00016EC4"/>
    <w:rsid w:val="0002063A"/>
    <w:rsid w:val="00027CF8"/>
    <w:rsid w:val="00027FB1"/>
    <w:rsid w:val="00033192"/>
    <w:rsid w:val="000428A7"/>
    <w:rsid w:val="00044DEF"/>
    <w:rsid w:val="0005160A"/>
    <w:rsid w:val="000644AE"/>
    <w:rsid w:val="00070701"/>
    <w:rsid w:val="0007769A"/>
    <w:rsid w:val="00085344"/>
    <w:rsid w:val="000B344E"/>
    <w:rsid w:val="000B4A6B"/>
    <w:rsid w:val="000C041B"/>
    <w:rsid w:val="000C1AFB"/>
    <w:rsid w:val="000C595B"/>
    <w:rsid w:val="000D1056"/>
    <w:rsid w:val="000D74C5"/>
    <w:rsid w:val="000D78A6"/>
    <w:rsid w:val="000E1718"/>
    <w:rsid w:val="000E5B2F"/>
    <w:rsid w:val="000F6EB7"/>
    <w:rsid w:val="00103091"/>
    <w:rsid w:val="0011496D"/>
    <w:rsid w:val="00116C26"/>
    <w:rsid w:val="00130532"/>
    <w:rsid w:val="00145E45"/>
    <w:rsid w:val="001460F5"/>
    <w:rsid w:val="001475C5"/>
    <w:rsid w:val="00147DBB"/>
    <w:rsid w:val="001532F0"/>
    <w:rsid w:val="0017204C"/>
    <w:rsid w:val="0017634C"/>
    <w:rsid w:val="001765EF"/>
    <w:rsid w:val="001917D2"/>
    <w:rsid w:val="00196329"/>
    <w:rsid w:val="00197EB0"/>
    <w:rsid w:val="001B0CF9"/>
    <w:rsid w:val="001C1277"/>
    <w:rsid w:val="001E74C7"/>
    <w:rsid w:val="001F381B"/>
    <w:rsid w:val="00203905"/>
    <w:rsid w:val="00214D52"/>
    <w:rsid w:val="0022343E"/>
    <w:rsid w:val="00223EAB"/>
    <w:rsid w:val="00232AD8"/>
    <w:rsid w:val="002379B9"/>
    <w:rsid w:val="0024690D"/>
    <w:rsid w:val="00254DCC"/>
    <w:rsid w:val="002572CE"/>
    <w:rsid w:val="00281F08"/>
    <w:rsid w:val="0028503E"/>
    <w:rsid w:val="00291815"/>
    <w:rsid w:val="002938C4"/>
    <w:rsid w:val="002945C8"/>
    <w:rsid w:val="002A504E"/>
    <w:rsid w:val="002B0D3C"/>
    <w:rsid w:val="002B18DE"/>
    <w:rsid w:val="002B21EB"/>
    <w:rsid w:val="002B5E42"/>
    <w:rsid w:val="002B748D"/>
    <w:rsid w:val="002C4045"/>
    <w:rsid w:val="002D0A1E"/>
    <w:rsid w:val="002D5735"/>
    <w:rsid w:val="002E302F"/>
    <w:rsid w:val="002E435F"/>
    <w:rsid w:val="002F0295"/>
    <w:rsid w:val="002F3AEB"/>
    <w:rsid w:val="002F5AAA"/>
    <w:rsid w:val="002F74F0"/>
    <w:rsid w:val="00313EEE"/>
    <w:rsid w:val="003140EE"/>
    <w:rsid w:val="00315167"/>
    <w:rsid w:val="003205AA"/>
    <w:rsid w:val="0033481B"/>
    <w:rsid w:val="00345664"/>
    <w:rsid w:val="00354686"/>
    <w:rsid w:val="00356EED"/>
    <w:rsid w:val="00365672"/>
    <w:rsid w:val="00366613"/>
    <w:rsid w:val="00371582"/>
    <w:rsid w:val="00384EE0"/>
    <w:rsid w:val="0038704B"/>
    <w:rsid w:val="003875A8"/>
    <w:rsid w:val="003914C7"/>
    <w:rsid w:val="003B4052"/>
    <w:rsid w:val="003C5848"/>
    <w:rsid w:val="003D3876"/>
    <w:rsid w:val="003E517C"/>
    <w:rsid w:val="003F1B85"/>
    <w:rsid w:val="003F37DA"/>
    <w:rsid w:val="004074C8"/>
    <w:rsid w:val="00426B08"/>
    <w:rsid w:val="00430406"/>
    <w:rsid w:val="0043160D"/>
    <w:rsid w:val="00436399"/>
    <w:rsid w:val="00453753"/>
    <w:rsid w:val="004574F6"/>
    <w:rsid w:val="004637AA"/>
    <w:rsid w:val="004A05C6"/>
    <w:rsid w:val="004C502E"/>
    <w:rsid w:val="004C56CF"/>
    <w:rsid w:val="004E344A"/>
    <w:rsid w:val="004F43A7"/>
    <w:rsid w:val="004F4925"/>
    <w:rsid w:val="004F5FF3"/>
    <w:rsid w:val="00502297"/>
    <w:rsid w:val="005309C8"/>
    <w:rsid w:val="00550320"/>
    <w:rsid w:val="00555B72"/>
    <w:rsid w:val="00566293"/>
    <w:rsid w:val="00594F20"/>
    <w:rsid w:val="005B1601"/>
    <w:rsid w:val="005B1E9E"/>
    <w:rsid w:val="005C2286"/>
    <w:rsid w:val="005D0DBC"/>
    <w:rsid w:val="005E515C"/>
    <w:rsid w:val="005E56D6"/>
    <w:rsid w:val="005E5762"/>
    <w:rsid w:val="005E720D"/>
    <w:rsid w:val="006111E2"/>
    <w:rsid w:val="006150C3"/>
    <w:rsid w:val="00620DC5"/>
    <w:rsid w:val="00622BCE"/>
    <w:rsid w:val="00625547"/>
    <w:rsid w:val="00637D62"/>
    <w:rsid w:val="006441F5"/>
    <w:rsid w:val="00661D8E"/>
    <w:rsid w:val="00663985"/>
    <w:rsid w:val="006815A1"/>
    <w:rsid w:val="006820D6"/>
    <w:rsid w:val="00687D01"/>
    <w:rsid w:val="006A0E43"/>
    <w:rsid w:val="006A4E38"/>
    <w:rsid w:val="006B0B7D"/>
    <w:rsid w:val="006B2C91"/>
    <w:rsid w:val="006C2E87"/>
    <w:rsid w:val="006C78C0"/>
    <w:rsid w:val="006D184E"/>
    <w:rsid w:val="006D3B4C"/>
    <w:rsid w:val="006E1283"/>
    <w:rsid w:val="006E25DA"/>
    <w:rsid w:val="006E518E"/>
    <w:rsid w:val="006E51AD"/>
    <w:rsid w:val="006F0381"/>
    <w:rsid w:val="0070305C"/>
    <w:rsid w:val="0071395E"/>
    <w:rsid w:val="00717359"/>
    <w:rsid w:val="00727C1F"/>
    <w:rsid w:val="00745DEB"/>
    <w:rsid w:val="00750ADF"/>
    <w:rsid w:val="00751413"/>
    <w:rsid w:val="00763F4F"/>
    <w:rsid w:val="00775761"/>
    <w:rsid w:val="00777298"/>
    <w:rsid w:val="00777CD7"/>
    <w:rsid w:val="007A04EC"/>
    <w:rsid w:val="007A7AB9"/>
    <w:rsid w:val="007B5063"/>
    <w:rsid w:val="007C3720"/>
    <w:rsid w:val="007C5AFD"/>
    <w:rsid w:val="007D38C9"/>
    <w:rsid w:val="007D3A03"/>
    <w:rsid w:val="007E2100"/>
    <w:rsid w:val="007E6101"/>
    <w:rsid w:val="007F4D88"/>
    <w:rsid w:val="007F5439"/>
    <w:rsid w:val="008062A4"/>
    <w:rsid w:val="008152D7"/>
    <w:rsid w:val="00816770"/>
    <w:rsid w:val="00827F20"/>
    <w:rsid w:val="00830534"/>
    <w:rsid w:val="00834668"/>
    <w:rsid w:val="00836F96"/>
    <w:rsid w:val="00875153"/>
    <w:rsid w:val="0087630F"/>
    <w:rsid w:val="008763D0"/>
    <w:rsid w:val="00876BFF"/>
    <w:rsid w:val="008818F4"/>
    <w:rsid w:val="008819E5"/>
    <w:rsid w:val="0088444D"/>
    <w:rsid w:val="0088645B"/>
    <w:rsid w:val="00895E15"/>
    <w:rsid w:val="008A2DF2"/>
    <w:rsid w:val="008B5F86"/>
    <w:rsid w:val="008B78DD"/>
    <w:rsid w:val="008D487B"/>
    <w:rsid w:val="008D6C11"/>
    <w:rsid w:val="008E05DA"/>
    <w:rsid w:val="008F285F"/>
    <w:rsid w:val="008F44BB"/>
    <w:rsid w:val="008F51C3"/>
    <w:rsid w:val="008F61DE"/>
    <w:rsid w:val="0090690E"/>
    <w:rsid w:val="00906DC4"/>
    <w:rsid w:val="00907365"/>
    <w:rsid w:val="009122C3"/>
    <w:rsid w:val="009142DD"/>
    <w:rsid w:val="00926CE0"/>
    <w:rsid w:val="00934CC2"/>
    <w:rsid w:val="009372C6"/>
    <w:rsid w:val="009534C3"/>
    <w:rsid w:val="00953CBE"/>
    <w:rsid w:val="0096513E"/>
    <w:rsid w:val="009659AD"/>
    <w:rsid w:val="00967B59"/>
    <w:rsid w:val="00974BA9"/>
    <w:rsid w:val="00997127"/>
    <w:rsid w:val="009B1DE7"/>
    <w:rsid w:val="009B5134"/>
    <w:rsid w:val="009B7A37"/>
    <w:rsid w:val="009C0AAF"/>
    <w:rsid w:val="009C670C"/>
    <w:rsid w:val="009D059D"/>
    <w:rsid w:val="009D185B"/>
    <w:rsid w:val="009D2C3F"/>
    <w:rsid w:val="009E0855"/>
    <w:rsid w:val="009E417E"/>
    <w:rsid w:val="009F4ABF"/>
    <w:rsid w:val="00A01549"/>
    <w:rsid w:val="00A20A46"/>
    <w:rsid w:val="00A26174"/>
    <w:rsid w:val="00A31724"/>
    <w:rsid w:val="00A5659D"/>
    <w:rsid w:val="00A5662F"/>
    <w:rsid w:val="00A57E81"/>
    <w:rsid w:val="00A61934"/>
    <w:rsid w:val="00A70184"/>
    <w:rsid w:val="00A73FD1"/>
    <w:rsid w:val="00A744AA"/>
    <w:rsid w:val="00A7557A"/>
    <w:rsid w:val="00A763BD"/>
    <w:rsid w:val="00A7700C"/>
    <w:rsid w:val="00A929DD"/>
    <w:rsid w:val="00A96BDC"/>
    <w:rsid w:val="00AB27E8"/>
    <w:rsid w:val="00AB6031"/>
    <w:rsid w:val="00AC367B"/>
    <w:rsid w:val="00AC37F4"/>
    <w:rsid w:val="00AC3F61"/>
    <w:rsid w:val="00AC5057"/>
    <w:rsid w:val="00AC5391"/>
    <w:rsid w:val="00AC686E"/>
    <w:rsid w:val="00AC6EFD"/>
    <w:rsid w:val="00AE6DE8"/>
    <w:rsid w:val="00B12F60"/>
    <w:rsid w:val="00B31C71"/>
    <w:rsid w:val="00B40052"/>
    <w:rsid w:val="00B47D3C"/>
    <w:rsid w:val="00B66DC7"/>
    <w:rsid w:val="00B7062D"/>
    <w:rsid w:val="00B7658C"/>
    <w:rsid w:val="00B86FF6"/>
    <w:rsid w:val="00B936AD"/>
    <w:rsid w:val="00BB27FE"/>
    <w:rsid w:val="00BB2F56"/>
    <w:rsid w:val="00BB610D"/>
    <w:rsid w:val="00BB62F7"/>
    <w:rsid w:val="00BC01A4"/>
    <w:rsid w:val="00BC08C9"/>
    <w:rsid w:val="00BC203A"/>
    <w:rsid w:val="00BC6481"/>
    <w:rsid w:val="00BD7688"/>
    <w:rsid w:val="00BF4B00"/>
    <w:rsid w:val="00BF69E9"/>
    <w:rsid w:val="00C0434D"/>
    <w:rsid w:val="00C074FF"/>
    <w:rsid w:val="00C078A8"/>
    <w:rsid w:val="00C210DC"/>
    <w:rsid w:val="00C21353"/>
    <w:rsid w:val="00C352A7"/>
    <w:rsid w:val="00C4026E"/>
    <w:rsid w:val="00C44DDE"/>
    <w:rsid w:val="00C56103"/>
    <w:rsid w:val="00C5613E"/>
    <w:rsid w:val="00C72E99"/>
    <w:rsid w:val="00C83B59"/>
    <w:rsid w:val="00C9482E"/>
    <w:rsid w:val="00C97A1C"/>
    <w:rsid w:val="00CB2101"/>
    <w:rsid w:val="00CB7A2A"/>
    <w:rsid w:val="00CD56BA"/>
    <w:rsid w:val="00CE2524"/>
    <w:rsid w:val="00CE375A"/>
    <w:rsid w:val="00D05D3B"/>
    <w:rsid w:val="00D13912"/>
    <w:rsid w:val="00D17D38"/>
    <w:rsid w:val="00D20786"/>
    <w:rsid w:val="00D27D74"/>
    <w:rsid w:val="00D336F8"/>
    <w:rsid w:val="00D40265"/>
    <w:rsid w:val="00D40EEC"/>
    <w:rsid w:val="00D41421"/>
    <w:rsid w:val="00D60A64"/>
    <w:rsid w:val="00D61E2E"/>
    <w:rsid w:val="00D635DC"/>
    <w:rsid w:val="00D66574"/>
    <w:rsid w:val="00D72C78"/>
    <w:rsid w:val="00D92CE4"/>
    <w:rsid w:val="00D934F9"/>
    <w:rsid w:val="00D9351E"/>
    <w:rsid w:val="00DA4912"/>
    <w:rsid w:val="00DB580A"/>
    <w:rsid w:val="00DC7200"/>
    <w:rsid w:val="00DE2362"/>
    <w:rsid w:val="00DF0AAE"/>
    <w:rsid w:val="00DF1490"/>
    <w:rsid w:val="00E07C3B"/>
    <w:rsid w:val="00E1267F"/>
    <w:rsid w:val="00E152F0"/>
    <w:rsid w:val="00E16FFA"/>
    <w:rsid w:val="00E22777"/>
    <w:rsid w:val="00E36A99"/>
    <w:rsid w:val="00E5406E"/>
    <w:rsid w:val="00E54722"/>
    <w:rsid w:val="00E55E6E"/>
    <w:rsid w:val="00E65938"/>
    <w:rsid w:val="00E73FE8"/>
    <w:rsid w:val="00E767A2"/>
    <w:rsid w:val="00E8500D"/>
    <w:rsid w:val="00EA1137"/>
    <w:rsid w:val="00EA42D4"/>
    <w:rsid w:val="00EA58D0"/>
    <w:rsid w:val="00EA6554"/>
    <w:rsid w:val="00EB3580"/>
    <w:rsid w:val="00EC1F52"/>
    <w:rsid w:val="00ED2C5A"/>
    <w:rsid w:val="00EE017F"/>
    <w:rsid w:val="00EF264F"/>
    <w:rsid w:val="00EF3301"/>
    <w:rsid w:val="00EF5CC4"/>
    <w:rsid w:val="00F14029"/>
    <w:rsid w:val="00F14DEB"/>
    <w:rsid w:val="00F22F87"/>
    <w:rsid w:val="00F323CD"/>
    <w:rsid w:val="00F406D5"/>
    <w:rsid w:val="00F47491"/>
    <w:rsid w:val="00F54F18"/>
    <w:rsid w:val="00F5643F"/>
    <w:rsid w:val="00F61EF6"/>
    <w:rsid w:val="00F67346"/>
    <w:rsid w:val="00F70E21"/>
    <w:rsid w:val="00F74167"/>
    <w:rsid w:val="00F74843"/>
    <w:rsid w:val="00F82CEA"/>
    <w:rsid w:val="00F8325E"/>
    <w:rsid w:val="00F92D31"/>
    <w:rsid w:val="00FA28E0"/>
    <w:rsid w:val="00FA70AD"/>
    <w:rsid w:val="00FA7449"/>
    <w:rsid w:val="00FC05F9"/>
    <w:rsid w:val="00FC0DCA"/>
    <w:rsid w:val="00FC2A6E"/>
    <w:rsid w:val="00FE111E"/>
    <w:rsid w:val="00FE441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E5A09C"/>
  <w15:docId w15:val="{67F3BC07-A581-4B8D-B1EB-DC5A102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29"/>
    <w:pPr>
      <w:spacing w:line="240" w:lineRule="auto"/>
    </w:pPr>
    <w:rPr>
      <w:sz w:val="19"/>
    </w:rPr>
  </w:style>
  <w:style w:type="paragraph" w:styleId="Ttulo1">
    <w:name w:val="heading 1"/>
    <w:basedOn w:val="Normal"/>
    <w:next w:val="Normal"/>
    <w:link w:val="Ttulo1Carter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ABF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27FB1"/>
    <w:rPr>
      <w:sz w:val="14"/>
    </w:rPr>
  </w:style>
  <w:style w:type="character" w:styleId="Nmerodepgina">
    <w:name w:val="page number"/>
    <w:basedOn w:val="Tipodeletrapredefinidodopargrafo"/>
    <w:rsid w:val="000D1056"/>
  </w:style>
  <w:style w:type="paragraph" w:customStyle="1" w:styleId="SchrodersContact">
    <w:name w:val="Schroders Contact"/>
    <w:basedOn w:val="Normal"/>
    <w:qFormat/>
    <w:rsid w:val="0038704B"/>
    <w:pPr>
      <w:spacing w:after="0" w:line="200" w:lineRule="exact"/>
      <w:jc w:val="right"/>
    </w:pPr>
    <w:rPr>
      <w:sz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"/>
    <w:qFormat/>
    <w:rsid w:val="00196329"/>
    <w:rPr>
      <w:i/>
      <w:sz w:val="20"/>
    </w:rPr>
  </w:style>
  <w:style w:type="character" w:styleId="Hiperligao">
    <w:name w:val="Hyperlink"/>
    <w:basedOn w:val="Tipodeletrapredefinidodopargrafo"/>
    <w:uiPriority w:val="99"/>
    <w:unhideWhenUsed/>
    <w:rsid w:val="000C595B"/>
    <w:rPr>
      <w:color w:val="0074B7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111E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grafodaLista">
    <w:name w:val="List Paragraph"/>
    <w:basedOn w:val="Normal"/>
    <w:uiPriority w:val="34"/>
    <w:qFormat/>
    <w:rsid w:val="00E55E6E"/>
    <w:pPr>
      <w:spacing w:line="276" w:lineRule="auto"/>
      <w:ind w:left="720"/>
      <w:contextualSpacing/>
    </w:pPr>
    <w:rPr>
      <w:rFonts w:eastAsiaTheme="minorEastAsia"/>
      <w:sz w:val="22"/>
      <w:lang w:eastAsia="zh-C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C37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C372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C3720"/>
    <w:rPr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7C5AFD"/>
    <w:rPr>
      <w:b/>
      <w:bCs/>
    </w:rPr>
  </w:style>
  <w:style w:type="table" w:styleId="TabelacomGrelha">
    <w:name w:val="Table Grid"/>
    <w:basedOn w:val="Tabelanormal"/>
    <w:uiPriority w:val="59"/>
    <w:rsid w:val="00EF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B12F60"/>
    <w:rPr>
      <w:i/>
      <w:iC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4DE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4DEF"/>
    <w:rPr>
      <w:b/>
      <w:bCs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A5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A58D0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4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3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18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869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guimarf\AppData\Local\Microsoft\Windows\Temporary%20Internet%20Files\Content.Outlook\NBPOGADP\www.schroder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A"/>
      </a:dk2>
      <a:lt2>
        <a:srgbClr val="4F3398"/>
      </a:lt2>
      <a:accent1>
        <a:srgbClr val="002A5E"/>
      </a:accent1>
      <a:accent2>
        <a:srgbClr val="63C532"/>
      </a:accent2>
      <a:accent3>
        <a:srgbClr val="0074B7"/>
      </a:accent3>
      <a:accent4>
        <a:srgbClr val="BAE659"/>
      </a:accent4>
      <a:accent5>
        <a:srgbClr val="14E6F0"/>
      </a:accent5>
      <a:accent6>
        <a:srgbClr val="00796D"/>
      </a:accent6>
      <a:hlink>
        <a:srgbClr val="0074B7"/>
      </a:hlink>
      <a:folHlink>
        <a:srgbClr val="14E6F0"/>
      </a:folHlink>
    </a:clrScheme>
    <a:fontScheme name="Schroders PPT">
      <a:majorFont>
        <a:latin typeface="Schroders Circular TT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70E330893D48B0060226E23CA333" ma:contentTypeVersion="11" ma:contentTypeDescription="Criar um novo documento." ma:contentTypeScope="" ma:versionID="9cbd62af68335173a12017bbfc64268a">
  <xsd:schema xmlns:xsd="http://www.w3.org/2001/XMLSchema" xmlns:xs="http://www.w3.org/2001/XMLSchema" xmlns:p="http://schemas.microsoft.com/office/2006/metadata/properties" xmlns:ns3="4c510a6c-6945-4639-b84a-ba30f56c2899" xmlns:ns4="fd592d00-1e23-44ea-abed-f0c4c2da1796" targetNamespace="http://schemas.microsoft.com/office/2006/metadata/properties" ma:root="true" ma:fieldsID="fdf92eda9eab7853d754ec3005ee706d" ns3:_="" ns4:_="">
    <xsd:import namespace="4c510a6c-6945-4639-b84a-ba30f56c2899"/>
    <xsd:import namespace="fd592d00-1e23-44ea-abed-f0c4c2da1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a6c-6945-4639-b84a-ba30f56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92d00-1e23-44ea-abed-f0c4c2da1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DE8D-3D74-45DB-A413-4D48221C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a6c-6945-4639-b84a-ba30f56c2899"/>
    <ds:schemaRef ds:uri="fd592d00-1e23-44ea-abed-f0c4c2da1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F834D-E8A9-481B-9E9A-FFAC1E9CA622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d592d00-1e23-44ea-abed-f0c4c2da1796"/>
    <ds:schemaRef ds:uri="http://purl.org/dc/dcmitype/"/>
    <ds:schemaRef ds:uri="4c510a6c-6945-4639-b84a-ba30f56c28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FEC786-8576-4ADF-BA99-EB23E9F99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02F96-47BE-4FA2-A629-2C35564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1042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Pearce, Andy</dc:creator>
  <cp:lastModifiedBy>Nuno Augusto</cp:lastModifiedBy>
  <cp:revision>3</cp:revision>
  <cp:lastPrinted>2019-12-20T14:16:00Z</cp:lastPrinted>
  <dcterms:created xsi:type="dcterms:W3CDTF">2020-01-15T10:45:00Z</dcterms:created>
  <dcterms:modified xsi:type="dcterms:W3CDTF">2020-01-15T10:58:00Z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0x010100712D70E330893D48B0060226E23CA333</vt:lpwstr>
  </property>
</Properties>
</file>