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3725" w14:textId="77777777" w:rsidR="00EB5133" w:rsidRDefault="00EB5133" w:rsidP="00515688">
      <w:pPr>
        <w:spacing w:before="0" w:after="160" w:line="259" w:lineRule="auto"/>
        <w:jc w:val="both"/>
      </w:pPr>
    </w:p>
    <w:p w14:paraId="3D178C30" w14:textId="77777777" w:rsidR="00EB5133" w:rsidRDefault="00E202B5" w:rsidP="00515688">
      <w:pPr>
        <w:spacing w:before="0" w:after="160" w:line="259" w:lineRule="auto"/>
        <w:jc w:val="both"/>
      </w:pPr>
      <w:r>
        <w:rPr>
          <w:noProof/>
          <w:lang w:eastAsia="en-GB"/>
        </w:rPr>
        <w:drawing>
          <wp:anchor distT="0" distB="0" distL="114300" distR="114300" simplePos="0" relativeHeight="251658240" behindDoc="0" locked="0" layoutInCell="1" allowOverlap="1" wp14:anchorId="6572D07A" wp14:editId="00B4CA1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B69F01E" w14:textId="77777777" w:rsidR="00EB5133" w:rsidRDefault="00EB5133" w:rsidP="00515688">
      <w:pPr>
        <w:spacing w:before="0" w:after="160" w:line="259" w:lineRule="auto"/>
        <w:jc w:val="both"/>
      </w:pPr>
    </w:p>
    <w:p w14:paraId="3A2D9134" w14:textId="77777777" w:rsidR="00A535B1" w:rsidRDefault="00A535B1" w:rsidP="00515688">
      <w:pPr>
        <w:spacing w:before="0" w:after="160" w:line="259" w:lineRule="auto"/>
        <w:jc w:val="both"/>
      </w:pPr>
    </w:p>
    <w:p w14:paraId="34C373B9" w14:textId="77777777" w:rsidR="003B7B55" w:rsidRDefault="003B7B55" w:rsidP="00515688">
      <w:pPr>
        <w:pStyle w:val="BodyText"/>
        <w:ind w:right="180"/>
        <w:jc w:val="both"/>
        <w:rPr>
          <w:rFonts w:ascii="Arial" w:hAnsi="Arial" w:cs="Arial"/>
          <w:b/>
          <w:sz w:val="26"/>
          <w:szCs w:val="26"/>
        </w:rPr>
      </w:pPr>
      <w:bookmarkStart w:id="0" w:name="_GoBack"/>
      <w:bookmarkEnd w:id="0"/>
    </w:p>
    <w:p w14:paraId="1592C756" w14:textId="77777777" w:rsidR="00285743" w:rsidRDefault="00285743" w:rsidP="00515688">
      <w:pPr>
        <w:pStyle w:val="BodyText"/>
        <w:ind w:right="180"/>
        <w:jc w:val="both"/>
        <w:rPr>
          <w:rFonts w:ascii="Arial" w:hAnsi="Arial" w:cs="Arial"/>
          <w:b/>
          <w:szCs w:val="26"/>
        </w:rPr>
      </w:pPr>
    </w:p>
    <w:p w14:paraId="080EC86E" w14:textId="77777777" w:rsidR="00285743" w:rsidRDefault="00285743" w:rsidP="00515688">
      <w:pPr>
        <w:pStyle w:val="BodyText"/>
        <w:ind w:right="180"/>
        <w:jc w:val="both"/>
        <w:rPr>
          <w:rFonts w:ascii="Arial" w:hAnsi="Arial" w:cs="Arial"/>
          <w:b/>
          <w:szCs w:val="26"/>
        </w:rPr>
      </w:pPr>
    </w:p>
    <w:p w14:paraId="3135DEB8" w14:textId="56160308" w:rsidR="003B7B55" w:rsidRPr="00285743" w:rsidRDefault="00351968" w:rsidP="00515688">
      <w:pPr>
        <w:pStyle w:val="BodyText"/>
        <w:ind w:right="180"/>
        <w:jc w:val="center"/>
        <w:rPr>
          <w:rFonts w:ascii="Arial" w:hAnsi="Arial" w:cs="Arial"/>
          <w:i/>
          <w:sz w:val="26"/>
          <w:szCs w:val="26"/>
        </w:rPr>
      </w:pPr>
      <w:r w:rsidRPr="00285743">
        <w:rPr>
          <w:rFonts w:ascii="Arial" w:hAnsi="Arial" w:cs="Arial"/>
          <w:b/>
          <w:sz w:val="26"/>
          <w:szCs w:val="26"/>
        </w:rPr>
        <w:t>Colliers</w:t>
      </w:r>
      <w:r w:rsidR="008F5D1A" w:rsidRPr="00285743">
        <w:rPr>
          <w:rFonts w:ascii="Arial" w:hAnsi="Arial" w:cs="Arial"/>
          <w:b/>
          <w:sz w:val="26"/>
          <w:szCs w:val="26"/>
        </w:rPr>
        <w:t xml:space="preserve"> International launches </w:t>
      </w:r>
      <w:r w:rsidR="005B4E20" w:rsidRPr="00285743">
        <w:rPr>
          <w:rFonts w:ascii="Arial" w:hAnsi="Arial" w:cs="Arial"/>
          <w:b/>
          <w:sz w:val="26"/>
          <w:szCs w:val="26"/>
        </w:rPr>
        <w:t>CEE Information Pack to track the ever changing situation across the CEE countries and property markets</w:t>
      </w:r>
    </w:p>
    <w:p w14:paraId="7AAE0CE9" w14:textId="77777777" w:rsidR="003B7B55" w:rsidRDefault="003B7B55" w:rsidP="00515688">
      <w:pPr>
        <w:pStyle w:val="BodyText"/>
        <w:ind w:right="180"/>
        <w:jc w:val="both"/>
        <w:rPr>
          <w:rFonts w:ascii="Arial" w:hAnsi="Arial" w:cs="Arial"/>
          <w:i/>
          <w:sz w:val="22"/>
          <w:szCs w:val="26"/>
        </w:rPr>
      </w:pPr>
    </w:p>
    <w:p w14:paraId="5CAF91C5" w14:textId="77777777" w:rsidR="003B7B55" w:rsidRDefault="003B7B55" w:rsidP="00515688">
      <w:pPr>
        <w:spacing w:before="0" w:after="0"/>
        <w:ind w:right="187"/>
        <w:jc w:val="both"/>
        <w:rPr>
          <w:rFonts w:cs="Arial"/>
          <w:b/>
          <w:bCs/>
        </w:rPr>
      </w:pPr>
    </w:p>
    <w:p w14:paraId="0ED720D7" w14:textId="1A48CC63" w:rsidR="005B4E20" w:rsidRDefault="00515688" w:rsidP="00515688">
      <w:pPr>
        <w:spacing w:before="0" w:after="0"/>
        <w:ind w:right="187"/>
        <w:jc w:val="both"/>
        <w:rPr>
          <w:rFonts w:ascii="Arial" w:hAnsi="Arial" w:cs="Arial"/>
          <w:sz w:val="22"/>
        </w:rPr>
      </w:pPr>
      <w:r>
        <w:rPr>
          <w:rFonts w:ascii="Arial" w:hAnsi="Arial" w:cs="Arial"/>
          <w:b/>
          <w:bCs/>
          <w:sz w:val="22"/>
        </w:rPr>
        <w:t>Warsaw</w:t>
      </w:r>
      <w:r w:rsidR="003B7B55">
        <w:rPr>
          <w:rFonts w:ascii="Arial" w:hAnsi="Arial" w:cs="Arial"/>
          <w:b/>
          <w:bCs/>
          <w:sz w:val="22"/>
        </w:rPr>
        <w:t xml:space="preserve">, </w:t>
      </w:r>
      <w:r>
        <w:rPr>
          <w:rFonts w:ascii="Arial" w:hAnsi="Arial" w:cs="Arial"/>
          <w:b/>
          <w:bCs/>
          <w:sz w:val="22"/>
        </w:rPr>
        <w:t>April</w:t>
      </w:r>
      <w:r w:rsidR="00351968">
        <w:rPr>
          <w:rFonts w:ascii="Arial" w:hAnsi="Arial" w:cs="Arial"/>
          <w:b/>
          <w:bCs/>
          <w:sz w:val="22"/>
        </w:rPr>
        <w:t xml:space="preserve"> </w:t>
      </w:r>
      <w:r w:rsidR="00651B06">
        <w:rPr>
          <w:rFonts w:ascii="Arial" w:hAnsi="Arial" w:cs="Arial"/>
          <w:b/>
          <w:bCs/>
          <w:sz w:val="22"/>
        </w:rPr>
        <w:t>3</w:t>
      </w:r>
      <w:r w:rsidR="00351968">
        <w:rPr>
          <w:rFonts w:ascii="Arial" w:hAnsi="Arial" w:cs="Arial"/>
          <w:b/>
          <w:bCs/>
          <w:sz w:val="22"/>
        </w:rPr>
        <w:t>,</w:t>
      </w:r>
      <w:r w:rsidR="003B7B55">
        <w:rPr>
          <w:rFonts w:ascii="Arial" w:hAnsi="Arial" w:cs="Arial"/>
          <w:b/>
          <w:bCs/>
          <w:sz w:val="22"/>
        </w:rPr>
        <w:t xml:space="preserve"> 20</w:t>
      </w:r>
      <w:r w:rsidR="00685822">
        <w:rPr>
          <w:rFonts w:ascii="Arial" w:hAnsi="Arial" w:cs="Arial"/>
          <w:b/>
          <w:bCs/>
          <w:sz w:val="22"/>
        </w:rPr>
        <w:t>20</w:t>
      </w:r>
      <w:r w:rsidR="003B7B55">
        <w:rPr>
          <w:rFonts w:ascii="Arial" w:hAnsi="Arial" w:cs="Arial"/>
          <w:b/>
          <w:bCs/>
          <w:sz w:val="22"/>
        </w:rPr>
        <w:t xml:space="preserve"> </w:t>
      </w:r>
      <w:r w:rsidR="003B7B55">
        <w:rPr>
          <w:rFonts w:ascii="Arial" w:hAnsi="Arial" w:cs="Arial"/>
          <w:sz w:val="22"/>
        </w:rPr>
        <w:t>–</w:t>
      </w:r>
      <w:r w:rsidR="005B4E20" w:rsidRPr="005B4E20">
        <w:rPr>
          <w:rFonts w:ascii="Arial" w:eastAsia="Times New Roman" w:hAnsi="Arial" w:cs="Arial"/>
          <w:color w:val="000000"/>
          <w:szCs w:val="20"/>
          <w:lang w:val="en-US"/>
        </w:rPr>
        <w:t xml:space="preserve"> </w:t>
      </w:r>
      <w:bookmarkStart w:id="1" w:name="_Hlk36462438"/>
      <w:r w:rsidR="005B4E20" w:rsidRPr="00285743">
        <w:rPr>
          <w:rFonts w:ascii="Arial" w:eastAsia="Times New Roman" w:hAnsi="Arial" w:cs="Arial"/>
          <w:color w:val="000000"/>
          <w:sz w:val="22"/>
          <w:lang w:val="en-US"/>
        </w:rPr>
        <w:t xml:space="preserve">The  </w:t>
      </w:r>
      <w:hyperlink r:id="rId9" w:tgtFrame="_blank" w:history="1">
        <w:r w:rsidR="005B4E20" w:rsidRPr="00285743">
          <w:rPr>
            <w:rStyle w:val="Strong"/>
            <w:rFonts w:ascii="Arial" w:eastAsia="Times New Roman" w:hAnsi="Arial" w:cs="Arial"/>
            <w:color w:val="0093D0"/>
            <w:sz w:val="22"/>
            <w:u w:val="single"/>
            <w:lang w:val="en-US"/>
          </w:rPr>
          <w:t>information pack</w:t>
        </w:r>
      </w:hyperlink>
      <w:bookmarkEnd w:id="1"/>
      <w:r w:rsidR="003B7B55">
        <w:rPr>
          <w:rFonts w:ascii="Arial" w:hAnsi="Arial" w:cs="Arial"/>
          <w:sz w:val="22"/>
        </w:rPr>
        <w:t xml:space="preserve"> </w:t>
      </w:r>
      <w:r w:rsidR="005B4E20">
        <w:rPr>
          <w:rFonts w:ascii="Arial" w:hAnsi="Arial" w:cs="Arial"/>
          <w:sz w:val="22"/>
        </w:rPr>
        <w:t xml:space="preserve">is the continuation of Colliers </w:t>
      </w:r>
      <w:r w:rsidR="005B4E20" w:rsidRPr="00285743">
        <w:rPr>
          <w:rFonts w:ascii="Arial" w:hAnsi="Arial" w:cs="Arial"/>
          <w:sz w:val="22"/>
        </w:rPr>
        <w:t>International’</w:t>
      </w:r>
      <w:r w:rsidR="005B4E20" w:rsidRPr="00285743">
        <w:rPr>
          <w:rFonts w:ascii="Arial" w:eastAsia="Times New Roman" w:hAnsi="Arial" w:cs="Arial"/>
          <w:color w:val="000000"/>
          <w:sz w:val="22"/>
          <w:lang w:val="en-US"/>
        </w:rPr>
        <w:t xml:space="preserve"> </w:t>
      </w:r>
      <w:hyperlink r:id="rId10" w:tgtFrame="_blank" w:history="1">
        <w:r w:rsidR="005B4E20" w:rsidRPr="00D919CC">
          <w:rPr>
            <w:rStyle w:val="Strong"/>
            <w:rFonts w:ascii="Arial" w:eastAsia="Times New Roman" w:hAnsi="Arial" w:cs="Arial"/>
            <w:color w:val="0093D0"/>
            <w:sz w:val="22"/>
            <w:u w:val="single"/>
            <w:lang w:val="en-US"/>
          </w:rPr>
          <w:t>Special Insight Series</w:t>
        </w:r>
        <w:r w:rsidR="005B4E20" w:rsidRPr="00D919CC">
          <w:rPr>
            <w:rStyle w:val="Hyperlink"/>
            <w:rFonts w:ascii="Arial" w:eastAsia="Times New Roman" w:hAnsi="Arial" w:cs="Arial"/>
            <w:color w:val="0093D0"/>
            <w:sz w:val="22"/>
            <w:lang w:val="en-US"/>
          </w:rPr>
          <w:t xml:space="preserve"> - </w:t>
        </w:r>
      </w:hyperlink>
      <w:hyperlink r:id="rId11" w:tgtFrame="_blank" w:history="1">
        <w:r w:rsidR="005B4E20" w:rsidRPr="00D919CC">
          <w:rPr>
            <w:rStyle w:val="Hyperlink"/>
            <w:rFonts w:ascii="Arial" w:eastAsia="Times New Roman" w:hAnsi="Arial" w:cs="Arial"/>
            <w:color w:val="0093D0"/>
            <w:sz w:val="22"/>
            <w:lang w:val="en-US"/>
          </w:rPr>
          <w:t>Opportunities and Challenges in Extraordinary Times</w:t>
        </w:r>
      </w:hyperlink>
      <w:r w:rsidR="005B4E20" w:rsidRPr="00D919CC">
        <w:rPr>
          <w:rStyle w:val="Strong"/>
          <w:rFonts w:ascii="Arial" w:eastAsia="Times New Roman" w:hAnsi="Arial" w:cs="Arial"/>
          <w:color w:val="000000"/>
          <w:sz w:val="22"/>
          <w:lang w:val="en-US"/>
        </w:rPr>
        <w:t>.</w:t>
      </w:r>
      <w:r w:rsidR="00285743" w:rsidRPr="00D919CC">
        <w:rPr>
          <w:rStyle w:val="Strong"/>
          <w:rFonts w:ascii="Arial" w:eastAsia="Times New Roman" w:hAnsi="Arial" w:cs="Arial"/>
          <w:color w:val="000000"/>
          <w:sz w:val="22"/>
          <w:lang w:val="en-US"/>
        </w:rPr>
        <w:t xml:space="preserve"> </w:t>
      </w:r>
      <w:r w:rsidR="00952FA1" w:rsidRPr="00D919CC">
        <w:rPr>
          <w:rFonts w:ascii="Arial" w:hAnsi="Arial" w:cs="Arial"/>
          <w:sz w:val="22"/>
        </w:rPr>
        <w:t xml:space="preserve">The aim of the </w:t>
      </w:r>
      <w:r w:rsidR="00A27137">
        <w:rPr>
          <w:rFonts w:ascii="Arial" w:hAnsi="Arial" w:cs="Arial"/>
          <w:sz w:val="22"/>
        </w:rPr>
        <w:t>Infographic</w:t>
      </w:r>
      <w:r w:rsidR="00952FA1" w:rsidRPr="00D919CC">
        <w:rPr>
          <w:rFonts w:ascii="Arial" w:hAnsi="Arial" w:cs="Arial"/>
          <w:sz w:val="22"/>
        </w:rPr>
        <w:t xml:space="preserve"> Pack is</w:t>
      </w:r>
      <w:r w:rsidR="00952FA1" w:rsidRPr="00285743">
        <w:rPr>
          <w:rFonts w:ascii="Arial" w:hAnsi="Arial" w:cs="Arial"/>
          <w:sz w:val="22"/>
        </w:rPr>
        <w:t xml:space="preserve"> to provide </w:t>
      </w:r>
      <w:r w:rsidR="003652D4" w:rsidRPr="00285743">
        <w:rPr>
          <w:rFonts w:ascii="Arial" w:hAnsi="Arial" w:cs="Arial"/>
          <w:sz w:val="22"/>
        </w:rPr>
        <w:t>our Clients, Partners and</w:t>
      </w:r>
      <w:r w:rsidR="003652D4">
        <w:rPr>
          <w:rFonts w:ascii="Arial" w:hAnsi="Arial" w:cs="Arial"/>
          <w:sz w:val="22"/>
        </w:rPr>
        <w:t xml:space="preserve"> Media with </w:t>
      </w:r>
      <w:r w:rsidR="00A72479">
        <w:rPr>
          <w:rFonts w:ascii="Arial" w:hAnsi="Arial" w:cs="Arial"/>
          <w:sz w:val="22"/>
        </w:rPr>
        <w:t xml:space="preserve">regularly updated </w:t>
      </w:r>
      <w:r w:rsidR="00952FA1">
        <w:rPr>
          <w:rFonts w:ascii="Arial" w:hAnsi="Arial" w:cs="Arial"/>
          <w:sz w:val="22"/>
        </w:rPr>
        <w:t xml:space="preserve">data and </w:t>
      </w:r>
      <w:r w:rsidR="00952FA1" w:rsidRPr="00952FA1">
        <w:rPr>
          <w:rFonts w:ascii="Arial" w:hAnsi="Arial" w:cs="Arial"/>
          <w:sz w:val="22"/>
        </w:rPr>
        <w:t>market sentiment</w:t>
      </w:r>
      <w:r w:rsidR="003652D4">
        <w:rPr>
          <w:rFonts w:ascii="Arial" w:hAnsi="Arial" w:cs="Arial"/>
          <w:sz w:val="22"/>
        </w:rPr>
        <w:t>. The document contains</w:t>
      </w:r>
      <w:r w:rsidR="00A72479">
        <w:rPr>
          <w:rFonts w:ascii="Arial" w:hAnsi="Arial" w:cs="Arial"/>
          <w:sz w:val="22"/>
        </w:rPr>
        <w:t xml:space="preserve">, among others, the present data for stock, supply, rents, yields, </w:t>
      </w:r>
      <w:r w:rsidR="001B4847">
        <w:rPr>
          <w:rFonts w:ascii="Arial" w:hAnsi="Arial" w:cs="Arial"/>
          <w:sz w:val="22"/>
        </w:rPr>
        <w:t xml:space="preserve">and </w:t>
      </w:r>
      <w:r w:rsidR="00A72479">
        <w:rPr>
          <w:rFonts w:ascii="Arial" w:hAnsi="Arial" w:cs="Arial"/>
          <w:sz w:val="22"/>
        </w:rPr>
        <w:t xml:space="preserve">demand for </w:t>
      </w:r>
      <w:r w:rsidR="00651B06">
        <w:rPr>
          <w:rFonts w:ascii="Arial" w:hAnsi="Arial" w:cs="Arial"/>
          <w:sz w:val="22"/>
        </w:rPr>
        <w:t xml:space="preserve">all property sectors in </w:t>
      </w:r>
      <w:r w:rsidR="00A27137">
        <w:rPr>
          <w:rFonts w:ascii="Arial" w:hAnsi="Arial" w:cs="Arial"/>
          <w:sz w:val="22"/>
        </w:rPr>
        <w:t xml:space="preserve">a number of markets across the </w:t>
      </w:r>
      <w:r w:rsidR="00A72479">
        <w:rPr>
          <w:rFonts w:ascii="Arial" w:hAnsi="Arial" w:cs="Arial"/>
          <w:sz w:val="22"/>
        </w:rPr>
        <w:t xml:space="preserve">CEE </w:t>
      </w:r>
      <w:r w:rsidR="00A27137">
        <w:rPr>
          <w:rFonts w:ascii="Arial" w:hAnsi="Arial" w:cs="Arial"/>
          <w:sz w:val="22"/>
        </w:rPr>
        <w:t>region.</w:t>
      </w:r>
      <w:r w:rsidR="00A72479">
        <w:rPr>
          <w:rFonts w:ascii="Arial" w:hAnsi="Arial" w:cs="Arial"/>
          <w:sz w:val="22"/>
        </w:rPr>
        <w:t xml:space="preserve"> </w:t>
      </w:r>
    </w:p>
    <w:p w14:paraId="7915124E" w14:textId="2EAC9AB4" w:rsidR="00651B06" w:rsidRDefault="00651B06" w:rsidP="00515688">
      <w:pPr>
        <w:spacing w:before="0" w:after="0"/>
        <w:ind w:right="187"/>
        <w:jc w:val="both"/>
        <w:rPr>
          <w:rFonts w:ascii="Arial" w:hAnsi="Arial" w:cs="Arial"/>
          <w:sz w:val="22"/>
        </w:rPr>
      </w:pPr>
    </w:p>
    <w:p w14:paraId="06B040A4" w14:textId="75D5A417" w:rsidR="008F5D1A" w:rsidRPr="00515688" w:rsidRDefault="005B04EB" w:rsidP="00515688">
      <w:pPr>
        <w:spacing w:before="0" w:after="0"/>
        <w:ind w:right="187"/>
        <w:jc w:val="both"/>
        <w:rPr>
          <w:rFonts w:ascii="Arial" w:hAnsi="Arial" w:cs="Arial"/>
          <w:sz w:val="22"/>
        </w:rPr>
      </w:pPr>
      <w:r w:rsidRPr="00515688">
        <w:rPr>
          <w:rFonts w:ascii="Arial" w:hAnsi="Arial" w:cs="Arial"/>
          <w:b/>
          <w:bCs/>
          <w:sz w:val="22"/>
        </w:rPr>
        <w:t>Kevin Turpin</w:t>
      </w:r>
      <w:r w:rsidRPr="005B04EB">
        <w:rPr>
          <w:rFonts w:ascii="Arial" w:hAnsi="Arial" w:cs="Arial"/>
          <w:sz w:val="22"/>
        </w:rPr>
        <w:t xml:space="preserve">, Regional Director of Research | CEE </w:t>
      </w:r>
      <w:r>
        <w:rPr>
          <w:rFonts w:ascii="Arial" w:hAnsi="Arial" w:cs="Arial"/>
          <w:sz w:val="22"/>
        </w:rPr>
        <w:t>adds:</w:t>
      </w:r>
      <w:r w:rsidR="00030D10">
        <w:rPr>
          <w:rFonts w:ascii="Arial" w:hAnsi="Arial" w:cs="Arial"/>
          <w:sz w:val="22"/>
        </w:rPr>
        <w:t xml:space="preserve"> </w:t>
      </w:r>
      <w:r>
        <w:rPr>
          <w:rFonts w:ascii="Arial" w:hAnsi="Arial" w:cs="Arial"/>
          <w:sz w:val="22"/>
        </w:rPr>
        <w:t>“</w:t>
      </w:r>
      <w:r w:rsidR="00651B06">
        <w:rPr>
          <w:rFonts w:ascii="Arial" w:hAnsi="Arial" w:cs="Arial"/>
          <w:sz w:val="22"/>
        </w:rPr>
        <w:t>Apart from the</w:t>
      </w:r>
      <w:r w:rsidR="001B4847">
        <w:rPr>
          <w:rFonts w:ascii="Arial" w:hAnsi="Arial" w:cs="Arial"/>
          <w:sz w:val="22"/>
        </w:rPr>
        <w:t>se</w:t>
      </w:r>
      <w:r w:rsidR="00651B06">
        <w:rPr>
          <w:rFonts w:ascii="Arial" w:hAnsi="Arial" w:cs="Arial"/>
          <w:sz w:val="22"/>
        </w:rPr>
        <w:t xml:space="preserve"> factual data and market parameters we also present information related to the measures</w:t>
      </w:r>
      <w:r w:rsidR="001B4847">
        <w:rPr>
          <w:rFonts w:ascii="Arial" w:hAnsi="Arial" w:cs="Arial"/>
          <w:sz w:val="22"/>
        </w:rPr>
        <w:t xml:space="preserve"> on people and business, support of local governments, trends and outlook for the CEE real estate sectors during these unprecedented times.</w:t>
      </w:r>
      <w:r>
        <w:rPr>
          <w:rFonts w:ascii="Arial" w:hAnsi="Arial" w:cs="Arial"/>
          <w:sz w:val="22"/>
        </w:rPr>
        <w:t>”</w:t>
      </w:r>
      <w:r w:rsidR="001B4847">
        <w:rPr>
          <w:rFonts w:ascii="Arial" w:hAnsi="Arial" w:cs="Arial"/>
          <w:sz w:val="22"/>
        </w:rPr>
        <w:t xml:space="preserve"> </w:t>
      </w:r>
    </w:p>
    <w:p w14:paraId="5B20D5A8" w14:textId="77777777" w:rsidR="00A27137" w:rsidRDefault="00A27137" w:rsidP="00515688">
      <w:pPr>
        <w:spacing w:before="0" w:after="0" w:line="240" w:lineRule="auto"/>
        <w:jc w:val="both"/>
        <w:rPr>
          <w:rFonts w:ascii="Arial" w:eastAsia="Times New Roman" w:hAnsi="Arial" w:cs="Arial"/>
          <w:color w:val="auto"/>
          <w:sz w:val="22"/>
          <w:lang w:val="en-US"/>
        </w:rPr>
      </w:pPr>
    </w:p>
    <w:p w14:paraId="4C9E0BA2" w14:textId="2420A039" w:rsidR="006C10D0" w:rsidRPr="00515688" w:rsidRDefault="00A72479" w:rsidP="00515688">
      <w:pPr>
        <w:jc w:val="both"/>
        <w:rPr>
          <w:rFonts w:ascii="Arial" w:hAnsi="Arial" w:cs="Arial"/>
          <w:b/>
          <w:bCs/>
          <w:sz w:val="22"/>
        </w:rPr>
      </w:pPr>
      <w:r w:rsidRPr="00515688">
        <w:rPr>
          <w:rFonts w:ascii="Arial" w:hAnsi="Arial" w:cs="Arial"/>
          <w:b/>
          <w:bCs/>
          <w:sz w:val="22"/>
        </w:rPr>
        <w:t>The key messages include:</w:t>
      </w:r>
      <w:r w:rsidR="006C10D0" w:rsidRPr="00515688">
        <w:rPr>
          <w:rFonts w:ascii="Arial" w:hAnsi="Arial" w:cs="Arial"/>
          <w:b/>
          <w:bCs/>
          <w:sz w:val="22"/>
        </w:rPr>
        <w:t> </w:t>
      </w:r>
    </w:p>
    <w:p w14:paraId="66312F93" w14:textId="77777777"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CEE countries were some of the first to implement restrictive measures on people and business and have therefore seen relatively low case numbers to date. We obviously hope this remains to be the case but, the lack of tests in many markets may make these numbers misleading.</w:t>
      </w:r>
      <w:r w:rsidRPr="00651B06">
        <w:rPr>
          <w:rFonts w:ascii="Arial" w:hAnsi="Arial" w:cs="Arial"/>
          <w:sz w:val="22"/>
        </w:rPr>
        <w:br/>
        <w:t> </w:t>
      </w:r>
    </w:p>
    <w:p w14:paraId="07FAFF8F" w14:textId="77777777"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Regional Governments have been under immense pressure to announce and deploy measures to aid and support people, business and economies. These are now begin to materialize and will adapt over time but, they will also take time to deliver at this scale.</w:t>
      </w:r>
      <w:r w:rsidRPr="00651B06">
        <w:rPr>
          <w:rFonts w:ascii="Arial" w:hAnsi="Arial" w:cs="Arial"/>
          <w:sz w:val="22"/>
        </w:rPr>
        <w:br/>
        <w:t> </w:t>
      </w:r>
    </w:p>
    <w:p w14:paraId="432ACCAB" w14:textId="77777777"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CEE economies are under unprecedented pressure after many years of solid growth. Although the severity will be determined by the length of the pandemic and subsequent recovery, all economies will see a decline or fall into a recession in 2020.</w:t>
      </w:r>
      <w:r w:rsidRPr="00651B06">
        <w:rPr>
          <w:rFonts w:ascii="Arial" w:hAnsi="Arial" w:cs="Arial"/>
          <w:sz w:val="22"/>
        </w:rPr>
        <w:br/>
        <w:t> </w:t>
      </w:r>
    </w:p>
    <w:p w14:paraId="5BFA8D0B" w14:textId="77777777"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Regional office markets were coming off the back of a strong growth period. It will be essential for landlords, tenants and all involved to find ways of working through the situation. The majority of employees work remotely, while construction delays are anticipated.</w:t>
      </w:r>
      <w:r w:rsidRPr="00651B06">
        <w:rPr>
          <w:rFonts w:ascii="Arial" w:hAnsi="Arial" w:cs="Arial"/>
          <w:sz w:val="22"/>
        </w:rPr>
        <w:br/>
        <w:t> </w:t>
      </w:r>
    </w:p>
    <w:p w14:paraId="3601BF6E" w14:textId="7A670C4E"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CEE retail markets are facing the worst of the restrictive measures to avoid the spread of the virus. All non-essential brick and mortar retail, F&amp;B, entertainment, DIY, etc, have been closed. E-commerce platforms, particularly food, are thriving and adapting to a huge spike in demand.</w:t>
      </w:r>
      <w:r w:rsidRPr="00651B06">
        <w:rPr>
          <w:rFonts w:ascii="Arial" w:hAnsi="Arial" w:cs="Arial"/>
          <w:sz w:val="22"/>
        </w:rPr>
        <w:br/>
        <w:t> </w:t>
      </w:r>
    </w:p>
    <w:p w14:paraId="7C19B008" w14:textId="77777777" w:rsidR="006C10D0" w:rsidRPr="00651B06"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lastRenderedPageBreak/>
        <w:t>Regional industry is also facing difficult challenges as the automotive industry effectively halts production alongside suppliers and others. Where possible, some manufacturers have adapted production to heavily demanded equipment and products for medical and hygiene uses.</w:t>
      </w:r>
      <w:r w:rsidRPr="00651B06">
        <w:rPr>
          <w:rFonts w:ascii="Arial" w:hAnsi="Arial" w:cs="Arial"/>
          <w:sz w:val="22"/>
        </w:rPr>
        <w:br/>
        <w:t> </w:t>
      </w:r>
    </w:p>
    <w:p w14:paraId="00831148" w14:textId="17003C15" w:rsidR="006C10D0" w:rsidRDefault="006C10D0" w:rsidP="00515688">
      <w:pPr>
        <w:numPr>
          <w:ilvl w:val="0"/>
          <w:numId w:val="49"/>
        </w:numPr>
        <w:spacing w:before="100" w:beforeAutospacing="1" w:after="100" w:afterAutospacing="1" w:line="240" w:lineRule="auto"/>
        <w:jc w:val="both"/>
        <w:rPr>
          <w:rFonts w:ascii="Arial" w:hAnsi="Arial" w:cs="Arial"/>
          <w:sz w:val="22"/>
        </w:rPr>
      </w:pPr>
      <w:r w:rsidRPr="00651B06">
        <w:rPr>
          <w:rFonts w:ascii="Arial" w:hAnsi="Arial" w:cs="Arial"/>
          <w:sz w:val="22"/>
        </w:rPr>
        <w:t>CEE logistics are going ballistic as e-commerce operators and distributors adapt to keep supply chains running smoothly as demand spikes from people and business operating under very different circumstances. Additional, short term storage/processing solutions are therefore in higher demand.</w:t>
      </w:r>
    </w:p>
    <w:p w14:paraId="7E005CFB" w14:textId="3DDBB474" w:rsidR="00285743" w:rsidRPr="004E2D16" w:rsidRDefault="00D919CC" w:rsidP="00515688">
      <w:pPr>
        <w:spacing w:before="0" w:after="0"/>
        <w:ind w:right="187"/>
        <w:jc w:val="both"/>
        <w:rPr>
          <w:rFonts w:ascii="Arial" w:hAnsi="Arial" w:cs="Arial"/>
          <w:sz w:val="22"/>
        </w:rPr>
      </w:pPr>
      <w:r w:rsidRPr="00285743">
        <w:rPr>
          <w:rFonts w:ascii="Arial" w:eastAsia="Times New Roman" w:hAnsi="Arial" w:cs="Arial"/>
          <w:color w:val="000000"/>
          <w:sz w:val="22"/>
          <w:lang w:val="en-US"/>
        </w:rPr>
        <w:t xml:space="preserve">The  </w:t>
      </w:r>
      <w:hyperlink r:id="rId12" w:tgtFrame="_blank" w:history="1">
        <w:r w:rsidRPr="00285743">
          <w:rPr>
            <w:rStyle w:val="Strong"/>
            <w:rFonts w:ascii="Arial" w:eastAsia="Times New Roman" w:hAnsi="Arial" w:cs="Arial"/>
            <w:color w:val="0093D0"/>
            <w:sz w:val="22"/>
            <w:u w:val="single"/>
            <w:lang w:val="en-US"/>
          </w:rPr>
          <w:t>info</w:t>
        </w:r>
        <w:r w:rsidR="00A27137">
          <w:rPr>
            <w:rStyle w:val="Strong"/>
            <w:rFonts w:ascii="Arial" w:eastAsia="Times New Roman" w:hAnsi="Arial" w:cs="Arial"/>
            <w:color w:val="0093D0"/>
            <w:sz w:val="22"/>
            <w:u w:val="single"/>
            <w:lang w:val="en-US"/>
          </w:rPr>
          <w:t>graphic</w:t>
        </w:r>
        <w:r w:rsidRPr="00285743">
          <w:rPr>
            <w:rStyle w:val="Strong"/>
            <w:rFonts w:ascii="Arial" w:eastAsia="Times New Roman" w:hAnsi="Arial" w:cs="Arial"/>
            <w:color w:val="0093D0"/>
            <w:sz w:val="22"/>
            <w:u w:val="single"/>
            <w:lang w:val="en-US"/>
          </w:rPr>
          <w:t xml:space="preserve"> pack</w:t>
        </w:r>
      </w:hyperlink>
      <w:r>
        <w:rPr>
          <w:rFonts w:ascii="Arial" w:eastAsia="Times New Roman" w:hAnsi="Arial" w:cs="Arial"/>
          <w:color w:val="000000"/>
          <w:sz w:val="22"/>
        </w:rPr>
        <w:t xml:space="preserve"> is the part of Collier</w:t>
      </w:r>
      <w:r w:rsidR="00285743" w:rsidRPr="004E2D16">
        <w:rPr>
          <w:rFonts w:ascii="Arial" w:eastAsia="Times New Roman" w:hAnsi="Arial" w:cs="Arial"/>
          <w:color w:val="auto"/>
          <w:sz w:val="22"/>
          <w:lang w:val="en-US"/>
        </w:rPr>
        <w:t xml:space="preserve">s International </w:t>
      </w:r>
      <w:hyperlink r:id="rId13" w:history="1">
        <w:r w:rsidR="00285743" w:rsidRPr="004E2D16">
          <w:rPr>
            <w:rFonts w:ascii="Arial" w:eastAsia="Times New Roman" w:hAnsi="Arial" w:cs="Arial"/>
            <w:color w:val="0563C1"/>
            <w:sz w:val="22"/>
            <w:u w:val="single"/>
            <w:lang w:val="en-US"/>
          </w:rPr>
          <w:t>microsite</w:t>
        </w:r>
      </w:hyperlink>
      <w:r w:rsidR="00285743" w:rsidRPr="004E2D16">
        <w:rPr>
          <w:rFonts w:ascii="Arial" w:eastAsia="Times New Roman" w:hAnsi="Arial" w:cs="Arial"/>
          <w:color w:val="auto"/>
          <w:sz w:val="22"/>
          <w:lang w:val="en-US"/>
        </w:rPr>
        <w:t xml:space="preserve"> </w:t>
      </w:r>
      <w:r>
        <w:rPr>
          <w:rFonts w:ascii="Arial" w:eastAsia="Times New Roman" w:hAnsi="Arial" w:cs="Arial"/>
          <w:color w:val="auto"/>
          <w:sz w:val="22"/>
          <w:lang w:val="en-US"/>
        </w:rPr>
        <w:t>which</w:t>
      </w:r>
      <w:r w:rsidR="00285743" w:rsidRPr="004E2D16">
        <w:rPr>
          <w:rFonts w:ascii="Arial" w:eastAsia="Times New Roman" w:hAnsi="Arial" w:cs="Arial"/>
          <w:color w:val="auto"/>
          <w:sz w:val="22"/>
          <w:lang w:val="en-US"/>
        </w:rPr>
        <w:t xml:space="preserve"> provide</w:t>
      </w:r>
      <w:r>
        <w:rPr>
          <w:rFonts w:ascii="Arial" w:eastAsia="Times New Roman" w:hAnsi="Arial" w:cs="Arial"/>
          <w:color w:val="auto"/>
          <w:sz w:val="22"/>
          <w:lang w:val="en-US"/>
        </w:rPr>
        <w:t>s</w:t>
      </w:r>
      <w:r w:rsidR="00285743" w:rsidRPr="004E2D16">
        <w:rPr>
          <w:rFonts w:ascii="Arial" w:eastAsia="Times New Roman" w:hAnsi="Arial" w:cs="Arial"/>
          <w:color w:val="auto"/>
          <w:sz w:val="22"/>
          <w:lang w:val="en-US"/>
        </w:rPr>
        <w:t xml:space="preserve"> insight and recommendations for business during the COVID-19 global pandemic. </w:t>
      </w:r>
    </w:p>
    <w:p w14:paraId="057CD5BF" w14:textId="568612C8" w:rsidR="008F5D1A" w:rsidRPr="008F5D1A" w:rsidRDefault="008F5D1A" w:rsidP="00515688">
      <w:pPr>
        <w:spacing w:before="0" w:after="0" w:line="240" w:lineRule="auto"/>
        <w:jc w:val="both"/>
        <w:rPr>
          <w:rFonts w:ascii="Arial" w:eastAsia="Calibri" w:hAnsi="Arial" w:cs="Arial"/>
          <w:color w:val="auto"/>
          <w:sz w:val="22"/>
        </w:rPr>
      </w:pPr>
    </w:p>
    <w:p w14:paraId="337D4219" w14:textId="62DD05A8" w:rsidR="003B7B55" w:rsidRPr="00515688" w:rsidRDefault="003B7B55" w:rsidP="00515688">
      <w:pPr>
        <w:spacing w:line="360" w:lineRule="auto"/>
        <w:ind w:right="180"/>
        <w:jc w:val="center"/>
        <w:rPr>
          <w:rFonts w:ascii="Arial" w:hAnsi="Arial" w:cs="Arial"/>
          <w:sz w:val="18"/>
          <w:szCs w:val="18"/>
        </w:rPr>
      </w:pPr>
      <w:r w:rsidRPr="00515688">
        <w:rPr>
          <w:rFonts w:ascii="Arial" w:hAnsi="Arial" w:cs="Arial"/>
          <w:sz w:val="18"/>
          <w:szCs w:val="18"/>
        </w:rPr>
        <w:t xml:space="preserve">-- End </w:t>
      </w:r>
      <w:r w:rsidR="00515688" w:rsidRPr="00515688">
        <w:rPr>
          <w:rFonts w:ascii="Arial" w:hAnsi="Arial" w:cs="Arial"/>
          <w:sz w:val="18"/>
          <w:szCs w:val="18"/>
        </w:rPr>
        <w:t>–</w:t>
      </w:r>
    </w:p>
    <w:p w14:paraId="117FBD42" w14:textId="77777777" w:rsidR="00515688" w:rsidRPr="00515688" w:rsidRDefault="00515688" w:rsidP="00515688">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515688">
        <w:rPr>
          <w:rFonts w:ascii="Arial" w:eastAsia="Calibri" w:hAnsi="Arial" w:cs="Arial"/>
          <w:b/>
          <w:bCs/>
          <w:color w:val="000000"/>
          <w:sz w:val="18"/>
          <w:szCs w:val="18"/>
          <w:lang w:eastAsia="en-GB"/>
        </w:rPr>
        <w:t>About Colliers International</w:t>
      </w:r>
      <w:r w:rsidRPr="00515688">
        <w:rPr>
          <w:rFonts w:ascii="Arial" w:eastAsia="Calibri" w:hAnsi="Arial" w:cs="Arial"/>
          <w:b/>
          <w:color w:val="000000"/>
          <w:sz w:val="18"/>
          <w:szCs w:val="18"/>
          <w:lang w:eastAsia="en-GB"/>
        </w:rPr>
        <w:br/>
      </w:r>
    </w:p>
    <w:p w14:paraId="6C8C45B2" w14:textId="77777777" w:rsidR="00515688" w:rsidRPr="00515688" w:rsidRDefault="00515688" w:rsidP="00515688">
      <w:pPr>
        <w:suppressAutoHyphens/>
        <w:autoSpaceDE w:val="0"/>
        <w:autoSpaceDN w:val="0"/>
        <w:spacing w:before="0" w:after="0" w:line="240" w:lineRule="auto"/>
        <w:jc w:val="both"/>
        <w:textAlignment w:val="baseline"/>
        <w:rPr>
          <w:sz w:val="18"/>
          <w:szCs w:val="18"/>
        </w:rPr>
      </w:pPr>
      <w:r w:rsidRPr="00515688">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4" w:history="1">
        <w:r w:rsidRPr="00515688">
          <w:rPr>
            <w:rStyle w:val="Hyperlink"/>
            <w:sz w:val="18"/>
            <w:szCs w:val="18"/>
          </w:rPr>
          <w:t>corporate.colliers.com</w:t>
        </w:r>
      </w:hyperlink>
      <w:r w:rsidRPr="00515688">
        <w:rPr>
          <w:sz w:val="18"/>
          <w:szCs w:val="18"/>
        </w:rPr>
        <w:t xml:space="preserve">, Twitter </w:t>
      </w:r>
      <w:hyperlink r:id="rId15" w:history="1">
        <w:r w:rsidRPr="00515688">
          <w:rPr>
            <w:rStyle w:val="Hyperlink"/>
            <w:sz w:val="18"/>
            <w:szCs w:val="18"/>
          </w:rPr>
          <w:t>@Colliers</w:t>
        </w:r>
      </w:hyperlink>
      <w:r w:rsidRPr="00515688">
        <w:rPr>
          <w:sz w:val="18"/>
          <w:szCs w:val="18"/>
        </w:rPr>
        <w:t xml:space="preserve"> or </w:t>
      </w:r>
      <w:hyperlink r:id="rId16" w:history="1">
        <w:r w:rsidRPr="00515688">
          <w:rPr>
            <w:rStyle w:val="Hyperlink"/>
            <w:sz w:val="18"/>
            <w:szCs w:val="18"/>
          </w:rPr>
          <w:t>LinkedIn</w:t>
        </w:r>
      </w:hyperlink>
      <w:r w:rsidRPr="00515688">
        <w:rPr>
          <w:sz w:val="18"/>
          <w:szCs w:val="18"/>
        </w:rPr>
        <w:t>.</w:t>
      </w:r>
    </w:p>
    <w:p w14:paraId="5C5AAAC2" w14:textId="77777777" w:rsidR="00515688" w:rsidRPr="00515688" w:rsidRDefault="00515688" w:rsidP="00515688">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14:paraId="1D55C04D" w14:textId="77777777" w:rsidR="00515688" w:rsidRPr="00515688" w:rsidRDefault="00515688" w:rsidP="00515688">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515688">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515688">
        <w:rPr>
          <w:rFonts w:ascii="Arial" w:eastAsia="Calibri" w:hAnsi="Arial" w:cs="Arial"/>
          <w:i/>
          <w:color w:val="000000"/>
          <w:sz w:val="18"/>
          <w:szCs w:val="18"/>
          <w:lang w:eastAsia="en-GB"/>
        </w:rPr>
        <w:t>Wrocław</w:t>
      </w:r>
      <w:proofErr w:type="spellEnd"/>
      <w:r w:rsidRPr="00515688">
        <w:rPr>
          <w:rFonts w:ascii="Arial" w:eastAsia="Calibri" w:hAnsi="Arial" w:cs="Arial"/>
          <w:i/>
          <w:color w:val="000000"/>
          <w:sz w:val="18"/>
          <w:szCs w:val="18"/>
          <w:lang w:eastAsia="en-GB"/>
        </w:rPr>
        <w:t xml:space="preserve">, </w:t>
      </w:r>
      <w:proofErr w:type="spellStart"/>
      <w:r w:rsidRPr="00515688">
        <w:rPr>
          <w:rFonts w:ascii="Arial" w:eastAsia="Calibri" w:hAnsi="Arial" w:cs="Arial"/>
          <w:i/>
          <w:color w:val="000000"/>
          <w:sz w:val="18"/>
          <w:szCs w:val="18"/>
          <w:lang w:eastAsia="en-GB"/>
        </w:rPr>
        <w:t>Poznań</w:t>
      </w:r>
      <w:proofErr w:type="spellEnd"/>
      <w:r w:rsidRPr="00515688">
        <w:rPr>
          <w:rFonts w:ascii="Arial" w:eastAsia="Calibri" w:hAnsi="Arial" w:cs="Arial"/>
          <w:i/>
          <w:color w:val="000000"/>
          <w:sz w:val="18"/>
          <w:szCs w:val="18"/>
          <w:lang w:eastAsia="en-GB"/>
        </w:rPr>
        <w:t xml:space="preserve">, </w:t>
      </w:r>
      <w:proofErr w:type="spellStart"/>
      <w:r w:rsidRPr="00515688">
        <w:rPr>
          <w:rFonts w:ascii="Arial" w:eastAsia="Calibri" w:hAnsi="Arial" w:cs="Arial"/>
          <w:i/>
          <w:color w:val="000000"/>
          <w:sz w:val="18"/>
          <w:szCs w:val="18"/>
          <w:lang w:eastAsia="en-GB"/>
        </w:rPr>
        <w:t>Gdańsk</w:t>
      </w:r>
      <w:proofErr w:type="spellEnd"/>
      <w:r w:rsidRPr="00515688">
        <w:rPr>
          <w:rFonts w:ascii="Arial" w:eastAsia="Calibri" w:hAnsi="Arial" w:cs="Arial"/>
          <w:i/>
          <w:color w:val="000000"/>
          <w:sz w:val="18"/>
          <w:szCs w:val="18"/>
          <w:lang w:eastAsia="en-GB"/>
        </w:rPr>
        <w:t xml:space="preserve">, Katowice, </w:t>
      </w:r>
      <w:proofErr w:type="spellStart"/>
      <w:r w:rsidRPr="00515688">
        <w:rPr>
          <w:rFonts w:ascii="Arial" w:eastAsia="Calibri" w:hAnsi="Arial" w:cs="Arial"/>
          <w:i/>
          <w:color w:val="000000"/>
          <w:sz w:val="18"/>
          <w:szCs w:val="18"/>
          <w:lang w:eastAsia="en-GB"/>
        </w:rPr>
        <w:t>Łódź</w:t>
      </w:r>
      <w:proofErr w:type="spellEnd"/>
      <w:r w:rsidRPr="00515688">
        <w:rPr>
          <w:rFonts w:ascii="Arial" w:eastAsia="Calibri" w:hAnsi="Arial" w:cs="Arial"/>
          <w:i/>
          <w:color w:val="000000"/>
          <w:sz w:val="18"/>
          <w:szCs w:val="18"/>
          <w:lang w:eastAsia="en-GB"/>
        </w:rPr>
        <w:t xml:space="preserve"> and Lublin with 300 employees in total. The company has been often </w:t>
      </w:r>
      <w:proofErr w:type="spellStart"/>
      <w:r w:rsidRPr="00515688">
        <w:rPr>
          <w:rFonts w:ascii="Arial" w:eastAsia="Calibri" w:hAnsi="Arial" w:cs="Arial"/>
          <w:i/>
          <w:color w:val="000000"/>
          <w:sz w:val="18"/>
          <w:szCs w:val="18"/>
          <w:lang w:eastAsia="en-GB"/>
        </w:rPr>
        <w:t>honored</w:t>
      </w:r>
      <w:proofErr w:type="spellEnd"/>
      <w:r w:rsidRPr="00515688">
        <w:rPr>
          <w:rFonts w:ascii="Arial" w:eastAsia="Calibri" w:hAnsi="Arial" w:cs="Arial"/>
          <w:i/>
          <w:color w:val="000000"/>
          <w:sz w:val="18"/>
          <w:szCs w:val="18"/>
          <w:lang w:eastAsia="en-GB"/>
        </w:rPr>
        <w:t xml:space="preserve"> for its achievements by industry organizations such as </w:t>
      </w:r>
      <w:proofErr w:type="spellStart"/>
      <w:r w:rsidRPr="00515688">
        <w:rPr>
          <w:rFonts w:ascii="Arial" w:eastAsia="Calibri" w:hAnsi="Arial" w:cs="Arial"/>
          <w:i/>
          <w:color w:val="000000"/>
          <w:sz w:val="18"/>
          <w:szCs w:val="18"/>
          <w:lang w:eastAsia="en-GB"/>
        </w:rPr>
        <w:t>Eurobuild</w:t>
      </w:r>
      <w:proofErr w:type="spellEnd"/>
      <w:r w:rsidRPr="00515688">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515688">
        <w:rPr>
          <w:rFonts w:ascii="Arial" w:eastAsia="Calibri" w:hAnsi="Arial" w:cs="Arial"/>
          <w:i/>
          <w:color w:val="000000"/>
          <w:sz w:val="18"/>
          <w:szCs w:val="18"/>
          <w:lang w:eastAsia="en-GB"/>
        </w:rPr>
        <w:t>Gazele</w:t>
      </w:r>
      <w:proofErr w:type="spellEnd"/>
      <w:r w:rsidRPr="00515688">
        <w:rPr>
          <w:rFonts w:ascii="Arial" w:eastAsia="Calibri" w:hAnsi="Arial" w:cs="Arial"/>
          <w:i/>
          <w:color w:val="000000"/>
          <w:sz w:val="18"/>
          <w:szCs w:val="18"/>
          <w:lang w:eastAsia="en-GB"/>
        </w:rPr>
        <w:t xml:space="preserve"> </w:t>
      </w:r>
      <w:proofErr w:type="spellStart"/>
      <w:r w:rsidRPr="00515688">
        <w:rPr>
          <w:rFonts w:ascii="Arial" w:eastAsia="Calibri" w:hAnsi="Arial" w:cs="Arial"/>
          <w:i/>
          <w:color w:val="000000"/>
          <w:sz w:val="18"/>
          <w:szCs w:val="18"/>
          <w:lang w:eastAsia="en-GB"/>
        </w:rPr>
        <w:t>Biznesu</w:t>
      </w:r>
      <w:proofErr w:type="spellEnd"/>
      <w:r w:rsidRPr="00515688">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7" w:history="1">
        <w:r w:rsidRPr="00515688">
          <w:rPr>
            <w:rStyle w:val="Hyperlink"/>
            <w:rFonts w:ascii="Arial" w:eastAsia="Calibri" w:hAnsi="Arial" w:cs="Arial"/>
            <w:i/>
            <w:sz w:val="18"/>
            <w:szCs w:val="18"/>
            <w:lang w:eastAsia="en-GB"/>
          </w:rPr>
          <w:t>Colliers.pl</w:t>
        </w:r>
      </w:hyperlink>
      <w:r w:rsidRPr="00515688">
        <w:rPr>
          <w:rFonts w:ascii="Arial" w:eastAsia="Calibri" w:hAnsi="Arial" w:cs="Arial"/>
          <w:i/>
          <w:color w:val="000000"/>
          <w:sz w:val="18"/>
          <w:szCs w:val="18"/>
          <w:lang w:eastAsia="en-GB"/>
        </w:rPr>
        <w:t xml:space="preserve"> and our </w:t>
      </w:r>
      <w:hyperlink r:id="rId18" w:history="1">
        <w:r w:rsidRPr="00515688">
          <w:rPr>
            <w:rStyle w:val="Hyperlink"/>
            <w:rFonts w:ascii="Arial" w:eastAsia="Calibri" w:hAnsi="Arial" w:cs="Arial"/>
            <w:i/>
            <w:sz w:val="18"/>
            <w:szCs w:val="18"/>
            <w:lang w:eastAsia="en-GB"/>
          </w:rPr>
          <w:t>LinkedIn</w:t>
        </w:r>
      </w:hyperlink>
      <w:r w:rsidRPr="00515688">
        <w:rPr>
          <w:rFonts w:ascii="Arial" w:eastAsia="Calibri" w:hAnsi="Arial" w:cs="Arial"/>
          <w:i/>
          <w:color w:val="000000"/>
          <w:sz w:val="18"/>
          <w:szCs w:val="18"/>
          <w:lang w:eastAsia="en-GB"/>
        </w:rPr>
        <w:t xml:space="preserve">, </w:t>
      </w:r>
      <w:hyperlink r:id="rId19" w:history="1">
        <w:r w:rsidRPr="00515688">
          <w:rPr>
            <w:rStyle w:val="Hyperlink"/>
            <w:rFonts w:ascii="Arial" w:eastAsia="Calibri" w:hAnsi="Arial" w:cs="Arial"/>
            <w:i/>
            <w:sz w:val="18"/>
            <w:szCs w:val="18"/>
            <w:lang w:eastAsia="en-GB"/>
          </w:rPr>
          <w:t>Instagram</w:t>
        </w:r>
      </w:hyperlink>
      <w:r w:rsidRPr="00515688">
        <w:rPr>
          <w:rFonts w:ascii="Arial" w:eastAsia="Calibri" w:hAnsi="Arial" w:cs="Arial"/>
          <w:i/>
          <w:color w:val="000000"/>
          <w:sz w:val="18"/>
          <w:szCs w:val="18"/>
          <w:lang w:eastAsia="en-GB"/>
        </w:rPr>
        <w:t xml:space="preserve">, </w:t>
      </w:r>
      <w:hyperlink r:id="rId20" w:history="1">
        <w:r w:rsidRPr="00515688">
          <w:rPr>
            <w:rStyle w:val="Hyperlink"/>
            <w:rFonts w:ascii="Arial" w:eastAsia="Calibri" w:hAnsi="Arial" w:cs="Arial"/>
            <w:i/>
            <w:sz w:val="18"/>
            <w:szCs w:val="18"/>
            <w:lang w:eastAsia="en-GB"/>
          </w:rPr>
          <w:t>YouTube</w:t>
        </w:r>
      </w:hyperlink>
      <w:r w:rsidRPr="00515688">
        <w:rPr>
          <w:rFonts w:ascii="Arial" w:eastAsia="Calibri" w:hAnsi="Arial" w:cs="Arial"/>
          <w:i/>
          <w:color w:val="000000"/>
          <w:sz w:val="18"/>
          <w:szCs w:val="18"/>
          <w:lang w:eastAsia="en-GB"/>
        </w:rPr>
        <w:t xml:space="preserve"> and </w:t>
      </w:r>
      <w:hyperlink r:id="rId21" w:history="1">
        <w:r w:rsidRPr="00515688">
          <w:rPr>
            <w:rStyle w:val="Hyperlink"/>
            <w:rFonts w:ascii="Arial" w:eastAsia="Calibri" w:hAnsi="Arial" w:cs="Arial"/>
            <w:i/>
            <w:sz w:val="18"/>
            <w:szCs w:val="18"/>
            <w:lang w:eastAsia="en-GB"/>
          </w:rPr>
          <w:t>Facebook</w:t>
        </w:r>
      </w:hyperlink>
      <w:r w:rsidRPr="00515688">
        <w:rPr>
          <w:rFonts w:ascii="Arial" w:eastAsia="Calibri" w:hAnsi="Arial" w:cs="Arial"/>
          <w:i/>
          <w:color w:val="000000"/>
          <w:sz w:val="18"/>
          <w:szCs w:val="18"/>
          <w:lang w:eastAsia="en-GB"/>
        </w:rPr>
        <w:t xml:space="preserve"> pages. </w:t>
      </w:r>
    </w:p>
    <w:p w14:paraId="7DBF0C0E" w14:textId="77777777" w:rsidR="00515688" w:rsidRPr="00515688" w:rsidRDefault="00515688" w:rsidP="0051568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253E7D3C" w14:textId="77777777" w:rsidR="00515688" w:rsidRPr="00515688" w:rsidRDefault="00515688" w:rsidP="00515688">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69571BEB" w14:textId="77777777" w:rsidR="00515688" w:rsidRPr="00515688" w:rsidRDefault="00515688" w:rsidP="00515688">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515688">
        <w:rPr>
          <w:rFonts w:ascii="Arial" w:eastAsia="Times New Roman" w:hAnsi="Arial" w:cs="Arial"/>
          <w:b/>
          <w:color w:val="000000"/>
          <w:sz w:val="18"/>
          <w:szCs w:val="18"/>
          <w:lang w:val="en-CA"/>
        </w:rPr>
        <w:t>For further information, please contact:</w:t>
      </w:r>
    </w:p>
    <w:p w14:paraId="4DD6FE41" w14:textId="77777777" w:rsidR="00515688" w:rsidRPr="00515688" w:rsidRDefault="00515688" w:rsidP="00515688">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515688" w:rsidRPr="00515688" w14:paraId="114DE359" w14:textId="77777777" w:rsidTr="00264F04">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515688" w:rsidRPr="00515688" w14:paraId="414729AF" w14:textId="77777777" w:rsidTr="00264F04">
              <w:tc>
                <w:tcPr>
                  <w:tcW w:w="4626" w:type="dxa"/>
                  <w:shd w:val="clear" w:color="auto" w:fill="auto"/>
                  <w:tcMar>
                    <w:top w:w="0" w:type="dxa"/>
                    <w:left w:w="108" w:type="dxa"/>
                    <w:bottom w:w="0" w:type="dxa"/>
                    <w:right w:w="108" w:type="dxa"/>
                  </w:tcMar>
                </w:tcPr>
                <w:p w14:paraId="4BE4F56E"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515688">
                    <w:rPr>
                      <w:rFonts w:ascii="Arial" w:eastAsia="Times New Roman" w:hAnsi="Arial" w:cs="Arial"/>
                      <w:color w:val="000000"/>
                      <w:sz w:val="18"/>
                      <w:szCs w:val="18"/>
                      <w:lang w:val="fr-FR"/>
                    </w:rPr>
                    <w:t>Sylwia Skubiszewska</w:t>
                  </w:r>
                </w:p>
                <w:p w14:paraId="29A8536E"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515688">
                    <w:rPr>
                      <w:rFonts w:ascii="Arial" w:eastAsia="Times New Roman" w:hAnsi="Arial" w:cs="Arial"/>
                      <w:color w:val="000000"/>
                      <w:sz w:val="18"/>
                      <w:szCs w:val="18"/>
                      <w:lang w:val="fr-FR"/>
                    </w:rPr>
                    <w:t>Mobile +48 666 819 228</w:t>
                  </w:r>
                </w:p>
                <w:p w14:paraId="39956DF7"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515688">
                    <w:rPr>
                      <w:rFonts w:ascii="Arial" w:eastAsia="Times New Roman" w:hAnsi="Arial" w:cs="Arial"/>
                      <w:color w:val="000000"/>
                      <w:sz w:val="18"/>
                      <w:szCs w:val="18"/>
                      <w:lang w:val="fr-FR"/>
                    </w:rPr>
                    <w:t xml:space="preserve">Email: </w:t>
                  </w:r>
                  <w:hyperlink r:id="rId22" w:history="1">
                    <w:r w:rsidRPr="00515688">
                      <w:rPr>
                        <w:rStyle w:val="Hyperlink"/>
                        <w:sz w:val="18"/>
                        <w:szCs w:val="18"/>
                        <w:lang w:val="pl-PL"/>
                      </w:rPr>
                      <w:t>sylwia</w:t>
                    </w:r>
                    <w:r w:rsidRPr="00515688">
                      <w:rPr>
                        <w:rStyle w:val="Hyperlink"/>
                        <w:rFonts w:ascii="Arial" w:eastAsia="Times New Roman" w:hAnsi="Arial" w:cs="Arial"/>
                        <w:sz w:val="18"/>
                        <w:szCs w:val="18"/>
                        <w:lang w:val="fr-FR"/>
                      </w:rPr>
                      <w:t>.skubiszewska@colliers.com</w:t>
                    </w:r>
                  </w:hyperlink>
                </w:p>
                <w:p w14:paraId="34A86FC1" w14:textId="77777777" w:rsidR="00515688" w:rsidRPr="00515688" w:rsidRDefault="00515688" w:rsidP="00264F04">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14:paraId="3CD3FC7B"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515688">
                    <w:rPr>
                      <w:rFonts w:ascii="Arial" w:eastAsia="Times New Roman" w:hAnsi="Arial" w:cs="Arial"/>
                      <w:color w:val="000000"/>
                      <w:sz w:val="18"/>
                      <w:szCs w:val="18"/>
                      <w:lang w:val="pl-PL" w:eastAsia="en-GB"/>
                    </w:rPr>
                    <w:t>Małgorzata Ciechanowska</w:t>
                  </w:r>
                </w:p>
                <w:p w14:paraId="2B89CB75"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515688">
                    <w:rPr>
                      <w:rFonts w:ascii="Arial" w:eastAsia="Times New Roman" w:hAnsi="Arial" w:cs="Arial"/>
                      <w:color w:val="000000"/>
                      <w:sz w:val="18"/>
                      <w:szCs w:val="18"/>
                      <w:lang w:val="pl-PL" w:eastAsia="en-GB"/>
                    </w:rPr>
                    <w:t xml:space="preserve">Mobile: +48 882 014 424 </w:t>
                  </w:r>
                </w:p>
                <w:p w14:paraId="604F1A00"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515688">
                    <w:rPr>
                      <w:rFonts w:ascii="Arial" w:eastAsia="Times New Roman" w:hAnsi="Arial" w:cs="Arial"/>
                      <w:color w:val="000000"/>
                      <w:sz w:val="18"/>
                      <w:szCs w:val="18"/>
                      <w:lang w:val="pl-PL" w:eastAsia="en-GB"/>
                    </w:rPr>
                    <w:t xml:space="preserve">Email: </w:t>
                  </w:r>
                  <w:hyperlink r:id="rId23" w:history="1">
                    <w:r w:rsidRPr="00515688">
                      <w:rPr>
                        <w:rStyle w:val="Hyperlink"/>
                        <w:sz w:val="18"/>
                        <w:szCs w:val="18"/>
                        <w:lang w:val="pl-PL"/>
                      </w:rPr>
                      <w:t>malgorzata</w:t>
                    </w:r>
                    <w:r w:rsidRPr="00515688">
                      <w:rPr>
                        <w:rStyle w:val="Hyperlink"/>
                        <w:rFonts w:ascii="Arial" w:eastAsia="Times New Roman" w:hAnsi="Arial" w:cs="Arial"/>
                        <w:sz w:val="18"/>
                        <w:szCs w:val="18"/>
                        <w:lang w:val="pl-PL" w:eastAsia="en-GB"/>
                      </w:rPr>
                      <w:t>.ciechanowska@colliers.com</w:t>
                    </w:r>
                  </w:hyperlink>
                </w:p>
                <w:p w14:paraId="55A54B50" w14:textId="77777777" w:rsidR="00515688" w:rsidRPr="00515688" w:rsidRDefault="00515688" w:rsidP="00264F04">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515688" w:rsidRPr="00515688" w14:paraId="6DC4D6A4" w14:textId="77777777" w:rsidTr="00264F04">
              <w:tc>
                <w:tcPr>
                  <w:tcW w:w="4626" w:type="dxa"/>
                  <w:shd w:val="clear" w:color="auto" w:fill="auto"/>
                  <w:tcMar>
                    <w:top w:w="0" w:type="dxa"/>
                    <w:left w:w="108" w:type="dxa"/>
                    <w:bottom w:w="0" w:type="dxa"/>
                    <w:right w:w="108" w:type="dxa"/>
                  </w:tcMar>
                </w:tcPr>
                <w:p w14:paraId="6216EE72" w14:textId="77777777" w:rsidR="00515688" w:rsidRPr="00515688" w:rsidRDefault="00515688" w:rsidP="00264F04">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4C67D62" w14:textId="77777777" w:rsidR="00515688" w:rsidRPr="00515688" w:rsidRDefault="00515688" w:rsidP="00264F04">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515688" w:rsidRPr="00515688" w14:paraId="2FFBE474" w14:textId="77777777" w:rsidTr="00264F04">
              <w:trPr>
                <w:trHeight w:val="80"/>
              </w:trPr>
              <w:tc>
                <w:tcPr>
                  <w:tcW w:w="4626" w:type="dxa"/>
                  <w:shd w:val="clear" w:color="auto" w:fill="auto"/>
                  <w:tcMar>
                    <w:top w:w="0" w:type="dxa"/>
                    <w:left w:w="108" w:type="dxa"/>
                    <w:bottom w:w="0" w:type="dxa"/>
                    <w:right w:w="108" w:type="dxa"/>
                  </w:tcMar>
                </w:tcPr>
                <w:p w14:paraId="336B3AB4"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33B7DF3D" w14:textId="77777777" w:rsidR="00515688" w:rsidRPr="00515688" w:rsidRDefault="00515688" w:rsidP="00264F04">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6D77FFF1" w14:textId="77777777" w:rsidR="00515688" w:rsidRPr="00515688" w:rsidRDefault="00515688" w:rsidP="00264F04">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2FA2BD88" w14:textId="77777777" w:rsidR="00515688" w:rsidRPr="00515688" w:rsidRDefault="00515688" w:rsidP="00264F04">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21E1908A" w14:textId="77777777" w:rsidR="00BF1681" w:rsidRPr="00515688" w:rsidRDefault="00BF1681" w:rsidP="00515688">
      <w:pPr>
        <w:spacing w:line="360" w:lineRule="auto"/>
        <w:ind w:right="180"/>
        <w:rPr>
          <w:sz w:val="18"/>
          <w:szCs w:val="18"/>
          <w:lang w:val="pl-PL"/>
        </w:rPr>
      </w:pPr>
    </w:p>
    <w:sectPr w:rsidR="00BF1681" w:rsidRPr="00515688" w:rsidSect="00AD73C4">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7379" w14:textId="77777777" w:rsidR="009D7D91" w:rsidRDefault="009D7D91" w:rsidP="007C68E7">
      <w:pPr>
        <w:spacing w:before="0" w:after="0" w:line="240" w:lineRule="auto"/>
      </w:pPr>
      <w:r>
        <w:separator/>
      </w:r>
    </w:p>
  </w:endnote>
  <w:endnote w:type="continuationSeparator" w:id="0">
    <w:p w14:paraId="4450613C" w14:textId="77777777" w:rsidR="009D7D91" w:rsidRDefault="009D7D91"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Calibri"/>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3942"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CEFD622" w14:textId="52B95247" w:rsidR="005B7286" w:rsidRPr="007C68E7" w:rsidRDefault="005B7286"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3B4D70F4" wp14:editId="24F31CE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0FAA2"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1DA7AE38" wp14:editId="44D362F3">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7AE38"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eastAsia="en-GB"/>
          </w:rPr>
          <mc:AlternateContent>
            <mc:Choice Requires="wps">
              <w:drawing>
                <wp:anchor distT="0" distB="0" distL="114300" distR="114300" simplePos="0" relativeHeight="251677696" behindDoc="0" locked="0" layoutInCell="1" allowOverlap="1" wp14:anchorId="7C87DE7D" wp14:editId="036F55E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BF69C"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3A49D5">
          <w:rPr>
            <w:noProof/>
            <w:color w:val="FFFFFF" w:themeColor="background1"/>
          </w:rPr>
          <w:t>2</w:t>
        </w:r>
        <w:r w:rsidRPr="007C68E7">
          <w:rPr>
            <w:noProof/>
            <w:color w:val="FFFFFF" w:themeColor="background1"/>
          </w:rPr>
          <w:fldChar w:fldCharType="end"/>
        </w:r>
      </w:p>
    </w:sdtContent>
  </w:sdt>
  <w:p w14:paraId="77F6B32F"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83E"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AB7A" w14:textId="77777777" w:rsidR="009D7D91" w:rsidRDefault="009D7D91" w:rsidP="007C68E7">
      <w:pPr>
        <w:spacing w:before="0" w:after="0" w:line="240" w:lineRule="auto"/>
      </w:pPr>
      <w:r>
        <w:separator/>
      </w:r>
    </w:p>
  </w:footnote>
  <w:footnote w:type="continuationSeparator" w:id="0">
    <w:p w14:paraId="6F82CFCC" w14:textId="77777777" w:rsidR="009D7D91" w:rsidRDefault="009D7D91"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D1"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06D" w14:textId="77777777" w:rsidR="005B7286" w:rsidRPr="00AE3437" w:rsidRDefault="005B7286">
    <w:pPr>
      <w:pStyle w:val="Header"/>
    </w:pPr>
    <w:r>
      <w:rPr>
        <w:noProof/>
        <w:lang w:eastAsia="en-GB"/>
      </w:rPr>
      <mc:AlternateContent>
        <mc:Choice Requires="wps">
          <w:drawing>
            <wp:anchor distT="0" distB="0" distL="114300" distR="114300" simplePos="0" relativeHeight="251675648" behindDoc="0" locked="0" layoutInCell="1" allowOverlap="1" wp14:anchorId="7C9494EC" wp14:editId="6B220D8E">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94EC"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146EE91D" wp14:editId="7DF1BFFE">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B091"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3E5F77E6" wp14:editId="6F87798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37F3E"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C1F"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661A34"/>
    <w:multiLevelType w:val="hybridMultilevel"/>
    <w:tmpl w:val="FD6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9"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B661A"/>
    <w:multiLevelType w:val="multilevel"/>
    <w:tmpl w:val="5AA6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F448D"/>
    <w:multiLevelType w:val="hybridMultilevel"/>
    <w:tmpl w:val="88326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9"/>
  </w:num>
  <w:num w:numId="5">
    <w:abstractNumId w:val="10"/>
  </w:num>
  <w:num w:numId="6">
    <w:abstractNumId w:val="27"/>
  </w:num>
  <w:num w:numId="7">
    <w:abstractNumId w:val="2"/>
  </w:num>
  <w:num w:numId="8">
    <w:abstractNumId w:val="12"/>
  </w:num>
  <w:num w:numId="9">
    <w:abstractNumId w:val="8"/>
  </w:num>
  <w:num w:numId="10">
    <w:abstractNumId w:val="11"/>
  </w:num>
  <w:num w:numId="11">
    <w:abstractNumId w:val="0"/>
  </w:num>
  <w:num w:numId="12">
    <w:abstractNumId w:val="32"/>
  </w:num>
  <w:num w:numId="13">
    <w:abstractNumId w:val="15"/>
  </w:num>
  <w:num w:numId="14">
    <w:abstractNumId w:val="15"/>
  </w:num>
  <w:num w:numId="15">
    <w:abstractNumId w:val="15"/>
  </w:num>
  <w:num w:numId="16">
    <w:abstractNumId w:val="15"/>
  </w:num>
  <w:num w:numId="17">
    <w:abstractNumId w:val="15"/>
  </w:num>
  <w:num w:numId="18">
    <w:abstractNumId w:val="30"/>
  </w:num>
  <w:num w:numId="19">
    <w:abstractNumId w:val="1"/>
  </w:num>
  <w:num w:numId="20">
    <w:abstractNumId w:val="19"/>
  </w:num>
  <w:num w:numId="21">
    <w:abstractNumId w:val="14"/>
  </w:num>
  <w:num w:numId="22">
    <w:abstractNumId w:val="17"/>
  </w:num>
  <w:num w:numId="23">
    <w:abstractNumId w:val="15"/>
  </w:num>
  <w:num w:numId="24">
    <w:abstractNumId w:val="19"/>
  </w:num>
  <w:num w:numId="25">
    <w:abstractNumId w:val="1"/>
  </w:num>
  <w:num w:numId="26">
    <w:abstractNumId w:val="25"/>
  </w:num>
  <w:num w:numId="27">
    <w:abstractNumId w:val="23"/>
  </w:num>
  <w:num w:numId="28">
    <w:abstractNumId w:val="21"/>
  </w:num>
  <w:num w:numId="29">
    <w:abstractNumId w:val="6"/>
  </w:num>
  <w:num w:numId="30">
    <w:abstractNumId w:val="15"/>
  </w:num>
  <w:num w:numId="31">
    <w:abstractNumId w:val="3"/>
  </w:num>
  <w:num w:numId="32">
    <w:abstractNumId w:val="7"/>
  </w:num>
  <w:num w:numId="33">
    <w:abstractNumId w:val="15"/>
  </w:num>
  <w:num w:numId="34">
    <w:abstractNumId w:val="15"/>
  </w:num>
  <w:num w:numId="35">
    <w:abstractNumId w:val="15"/>
  </w:num>
  <w:num w:numId="36">
    <w:abstractNumId w:val="4"/>
  </w:num>
  <w:num w:numId="37">
    <w:abstractNumId w:val="29"/>
  </w:num>
  <w:num w:numId="38">
    <w:abstractNumId w:val="15"/>
  </w:num>
  <w:num w:numId="39">
    <w:abstractNumId w:val="15"/>
  </w:num>
  <w:num w:numId="40">
    <w:abstractNumId w:val="15"/>
  </w:num>
  <w:num w:numId="41">
    <w:abstractNumId w:val="1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6"/>
  </w:num>
  <w:num w:numId="45">
    <w:abstractNumId w:val="24"/>
  </w:num>
  <w:num w:numId="46">
    <w:abstractNumId w:val="20"/>
  </w:num>
  <w:num w:numId="47">
    <w:abstractNumId w:val="13"/>
  </w:num>
  <w:num w:numId="48">
    <w:abstractNumId w:val="31"/>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27FA8"/>
    <w:rsid w:val="00030D10"/>
    <w:rsid w:val="00045B50"/>
    <w:rsid w:val="0005355D"/>
    <w:rsid w:val="00057230"/>
    <w:rsid w:val="0006043A"/>
    <w:rsid w:val="000B6C6E"/>
    <w:rsid w:val="000C7441"/>
    <w:rsid w:val="000F4293"/>
    <w:rsid w:val="000F537B"/>
    <w:rsid w:val="000F600D"/>
    <w:rsid w:val="00107B93"/>
    <w:rsid w:val="00126400"/>
    <w:rsid w:val="00134F4A"/>
    <w:rsid w:val="001522F2"/>
    <w:rsid w:val="00174963"/>
    <w:rsid w:val="00181C88"/>
    <w:rsid w:val="00196180"/>
    <w:rsid w:val="001A331F"/>
    <w:rsid w:val="001B166F"/>
    <w:rsid w:val="001B1B8A"/>
    <w:rsid w:val="001B4847"/>
    <w:rsid w:val="001B7400"/>
    <w:rsid w:val="00200B2D"/>
    <w:rsid w:val="00242F79"/>
    <w:rsid w:val="00245371"/>
    <w:rsid w:val="00262C4E"/>
    <w:rsid w:val="002850A6"/>
    <w:rsid w:val="00285743"/>
    <w:rsid w:val="00296ABC"/>
    <w:rsid w:val="002A02ED"/>
    <w:rsid w:val="002A1E33"/>
    <w:rsid w:val="002B10FF"/>
    <w:rsid w:val="002D4C0A"/>
    <w:rsid w:val="002E2916"/>
    <w:rsid w:val="002F7E6E"/>
    <w:rsid w:val="003031F8"/>
    <w:rsid w:val="0032324E"/>
    <w:rsid w:val="0032696E"/>
    <w:rsid w:val="003277DA"/>
    <w:rsid w:val="003460A5"/>
    <w:rsid w:val="00351968"/>
    <w:rsid w:val="003652D4"/>
    <w:rsid w:val="0037208D"/>
    <w:rsid w:val="00387F1D"/>
    <w:rsid w:val="00392654"/>
    <w:rsid w:val="003A49D5"/>
    <w:rsid w:val="003B2A23"/>
    <w:rsid w:val="003B7B55"/>
    <w:rsid w:val="003D1C5E"/>
    <w:rsid w:val="00403DC8"/>
    <w:rsid w:val="00412A8C"/>
    <w:rsid w:val="004361BF"/>
    <w:rsid w:val="00441CD1"/>
    <w:rsid w:val="00453920"/>
    <w:rsid w:val="00460AFC"/>
    <w:rsid w:val="004740AB"/>
    <w:rsid w:val="00484710"/>
    <w:rsid w:val="004A606B"/>
    <w:rsid w:val="004C6347"/>
    <w:rsid w:val="004E2AE7"/>
    <w:rsid w:val="004E2D16"/>
    <w:rsid w:val="00501F4A"/>
    <w:rsid w:val="00515688"/>
    <w:rsid w:val="0051700E"/>
    <w:rsid w:val="0054606D"/>
    <w:rsid w:val="005465AF"/>
    <w:rsid w:val="00552096"/>
    <w:rsid w:val="00555F08"/>
    <w:rsid w:val="00580A78"/>
    <w:rsid w:val="00580DE1"/>
    <w:rsid w:val="005845D2"/>
    <w:rsid w:val="005849A0"/>
    <w:rsid w:val="005B04EB"/>
    <w:rsid w:val="005B4E20"/>
    <w:rsid w:val="005B7286"/>
    <w:rsid w:val="005C1DCA"/>
    <w:rsid w:val="005C2365"/>
    <w:rsid w:val="005C78BA"/>
    <w:rsid w:val="005D278E"/>
    <w:rsid w:val="005D507F"/>
    <w:rsid w:val="005D5121"/>
    <w:rsid w:val="00600EEE"/>
    <w:rsid w:val="00605E80"/>
    <w:rsid w:val="00612748"/>
    <w:rsid w:val="00615640"/>
    <w:rsid w:val="00630902"/>
    <w:rsid w:val="006368DE"/>
    <w:rsid w:val="00651B06"/>
    <w:rsid w:val="0066334B"/>
    <w:rsid w:val="00665BC8"/>
    <w:rsid w:val="00671B78"/>
    <w:rsid w:val="006728DD"/>
    <w:rsid w:val="00672D47"/>
    <w:rsid w:val="00676803"/>
    <w:rsid w:val="00677648"/>
    <w:rsid w:val="00683376"/>
    <w:rsid w:val="00685822"/>
    <w:rsid w:val="00696A8F"/>
    <w:rsid w:val="006A3FE0"/>
    <w:rsid w:val="006B0176"/>
    <w:rsid w:val="006C10D0"/>
    <w:rsid w:val="006D65A3"/>
    <w:rsid w:val="006D6C1E"/>
    <w:rsid w:val="006F779C"/>
    <w:rsid w:val="007301EC"/>
    <w:rsid w:val="007375A1"/>
    <w:rsid w:val="0074126C"/>
    <w:rsid w:val="00743CCF"/>
    <w:rsid w:val="007674B2"/>
    <w:rsid w:val="0078271B"/>
    <w:rsid w:val="00783DF8"/>
    <w:rsid w:val="007A60FA"/>
    <w:rsid w:val="007C68E7"/>
    <w:rsid w:val="007C7C23"/>
    <w:rsid w:val="007D3338"/>
    <w:rsid w:val="007E0A01"/>
    <w:rsid w:val="007E3D74"/>
    <w:rsid w:val="008305A6"/>
    <w:rsid w:val="0084322D"/>
    <w:rsid w:val="00850AD7"/>
    <w:rsid w:val="00870DF4"/>
    <w:rsid w:val="008715D1"/>
    <w:rsid w:val="00876704"/>
    <w:rsid w:val="008A3C27"/>
    <w:rsid w:val="008A5EFF"/>
    <w:rsid w:val="008F0098"/>
    <w:rsid w:val="008F5D1A"/>
    <w:rsid w:val="00907454"/>
    <w:rsid w:val="00913A7C"/>
    <w:rsid w:val="00926120"/>
    <w:rsid w:val="009461E1"/>
    <w:rsid w:val="00952FA1"/>
    <w:rsid w:val="00965301"/>
    <w:rsid w:val="009839BC"/>
    <w:rsid w:val="0098591D"/>
    <w:rsid w:val="00993B8D"/>
    <w:rsid w:val="00994780"/>
    <w:rsid w:val="009C01F3"/>
    <w:rsid w:val="009D1BC7"/>
    <w:rsid w:val="009D7D91"/>
    <w:rsid w:val="009E083C"/>
    <w:rsid w:val="009E5544"/>
    <w:rsid w:val="009E655D"/>
    <w:rsid w:val="00A0784E"/>
    <w:rsid w:val="00A13F99"/>
    <w:rsid w:val="00A22021"/>
    <w:rsid w:val="00A26AF5"/>
    <w:rsid w:val="00A27137"/>
    <w:rsid w:val="00A36624"/>
    <w:rsid w:val="00A37AAD"/>
    <w:rsid w:val="00A535B1"/>
    <w:rsid w:val="00A60C06"/>
    <w:rsid w:val="00A72479"/>
    <w:rsid w:val="00A900BE"/>
    <w:rsid w:val="00A9765F"/>
    <w:rsid w:val="00A97BF2"/>
    <w:rsid w:val="00AA73D9"/>
    <w:rsid w:val="00AA7522"/>
    <w:rsid w:val="00AD27BE"/>
    <w:rsid w:val="00AD5BD7"/>
    <w:rsid w:val="00AD5FB5"/>
    <w:rsid w:val="00AD73C4"/>
    <w:rsid w:val="00AE3437"/>
    <w:rsid w:val="00AE4925"/>
    <w:rsid w:val="00AE4B1B"/>
    <w:rsid w:val="00AF5B26"/>
    <w:rsid w:val="00B07781"/>
    <w:rsid w:val="00B20704"/>
    <w:rsid w:val="00B21EFA"/>
    <w:rsid w:val="00B63E80"/>
    <w:rsid w:val="00B64704"/>
    <w:rsid w:val="00B854A4"/>
    <w:rsid w:val="00BA3543"/>
    <w:rsid w:val="00BB3790"/>
    <w:rsid w:val="00BC1D5F"/>
    <w:rsid w:val="00BC3DA1"/>
    <w:rsid w:val="00BE27EB"/>
    <w:rsid w:val="00BE3916"/>
    <w:rsid w:val="00BF1681"/>
    <w:rsid w:val="00C060D0"/>
    <w:rsid w:val="00C13823"/>
    <w:rsid w:val="00C4282B"/>
    <w:rsid w:val="00C55AAB"/>
    <w:rsid w:val="00C576A9"/>
    <w:rsid w:val="00CA14E8"/>
    <w:rsid w:val="00CA4D9F"/>
    <w:rsid w:val="00CB121A"/>
    <w:rsid w:val="00CB6526"/>
    <w:rsid w:val="00CC041E"/>
    <w:rsid w:val="00CC5DBC"/>
    <w:rsid w:val="00CE6120"/>
    <w:rsid w:val="00CF3DFE"/>
    <w:rsid w:val="00D1533C"/>
    <w:rsid w:val="00D2596B"/>
    <w:rsid w:val="00D452FD"/>
    <w:rsid w:val="00D45B77"/>
    <w:rsid w:val="00D57D94"/>
    <w:rsid w:val="00D64115"/>
    <w:rsid w:val="00D919CC"/>
    <w:rsid w:val="00DA32B7"/>
    <w:rsid w:val="00DA67B1"/>
    <w:rsid w:val="00DC5509"/>
    <w:rsid w:val="00DD249C"/>
    <w:rsid w:val="00DD7F88"/>
    <w:rsid w:val="00DF7514"/>
    <w:rsid w:val="00E102FD"/>
    <w:rsid w:val="00E17F4A"/>
    <w:rsid w:val="00E202B5"/>
    <w:rsid w:val="00E23620"/>
    <w:rsid w:val="00E30D13"/>
    <w:rsid w:val="00E31D52"/>
    <w:rsid w:val="00E44E33"/>
    <w:rsid w:val="00E56DE6"/>
    <w:rsid w:val="00E72EFB"/>
    <w:rsid w:val="00EB1991"/>
    <w:rsid w:val="00EB19A6"/>
    <w:rsid w:val="00EB5133"/>
    <w:rsid w:val="00EC2935"/>
    <w:rsid w:val="00EC3C41"/>
    <w:rsid w:val="00EC4F3B"/>
    <w:rsid w:val="00ED32C5"/>
    <w:rsid w:val="00ED368A"/>
    <w:rsid w:val="00F10F8A"/>
    <w:rsid w:val="00F352CC"/>
    <w:rsid w:val="00F37811"/>
    <w:rsid w:val="00F42E47"/>
    <w:rsid w:val="00F62210"/>
    <w:rsid w:val="00FA3927"/>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FFBDC"/>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uiPriority w:val="22"/>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styleId="UnresolvedMention">
    <w:name w:val="Unresolved Mention"/>
    <w:basedOn w:val="DefaultParagraphFont"/>
    <w:uiPriority w:val="99"/>
    <w:semiHidden/>
    <w:unhideWhenUsed/>
    <w:rsid w:val="0074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224">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liers.com/emea-covid19" TargetMode="External"/><Relationship Id="rId18" Type="http://schemas.openxmlformats.org/officeDocument/2006/relationships/hyperlink" Target="https://www.linkedin.com/company/colliers-international/?viewAsMember=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collierspl" TargetMode="External"/><Relationship Id="rId7" Type="http://schemas.openxmlformats.org/officeDocument/2006/relationships/endnotes" Target="endnotes.xml"/><Relationship Id="rId12" Type="http://schemas.openxmlformats.org/officeDocument/2006/relationships/hyperlink" Target="https://news.colliers.com/collect/click.aspx?u=QXFpajZRZFVMVUUvaHYza3gyclBQVlorcVRGUXVjTTdOOTRUT1AvZFNjbEFoeHBuUUNOZEo3aVIvUXZ6dzlvM1NjVjBUWGozMHdjMXlTejFZZm42bGtXMVFzdWRCcFVaL1Q4Wk5jczVNZGo2NXgrZXhOV21IVU9HckcvVWxoTFA=&amp;rh=ff005d36dc2c9263ec387aa8fd41a3cb5d2b9028" TargetMode="External"/><Relationship Id="rId17" Type="http://schemas.openxmlformats.org/officeDocument/2006/relationships/hyperlink" Target="https://www2.colliers.com/en-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inkedin.com/company/colliers-international/" TargetMode="External"/><Relationship Id="rId20" Type="http://schemas.openxmlformats.org/officeDocument/2006/relationships/hyperlink" Target="https://www.youtube.com/user/Colliers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colliers.com/collect/click.aspx?u=QXFpajZRZFVMVUUvaHYza3gyclBQVlorcVRGUXVjTTdOOTRUT1AvZFNjazFoYlJGaUs0SU1WenVxTjQxdnNkajZXMFRKUUxjQlhFL0FySHNPelU0aVBsQkx4V2FHTEZobW1NTTNwRU1QaFk9&amp;rh=ff005d36dc2c9263ec387aa8fd41a3cb5d2b90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colliers?lang=en" TargetMode="External"/><Relationship Id="rId23" Type="http://schemas.openxmlformats.org/officeDocument/2006/relationships/hyperlink" Target="mailto:malgorzata.ciechanowska@colliers.com" TargetMode="External"/><Relationship Id="rId28" Type="http://schemas.openxmlformats.org/officeDocument/2006/relationships/header" Target="header3.xml"/><Relationship Id="rId10" Type="http://schemas.openxmlformats.org/officeDocument/2006/relationships/hyperlink" Target="https://news.colliers.com/collect/click.aspx?u=QXFpajZRZFVMVUUvaHYza3gyclBQVlorcVRGUXVjTTdOOTRUT1AvZFNjazFoYlJGaUs0SU1WenVxTjQxdnNkajZXMFRKUUxjQlhFL0FySHNPelU0aVBsQkx4V2FHTEZobW1NTTNwRU1QaFk9&amp;rh=ff005d36dc2c9263ec387aa8fd41a3cb5d2b9028" TargetMode="External"/><Relationship Id="rId19" Type="http://schemas.openxmlformats.org/officeDocument/2006/relationships/hyperlink" Target="http://instagram.com/colliers_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colliers.com/collect/click.aspx?u=QXFpajZRZFVMVUUvaHYza3gyclBQVlorcVRGUXVjTTdOOTRUT1AvZFNjbEFoeHBuUUNOZEo3aVIvUXZ6dzlvM1NjVjBUWGozMHdjMXlTejFZZm42bGtXMVFzdWRCcFVaL1Q4Wk5jczVNZGo2NXgrZXhOV21IVU9HckcvVWxoTFA=&amp;rh=ff005d36dc2c9263ec387aa8fd41a3cb5d2b9028" TargetMode="External"/><Relationship Id="rId14" Type="http://schemas.openxmlformats.org/officeDocument/2006/relationships/hyperlink" Target="https://corporate.colliers.com/en" TargetMode="External"/><Relationship Id="rId22" Type="http://schemas.openxmlformats.org/officeDocument/2006/relationships/hyperlink" Target="mailto:sylwia.skubiszewska@collier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89DD-7C3C-4233-8479-7EC09CC1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2</cp:revision>
  <cp:lastPrinted>2016-10-18T08:10:00Z</cp:lastPrinted>
  <dcterms:created xsi:type="dcterms:W3CDTF">2020-04-03T08:38:00Z</dcterms:created>
  <dcterms:modified xsi:type="dcterms:W3CDTF">2020-04-03T08:38:00Z</dcterms:modified>
</cp:coreProperties>
</file>