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B6B3" w14:textId="77777777" w:rsidR="0069243B" w:rsidRDefault="0069243B" w:rsidP="0069243B">
      <w:pPr>
        <w:pStyle w:val="PlainText"/>
        <w:spacing w:line="276" w:lineRule="auto"/>
        <w:rPr>
          <w:rFonts w:ascii="Arial" w:hAnsi="Arial" w:cs="Arial"/>
          <w:sz w:val="20"/>
          <w:szCs w:val="20"/>
        </w:rPr>
      </w:pPr>
      <w:r>
        <w:rPr>
          <w:rFonts w:ascii="Arial" w:hAnsi="Arial" w:cs="Arial"/>
          <w:sz w:val="20"/>
          <w:szCs w:val="20"/>
        </w:rPr>
        <w:t>PRESS RELEASE FROM THE PROPERTY INDUSTRY GROUP</w:t>
      </w:r>
    </w:p>
    <w:p w14:paraId="101FADCC" w14:textId="77777777" w:rsidR="0069243B" w:rsidRDefault="0069243B" w:rsidP="0069243B">
      <w:pPr>
        <w:pStyle w:val="PlainText"/>
        <w:spacing w:line="276" w:lineRule="auto"/>
        <w:rPr>
          <w:rFonts w:ascii="Arial" w:hAnsi="Arial" w:cs="Arial"/>
          <w:sz w:val="20"/>
          <w:szCs w:val="20"/>
        </w:rPr>
      </w:pPr>
    </w:p>
    <w:p w14:paraId="2A5B2A80" w14:textId="77777777" w:rsidR="0069243B" w:rsidRDefault="0069243B" w:rsidP="0069243B">
      <w:pPr>
        <w:pStyle w:val="PlainText"/>
        <w:spacing w:line="276" w:lineRule="auto"/>
        <w:rPr>
          <w:rFonts w:ascii="Arial" w:hAnsi="Arial" w:cs="Arial"/>
          <w:sz w:val="20"/>
          <w:szCs w:val="20"/>
        </w:rPr>
      </w:pPr>
      <w:r>
        <w:rPr>
          <w:rFonts w:ascii="Arial" w:hAnsi="Arial" w:cs="Arial"/>
          <w:sz w:val="20"/>
          <w:szCs w:val="20"/>
        </w:rPr>
        <w:t>28 April 2020</w:t>
      </w:r>
    </w:p>
    <w:p w14:paraId="067A491B" w14:textId="77777777" w:rsidR="0069243B" w:rsidRDefault="0069243B" w:rsidP="0069243B">
      <w:pPr>
        <w:pStyle w:val="PlainText"/>
        <w:spacing w:line="276" w:lineRule="auto"/>
        <w:rPr>
          <w:rFonts w:ascii="Arial" w:hAnsi="Arial" w:cs="Arial"/>
          <w:sz w:val="20"/>
          <w:szCs w:val="20"/>
        </w:rPr>
      </w:pPr>
    </w:p>
    <w:p w14:paraId="1C534F6A" w14:textId="77777777" w:rsidR="0069243B" w:rsidRDefault="0069243B" w:rsidP="0069243B">
      <w:pPr>
        <w:pStyle w:val="PlainText"/>
        <w:spacing w:line="276" w:lineRule="auto"/>
        <w:rPr>
          <w:rFonts w:ascii="Arial" w:hAnsi="Arial" w:cs="Arial"/>
          <w:sz w:val="20"/>
          <w:szCs w:val="20"/>
        </w:rPr>
      </w:pPr>
    </w:p>
    <w:p w14:paraId="431A52FD" w14:textId="77777777" w:rsidR="0069243B" w:rsidRDefault="0069243B" w:rsidP="0069243B">
      <w:pPr>
        <w:pStyle w:val="PlainText"/>
        <w:spacing w:line="276" w:lineRule="auto"/>
        <w:jc w:val="center"/>
        <w:rPr>
          <w:rFonts w:ascii="Arial" w:hAnsi="Arial" w:cs="Arial"/>
          <w:b/>
          <w:bCs/>
          <w:sz w:val="28"/>
          <w:szCs w:val="28"/>
        </w:rPr>
      </w:pPr>
      <w:r>
        <w:rPr>
          <w:rFonts w:ascii="Arial" w:hAnsi="Arial" w:cs="Arial"/>
          <w:b/>
          <w:bCs/>
          <w:sz w:val="28"/>
          <w:szCs w:val="28"/>
        </w:rPr>
        <w:t>THE PROPERTY INDUSTRY GROUP INCREASES ITS RETAIL TENANT ASSISTANCE AND RELIEF GUIDELINES</w:t>
      </w:r>
    </w:p>
    <w:p w14:paraId="63EE7BF4" w14:textId="77777777" w:rsidR="0069243B" w:rsidRDefault="0069243B" w:rsidP="0069243B">
      <w:pPr>
        <w:pStyle w:val="PlainText"/>
        <w:spacing w:line="276" w:lineRule="auto"/>
        <w:rPr>
          <w:rFonts w:ascii="Arial" w:hAnsi="Arial" w:cs="Arial"/>
          <w:sz w:val="20"/>
          <w:szCs w:val="20"/>
        </w:rPr>
      </w:pPr>
    </w:p>
    <w:p w14:paraId="4F161F19" w14:textId="77777777" w:rsidR="0069243B" w:rsidRDefault="0069243B" w:rsidP="0069243B">
      <w:pPr>
        <w:pStyle w:val="PlainText"/>
        <w:spacing w:line="276" w:lineRule="auto"/>
        <w:jc w:val="both"/>
        <w:rPr>
          <w:rFonts w:ascii="Arial" w:hAnsi="Arial" w:cs="Arial"/>
          <w:b/>
          <w:bCs/>
          <w:sz w:val="24"/>
          <w:szCs w:val="24"/>
        </w:rPr>
      </w:pPr>
      <w:r>
        <w:rPr>
          <w:rFonts w:ascii="Arial" w:hAnsi="Arial" w:cs="Arial"/>
          <w:b/>
          <w:bCs/>
          <w:sz w:val="24"/>
          <w:szCs w:val="24"/>
        </w:rPr>
        <w:t>In light of SA’s extended lockdown to limit the impacts of the COVID-19 pandemic, the Property Industry Group (PI Group) has increased and extended its assistance and relief guideline for retail tenants.</w:t>
      </w:r>
    </w:p>
    <w:p w14:paraId="1EB3EBA9" w14:textId="77777777" w:rsidR="0069243B" w:rsidRPr="008F2AAE" w:rsidRDefault="0069243B" w:rsidP="0069243B">
      <w:pPr>
        <w:spacing w:line="276" w:lineRule="auto"/>
        <w:rPr>
          <w:b/>
          <w:bCs/>
          <w:color w:val="000000"/>
          <w:sz w:val="20"/>
          <w:szCs w:val="20"/>
        </w:rPr>
      </w:pPr>
    </w:p>
    <w:p w14:paraId="7764633F" w14:textId="77777777" w:rsidR="0069243B" w:rsidRPr="008F2AAE" w:rsidRDefault="0069243B" w:rsidP="0069243B">
      <w:pPr>
        <w:spacing w:line="276" w:lineRule="auto"/>
        <w:rPr>
          <w:b/>
          <w:bCs/>
          <w:color w:val="000000"/>
          <w:sz w:val="20"/>
          <w:szCs w:val="20"/>
        </w:rPr>
      </w:pPr>
      <w:r w:rsidRPr="008F2AAE">
        <w:rPr>
          <w:b/>
          <w:bCs/>
          <w:color w:val="000000"/>
          <w:sz w:val="20"/>
          <w:szCs w:val="20"/>
        </w:rPr>
        <w:t xml:space="preserve">The PI Group is </w:t>
      </w:r>
      <w:r>
        <w:rPr>
          <w:b/>
          <w:bCs/>
          <w:color w:val="000000"/>
          <w:sz w:val="20"/>
          <w:szCs w:val="20"/>
        </w:rPr>
        <w:t xml:space="preserve">a </w:t>
      </w:r>
      <w:r w:rsidRPr="008F2AAE">
        <w:rPr>
          <w:b/>
          <w:bCs/>
          <w:color w:val="000000"/>
          <w:sz w:val="20"/>
          <w:szCs w:val="20"/>
        </w:rPr>
        <w:t xml:space="preserve">collective of the major representative bodies for real estate in </w:t>
      </w:r>
      <w:r>
        <w:rPr>
          <w:b/>
          <w:bCs/>
          <w:color w:val="000000"/>
          <w:sz w:val="20"/>
          <w:szCs w:val="20"/>
        </w:rPr>
        <w:t>SA</w:t>
      </w:r>
      <w:r w:rsidRPr="008F2AAE">
        <w:rPr>
          <w:b/>
          <w:bCs/>
          <w:color w:val="000000"/>
          <w:sz w:val="20"/>
          <w:szCs w:val="20"/>
        </w:rPr>
        <w:t xml:space="preserve"> – the SA REIT Association (SA REIT), SA Property Owners Association (SAPOA) and SA Council of Shopping Centres (SACSC) –</w:t>
      </w:r>
      <w:r>
        <w:rPr>
          <w:b/>
          <w:bCs/>
          <w:color w:val="000000"/>
          <w:sz w:val="20"/>
          <w:szCs w:val="20"/>
        </w:rPr>
        <w:t xml:space="preserve"> and is</w:t>
      </w:r>
      <w:r w:rsidRPr="008F2AAE">
        <w:rPr>
          <w:b/>
          <w:bCs/>
          <w:color w:val="000000"/>
          <w:sz w:val="20"/>
          <w:szCs w:val="20"/>
        </w:rPr>
        <w:t xml:space="preserve"> coordinating its response to the COVID-19 pandemic and specifically the economic effects of the national lockdown. It speaks for the commercial real estate sector in SA, which includes the country’s large property owners. </w:t>
      </w:r>
    </w:p>
    <w:p w14:paraId="61405235" w14:textId="77777777" w:rsidR="0069243B" w:rsidRPr="008F2AAE" w:rsidRDefault="0069243B" w:rsidP="0069243B">
      <w:pPr>
        <w:pStyle w:val="PlainText"/>
        <w:spacing w:line="276" w:lineRule="auto"/>
        <w:rPr>
          <w:rFonts w:ascii="Arial" w:hAnsi="Arial" w:cs="Arial"/>
          <w:b/>
          <w:bCs/>
          <w:sz w:val="20"/>
          <w:szCs w:val="20"/>
        </w:rPr>
      </w:pPr>
    </w:p>
    <w:p w14:paraId="7B9EB1DD" w14:textId="77777777" w:rsidR="0069243B" w:rsidRPr="00155C5B" w:rsidRDefault="0069243B" w:rsidP="0069243B">
      <w:pPr>
        <w:pStyle w:val="PlainText"/>
        <w:spacing w:line="276" w:lineRule="auto"/>
        <w:rPr>
          <w:rFonts w:ascii="Arial" w:hAnsi="Arial" w:cs="Arial"/>
          <w:sz w:val="20"/>
          <w:szCs w:val="20"/>
        </w:rPr>
      </w:pPr>
      <w:r w:rsidRPr="00155C5B">
        <w:rPr>
          <w:rFonts w:ascii="Arial" w:hAnsi="Arial" w:cs="Arial"/>
          <w:sz w:val="20"/>
          <w:szCs w:val="20"/>
        </w:rPr>
        <w:t xml:space="preserve">The </w:t>
      </w:r>
      <w:r>
        <w:rPr>
          <w:rFonts w:ascii="Arial" w:hAnsi="Arial" w:cs="Arial"/>
          <w:sz w:val="20"/>
          <w:szCs w:val="20"/>
        </w:rPr>
        <w:t>PI G</w:t>
      </w:r>
      <w:r w:rsidRPr="00155C5B">
        <w:rPr>
          <w:rFonts w:ascii="Arial" w:hAnsi="Arial" w:cs="Arial"/>
          <w:sz w:val="20"/>
          <w:szCs w:val="20"/>
        </w:rPr>
        <w:t xml:space="preserve">roup launched an initial </w:t>
      </w:r>
      <w:r>
        <w:rPr>
          <w:rFonts w:ascii="Arial" w:hAnsi="Arial" w:cs="Arial"/>
          <w:sz w:val="20"/>
          <w:szCs w:val="20"/>
        </w:rPr>
        <w:t>guideline</w:t>
      </w:r>
      <w:r w:rsidRPr="00155C5B">
        <w:rPr>
          <w:rFonts w:ascii="Arial" w:hAnsi="Arial" w:cs="Arial"/>
          <w:sz w:val="20"/>
          <w:szCs w:val="20"/>
        </w:rPr>
        <w:t xml:space="preserve"> for assistance and relief for retail tenants on 7 April 2020 and</w:t>
      </w:r>
      <w:r>
        <w:rPr>
          <w:rFonts w:ascii="Arial" w:hAnsi="Arial" w:cs="Arial"/>
          <w:sz w:val="20"/>
          <w:szCs w:val="20"/>
        </w:rPr>
        <w:t>,</w:t>
      </w:r>
      <w:r w:rsidRPr="00155C5B">
        <w:rPr>
          <w:rFonts w:ascii="Arial" w:hAnsi="Arial" w:cs="Arial"/>
          <w:sz w:val="20"/>
          <w:szCs w:val="20"/>
        </w:rPr>
        <w:t xml:space="preserve"> in response to the extended lockdown</w:t>
      </w:r>
      <w:r>
        <w:rPr>
          <w:rFonts w:ascii="Arial" w:hAnsi="Arial" w:cs="Arial"/>
          <w:sz w:val="20"/>
          <w:szCs w:val="20"/>
        </w:rPr>
        <w:t>,</w:t>
      </w:r>
      <w:r w:rsidRPr="00155C5B">
        <w:rPr>
          <w:rFonts w:ascii="Arial" w:hAnsi="Arial" w:cs="Arial"/>
          <w:sz w:val="20"/>
          <w:szCs w:val="20"/>
        </w:rPr>
        <w:t xml:space="preserve"> it has now announced new guidelines to offer greater relief to all </w:t>
      </w:r>
      <w:r>
        <w:rPr>
          <w:rFonts w:ascii="Arial" w:hAnsi="Arial" w:cs="Arial"/>
          <w:sz w:val="20"/>
          <w:szCs w:val="20"/>
        </w:rPr>
        <w:t xml:space="preserve">affected </w:t>
      </w:r>
      <w:r w:rsidRPr="00155C5B">
        <w:rPr>
          <w:rFonts w:ascii="Arial" w:hAnsi="Arial" w:cs="Arial"/>
          <w:sz w:val="20"/>
          <w:szCs w:val="20"/>
        </w:rPr>
        <w:t xml:space="preserve">retailers, especially </w:t>
      </w:r>
      <w:r>
        <w:rPr>
          <w:rFonts w:ascii="Arial" w:hAnsi="Arial" w:cs="Arial"/>
          <w:sz w:val="20"/>
          <w:szCs w:val="20"/>
        </w:rPr>
        <w:t>the</w:t>
      </w:r>
      <w:r w:rsidRPr="00155C5B">
        <w:rPr>
          <w:rFonts w:ascii="Arial" w:hAnsi="Arial" w:cs="Arial"/>
          <w:sz w:val="20"/>
          <w:szCs w:val="20"/>
        </w:rPr>
        <w:t xml:space="preserve"> hardest</w:t>
      </w:r>
      <w:r>
        <w:rPr>
          <w:rFonts w:ascii="Arial" w:hAnsi="Arial" w:cs="Arial"/>
          <w:sz w:val="20"/>
          <w:szCs w:val="20"/>
        </w:rPr>
        <w:t>-</w:t>
      </w:r>
      <w:r w:rsidRPr="00155C5B">
        <w:rPr>
          <w:rFonts w:ascii="Arial" w:hAnsi="Arial" w:cs="Arial"/>
          <w:sz w:val="20"/>
          <w:szCs w:val="20"/>
        </w:rPr>
        <w:t xml:space="preserve">hit </w:t>
      </w:r>
      <w:r>
        <w:rPr>
          <w:rFonts w:ascii="Arial" w:hAnsi="Arial" w:cs="Arial"/>
          <w:sz w:val="20"/>
          <w:szCs w:val="20"/>
        </w:rPr>
        <w:t>SMME retailers</w:t>
      </w:r>
      <w:r w:rsidRPr="00155C5B">
        <w:rPr>
          <w:rFonts w:ascii="Arial" w:hAnsi="Arial" w:cs="Arial"/>
          <w:sz w:val="20"/>
          <w:szCs w:val="20"/>
        </w:rPr>
        <w:t xml:space="preserve">. The PI Group has increased the extent of </w:t>
      </w:r>
      <w:r>
        <w:rPr>
          <w:rFonts w:ascii="Arial" w:hAnsi="Arial" w:cs="Arial"/>
          <w:sz w:val="20"/>
          <w:szCs w:val="20"/>
        </w:rPr>
        <w:t>assistance</w:t>
      </w:r>
      <w:r w:rsidRPr="00155C5B">
        <w:rPr>
          <w:rFonts w:ascii="Arial" w:hAnsi="Arial" w:cs="Arial"/>
          <w:sz w:val="20"/>
          <w:szCs w:val="20"/>
        </w:rPr>
        <w:t xml:space="preserve">, </w:t>
      </w:r>
      <w:r>
        <w:rPr>
          <w:rFonts w:ascii="Arial" w:hAnsi="Arial" w:cs="Arial"/>
          <w:sz w:val="20"/>
          <w:szCs w:val="20"/>
        </w:rPr>
        <w:t>introduced more retailer categories</w:t>
      </w:r>
      <w:r w:rsidRPr="00155C5B">
        <w:rPr>
          <w:rFonts w:ascii="Arial" w:hAnsi="Arial" w:cs="Arial"/>
          <w:sz w:val="20"/>
          <w:szCs w:val="20"/>
        </w:rPr>
        <w:t>, provided addition</w:t>
      </w:r>
      <w:r>
        <w:rPr>
          <w:rFonts w:ascii="Arial" w:hAnsi="Arial" w:cs="Arial"/>
          <w:sz w:val="20"/>
          <w:szCs w:val="20"/>
        </w:rPr>
        <w:t>al</w:t>
      </w:r>
      <w:r w:rsidRPr="00155C5B">
        <w:rPr>
          <w:rFonts w:ascii="Arial" w:hAnsi="Arial" w:cs="Arial"/>
          <w:sz w:val="20"/>
          <w:szCs w:val="20"/>
        </w:rPr>
        <w:t xml:space="preserve"> options</w:t>
      </w:r>
      <w:r>
        <w:rPr>
          <w:rFonts w:ascii="Arial" w:hAnsi="Arial" w:cs="Arial"/>
          <w:sz w:val="20"/>
          <w:szCs w:val="20"/>
        </w:rPr>
        <w:t xml:space="preserve"> for some retailers</w:t>
      </w:r>
      <w:r w:rsidRPr="00155C5B">
        <w:rPr>
          <w:rFonts w:ascii="Arial" w:hAnsi="Arial" w:cs="Arial"/>
          <w:sz w:val="20"/>
          <w:szCs w:val="20"/>
        </w:rPr>
        <w:t xml:space="preserve"> and extended the benefits from two </w:t>
      </w:r>
      <w:r>
        <w:rPr>
          <w:rFonts w:ascii="Arial" w:hAnsi="Arial" w:cs="Arial"/>
          <w:sz w:val="20"/>
          <w:szCs w:val="20"/>
        </w:rPr>
        <w:t xml:space="preserve">months </w:t>
      </w:r>
      <w:r w:rsidRPr="00155C5B">
        <w:rPr>
          <w:rFonts w:ascii="Arial" w:hAnsi="Arial" w:cs="Arial"/>
          <w:sz w:val="20"/>
          <w:szCs w:val="20"/>
        </w:rPr>
        <w:t>to three</w:t>
      </w:r>
      <w:r>
        <w:rPr>
          <w:rFonts w:ascii="Arial" w:hAnsi="Arial" w:cs="Arial"/>
          <w:sz w:val="20"/>
          <w:szCs w:val="20"/>
        </w:rPr>
        <w:t xml:space="preserve"> months</w:t>
      </w:r>
      <w:r w:rsidRPr="00155C5B">
        <w:rPr>
          <w:rFonts w:ascii="Arial" w:hAnsi="Arial" w:cs="Arial"/>
          <w:sz w:val="20"/>
          <w:szCs w:val="20"/>
        </w:rPr>
        <w:t xml:space="preserve"> – April, May and June 2020.</w:t>
      </w:r>
    </w:p>
    <w:p w14:paraId="121A59BC" w14:textId="77777777" w:rsidR="0069243B" w:rsidRPr="00155C5B" w:rsidRDefault="0069243B" w:rsidP="0069243B">
      <w:pPr>
        <w:pStyle w:val="PlainText"/>
        <w:spacing w:line="276" w:lineRule="auto"/>
        <w:rPr>
          <w:rFonts w:ascii="Arial" w:hAnsi="Arial" w:cs="Arial"/>
          <w:sz w:val="20"/>
          <w:szCs w:val="20"/>
        </w:rPr>
      </w:pPr>
    </w:p>
    <w:p w14:paraId="17F12AE3" w14:textId="77777777" w:rsidR="0069243B" w:rsidRPr="00155C5B" w:rsidRDefault="0069243B" w:rsidP="0069243B">
      <w:pPr>
        <w:pStyle w:val="PlainText"/>
        <w:spacing w:line="276" w:lineRule="auto"/>
        <w:rPr>
          <w:rFonts w:ascii="Arial" w:hAnsi="Arial" w:cs="Arial"/>
          <w:sz w:val="20"/>
          <w:szCs w:val="20"/>
        </w:rPr>
      </w:pPr>
      <w:r w:rsidRPr="00155C5B">
        <w:rPr>
          <w:rFonts w:ascii="Arial" w:hAnsi="Arial" w:cs="Arial"/>
          <w:sz w:val="20"/>
          <w:szCs w:val="20"/>
        </w:rPr>
        <w:t xml:space="preserve">The retail tenant </w:t>
      </w:r>
      <w:r>
        <w:rPr>
          <w:rFonts w:ascii="Arial" w:hAnsi="Arial" w:cs="Arial"/>
          <w:sz w:val="20"/>
          <w:szCs w:val="20"/>
        </w:rPr>
        <w:t xml:space="preserve">assistance and </w:t>
      </w:r>
      <w:r w:rsidRPr="00155C5B">
        <w:rPr>
          <w:rFonts w:ascii="Arial" w:hAnsi="Arial" w:cs="Arial"/>
          <w:sz w:val="20"/>
          <w:szCs w:val="20"/>
        </w:rPr>
        <w:t xml:space="preserve">relief guidelines exclude office, </w:t>
      </w:r>
      <w:r>
        <w:rPr>
          <w:rFonts w:ascii="Arial" w:hAnsi="Arial" w:cs="Arial"/>
          <w:sz w:val="20"/>
          <w:szCs w:val="20"/>
        </w:rPr>
        <w:t xml:space="preserve">logistics, warehousing, </w:t>
      </w:r>
      <w:r w:rsidRPr="00155C5B">
        <w:rPr>
          <w:rFonts w:ascii="Arial" w:hAnsi="Arial" w:cs="Arial"/>
          <w:sz w:val="20"/>
          <w:szCs w:val="20"/>
        </w:rPr>
        <w:t xml:space="preserve">industrial, healthcare, hospitality and other tenants. </w:t>
      </w:r>
      <w:r>
        <w:rPr>
          <w:rFonts w:ascii="Arial" w:hAnsi="Arial" w:cs="Arial"/>
          <w:sz w:val="20"/>
          <w:szCs w:val="20"/>
        </w:rPr>
        <w:t xml:space="preserve">These </w:t>
      </w:r>
      <w:r w:rsidRPr="00155C5B">
        <w:rPr>
          <w:rFonts w:ascii="Arial" w:hAnsi="Arial" w:cs="Arial"/>
          <w:sz w:val="20"/>
          <w:szCs w:val="20"/>
        </w:rPr>
        <w:t>tenants should discuss their specific situations directly with their landlords</w:t>
      </w:r>
      <w:r>
        <w:rPr>
          <w:rFonts w:ascii="Arial" w:hAnsi="Arial" w:cs="Arial"/>
          <w:sz w:val="20"/>
          <w:szCs w:val="20"/>
        </w:rPr>
        <w:t xml:space="preserve">, who will consider them </w:t>
      </w:r>
      <w:r w:rsidRPr="00155C5B">
        <w:rPr>
          <w:rFonts w:ascii="Arial" w:hAnsi="Arial" w:cs="Arial"/>
          <w:sz w:val="20"/>
          <w:szCs w:val="20"/>
        </w:rPr>
        <w:t xml:space="preserve">on </w:t>
      </w:r>
      <w:r>
        <w:rPr>
          <w:rFonts w:ascii="Arial" w:hAnsi="Arial" w:cs="Arial"/>
          <w:sz w:val="20"/>
          <w:szCs w:val="20"/>
        </w:rPr>
        <w:t xml:space="preserve">a </w:t>
      </w:r>
      <w:r w:rsidRPr="00155C5B">
        <w:rPr>
          <w:rFonts w:ascii="Arial" w:hAnsi="Arial" w:cs="Arial"/>
          <w:sz w:val="20"/>
          <w:szCs w:val="20"/>
        </w:rPr>
        <w:t xml:space="preserve">case-by-case basis without reference </w:t>
      </w:r>
      <w:r>
        <w:rPr>
          <w:rFonts w:ascii="Arial" w:hAnsi="Arial" w:cs="Arial"/>
          <w:sz w:val="20"/>
          <w:szCs w:val="20"/>
        </w:rPr>
        <w:t xml:space="preserve">to the </w:t>
      </w:r>
      <w:r w:rsidRPr="00155C5B">
        <w:rPr>
          <w:rFonts w:ascii="Arial" w:hAnsi="Arial" w:cs="Arial"/>
          <w:sz w:val="20"/>
          <w:szCs w:val="20"/>
        </w:rPr>
        <w:t xml:space="preserve">retail tenant </w:t>
      </w:r>
      <w:r>
        <w:rPr>
          <w:rFonts w:ascii="Arial" w:hAnsi="Arial" w:cs="Arial"/>
          <w:sz w:val="20"/>
          <w:szCs w:val="20"/>
        </w:rPr>
        <w:t xml:space="preserve">assistance and </w:t>
      </w:r>
      <w:r w:rsidRPr="00155C5B">
        <w:rPr>
          <w:rFonts w:ascii="Arial" w:hAnsi="Arial" w:cs="Arial"/>
          <w:sz w:val="20"/>
          <w:szCs w:val="20"/>
        </w:rPr>
        <w:t>relief guidelines.</w:t>
      </w:r>
    </w:p>
    <w:p w14:paraId="1A06F2AD" w14:textId="77777777" w:rsidR="0069243B" w:rsidRPr="00155C5B" w:rsidRDefault="0069243B" w:rsidP="0069243B">
      <w:pPr>
        <w:pStyle w:val="PlainText"/>
        <w:spacing w:line="276" w:lineRule="auto"/>
        <w:rPr>
          <w:rFonts w:ascii="Arial" w:hAnsi="Arial" w:cs="Arial"/>
          <w:sz w:val="20"/>
          <w:szCs w:val="20"/>
        </w:rPr>
      </w:pPr>
    </w:p>
    <w:p w14:paraId="179890C5" w14:textId="77777777" w:rsidR="0069243B" w:rsidRDefault="0069243B" w:rsidP="0069243B">
      <w:pPr>
        <w:spacing w:line="276" w:lineRule="auto"/>
        <w:jc w:val="left"/>
        <w:rPr>
          <w:color w:val="000000"/>
          <w:sz w:val="20"/>
          <w:szCs w:val="20"/>
        </w:rPr>
      </w:pPr>
      <w:r w:rsidRPr="00155C5B">
        <w:rPr>
          <w:sz w:val="20"/>
          <w:szCs w:val="20"/>
        </w:rPr>
        <w:t xml:space="preserve">President Cyril Ramaphosa in his statement of 9 April 2020 said “I would like to appeal to all large businesses not to resort to </w:t>
      </w:r>
      <w:r w:rsidRPr="00155C5B">
        <w:rPr>
          <w:i/>
          <w:iCs/>
          <w:sz w:val="20"/>
          <w:szCs w:val="20"/>
        </w:rPr>
        <w:t xml:space="preserve">force majeure </w:t>
      </w:r>
      <w:r w:rsidRPr="00155C5B">
        <w:rPr>
          <w:sz w:val="20"/>
          <w:szCs w:val="20"/>
        </w:rPr>
        <w:t>and stop paying their suppliers and rental commitments, as such practice has a domino effect on all other businesses dependent on that chain.”</w:t>
      </w:r>
      <w:r>
        <w:rPr>
          <w:sz w:val="20"/>
          <w:szCs w:val="20"/>
        </w:rPr>
        <w:t xml:space="preserve"> </w:t>
      </w:r>
      <w:r w:rsidRPr="00155C5B">
        <w:rPr>
          <w:color w:val="000000"/>
          <w:sz w:val="20"/>
          <w:szCs w:val="20"/>
        </w:rPr>
        <w:t>For the property sector, this value chain includes more than 300</w:t>
      </w:r>
      <w:r>
        <w:rPr>
          <w:color w:val="000000"/>
          <w:sz w:val="20"/>
          <w:szCs w:val="20"/>
        </w:rPr>
        <w:t xml:space="preserve"> </w:t>
      </w:r>
      <w:r w:rsidRPr="00155C5B">
        <w:rPr>
          <w:color w:val="000000"/>
          <w:sz w:val="20"/>
          <w:szCs w:val="20"/>
        </w:rPr>
        <w:t xml:space="preserve">000 jobs directly and indirectly through its service providers such as security, cleaning, hygiene and technical services, and building and construction. </w:t>
      </w:r>
    </w:p>
    <w:p w14:paraId="52F698B4" w14:textId="77777777" w:rsidR="0069243B" w:rsidRDefault="0069243B" w:rsidP="0069243B">
      <w:pPr>
        <w:spacing w:line="276" w:lineRule="auto"/>
        <w:jc w:val="left"/>
        <w:rPr>
          <w:color w:val="000000"/>
          <w:sz w:val="20"/>
          <w:szCs w:val="20"/>
        </w:rPr>
      </w:pPr>
    </w:p>
    <w:p w14:paraId="594D01A3" w14:textId="77777777" w:rsidR="0069243B" w:rsidRDefault="0069243B" w:rsidP="0069243B">
      <w:pPr>
        <w:spacing w:line="276" w:lineRule="auto"/>
        <w:jc w:val="left"/>
        <w:rPr>
          <w:color w:val="000000"/>
          <w:sz w:val="20"/>
          <w:szCs w:val="20"/>
        </w:rPr>
      </w:pPr>
      <w:r w:rsidRPr="00155C5B">
        <w:rPr>
          <w:color w:val="000000"/>
          <w:sz w:val="20"/>
          <w:szCs w:val="20"/>
        </w:rPr>
        <w:t xml:space="preserve">The property sector is by far </w:t>
      </w:r>
      <w:r>
        <w:rPr>
          <w:color w:val="000000"/>
          <w:sz w:val="20"/>
          <w:szCs w:val="20"/>
        </w:rPr>
        <w:t>SA</w:t>
      </w:r>
      <w:r w:rsidRPr="00155C5B">
        <w:rPr>
          <w:color w:val="000000"/>
          <w:sz w:val="20"/>
          <w:szCs w:val="20"/>
        </w:rPr>
        <w:t>’s largest contributor to municipal rates and taxes. It is intertwined with the country’s banking and financial sectors and significantly contributes to the pensions and savings of South Africans.</w:t>
      </w:r>
      <w:r>
        <w:rPr>
          <w:color w:val="000000"/>
          <w:sz w:val="20"/>
          <w:szCs w:val="20"/>
        </w:rPr>
        <w:t xml:space="preserve"> A massive </w:t>
      </w:r>
      <w:r w:rsidRPr="0029542F">
        <w:rPr>
          <w:color w:val="000000"/>
          <w:sz w:val="20"/>
          <w:szCs w:val="20"/>
        </w:rPr>
        <w:t xml:space="preserve">72% of </w:t>
      </w:r>
      <w:r>
        <w:rPr>
          <w:color w:val="000000"/>
          <w:sz w:val="20"/>
          <w:szCs w:val="20"/>
        </w:rPr>
        <w:t>SA’s annual</w:t>
      </w:r>
      <w:r w:rsidRPr="0029542F">
        <w:rPr>
          <w:color w:val="000000"/>
          <w:sz w:val="20"/>
          <w:szCs w:val="20"/>
        </w:rPr>
        <w:t xml:space="preserve"> retail sales</w:t>
      </w:r>
      <w:r>
        <w:rPr>
          <w:color w:val="000000"/>
          <w:sz w:val="20"/>
          <w:szCs w:val="20"/>
        </w:rPr>
        <w:t>, totalling</w:t>
      </w:r>
      <w:r w:rsidRPr="00155C5B">
        <w:rPr>
          <w:color w:val="000000"/>
          <w:sz w:val="20"/>
          <w:szCs w:val="20"/>
        </w:rPr>
        <w:t xml:space="preserve"> R789</w:t>
      </w:r>
      <w:r>
        <w:rPr>
          <w:color w:val="000000"/>
          <w:sz w:val="20"/>
          <w:szCs w:val="20"/>
        </w:rPr>
        <w:t xml:space="preserve"> </w:t>
      </w:r>
      <w:r w:rsidRPr="00155C5B">
        <w:rPr>
          <w:color w:val="000000"/>
          <w:sz w:val="20"/>
          <w:szCs w:val="20"/>
        </w:rPr>
        <w:t>billion</w:t>
      </w:r>
      <w:r>
        <w:rPr>
          <w:color w:val="000000"/>
          <w:sz w:val="20"/>
          <w:szCs w:val="20"/>
        </w:rPr>
        <w:t>, take place at</w:t>
      </w:r>
      <w:r w:rsidRPr="00155C5B">
        <w:rPr>
          <w:color w:val="000000"/>
          <w:sz w:val="20"/>
          <w:szCs w:val="20"/>
        </w:rPr>
        <w:t xml:space="preserve"> shopping centres. Shopping centres</w:t>
      </w:r>
      <w:r>
        <w:rPr>
          <w:color w:val="000000"/>
          <w:sz w:val="20"/>
          <w:szCs w:val="20"/>
        </w:rPr>
        <w:t xml:space="preserve"> are</w:t>
      </w:r>
      <w:r w:rsidRPr="00155C5B">
        <w:rPr>
          <w:color w:val="000000"/>
          <w:sz w:val="20"/>
          <w:szCs w:val="20"/>
        </w:rPr>
        <w:t xml:space="preserve"> the nexus of </w:t>
      </w:r>
      <w:r>
        <w:rPr>
          <w:color w:val="000000"/>
          <w:sz w:val="20"/>
          <w:szCs w:val="20"/>
        </w:rPr>
        <w:t>SA’s</w:t>
      </w:r>
      <w:r w:rsidRPr="00155C5B">
        <w:rPr>
          <w:color w:val="000000"/>
          <w:sz w:val="20"/>
          <w:szCs w:val="20"/>
        </w:rPr>
        <w:t xml:space="preserve"> consumer-driven economy and will be pivotal in SA’s post-lockdown recovery. </w:t>
      </w:r>
    </w:p>
    <w:p w14:paraId="7A44B8A8" w14:textId="77777777" w:rsidR="0069243B" w:rsidRDefault="0069243B" w:rsidP="0069243B">
      <w:pPr>
        <w:spacing w:line="276" w:lineRule="auto"/>
        <w:jc w:val="left"/>
        <w:rPr>
          <w:color w:val="000000"/>
          <w:sz w:val="20"/>
          <w:szCs w:val="20"/>
        </w:rPr>
      </w:pPr>
    </w:p>
    <w:p w14:paraId="396CFB32" w14:textId="77777777" w:rsidR="0069243B" w:rsidRDefault="0069243B" w:rsidP="0069243B">
      <w:pPr>
        <w:spacing w:line="276" w:lineRule="auto"/>
        <w:jc w:val="left"/>
        <w:rPr>
          <w:color w:val="000000"/>
          <w:sz w:val="20"/>
          <w:szCs w:val="20"/>
        </w:rPr>
      </w:pPr>
      <w:r>
        <w:rPr>
          <w:color w:val="000000"/>
          <w:sz w:val="20"/>
          <w:szCs w:val="20"/>
        </w:rPr>
        <w:t>To sustain retail tenants during the lockdown</w:t>
      </w:r>
      <w:r w:rsidDel="00E871C2">
        <w:rPr>
          <w:color w:val="000000"/>
          <w:sz w:val="20"/>
          <w:szCs w:val="20"/>
        </w:rPr>
        <w:t>,</w:t>
      </w:r>
      <w:r>
        <w:rPr>
          <w:color w:val="000000"/>
          <w:sz w:val="20"/>
          <w:szCs w:val="20"/>
        </w:rPr>
        <w:t xml:space="preserve"> the property industry’s assistance guidelines offer relief for all affected retailers, regardless of size. SMME retailers, however, are the focus of the initiative. The PI Group proposes that small and micro retailers are given rental discounts of up to </w:t>
      </w:r>
      <w:r>
        <w:rPr>
          <w:color w:val="000000"/>
          <w:sz w:val="20"/>
          <w:szCs w:val="20"/>
        </w:rPr>
        <w:lastRenderedPageBreak/>
        <w:t>100% for April, with further substantial rental discounts and interest-free rental deferrals for May and June respectively.</w:t>
      </w:r>
    </w:p>
    <w:p w14:paraId="24ED71E0" w14:textId="77777777" w:rsidR="0069243B" w:rsidRDefault="0069243B" w:rsidP="0069243B">
      <w:pPr>
        <w:spacing w:line="276" w:lineRule="auto"/>
        <w:jc w:val="left"/>
        <w:rPr>
          <w:color w:val="000000"/>
          <w:sz w:val="20"/>
          <w:szCs w:val="20"/>
        </w:rPr>
      </w:pPr>
    </w:p>
    <w:p w14:paraId="44366781" w14:textId="77777777" w:rsidR="0069243B" w:rsidRPr="00155C5B" w:rsidRDefault="0069243B" w:rsidP="0069243B">
      <w:pPr>
        <w:spacing w:line="276" w:lineRule="auto"/>
        <w:jc w:val="left"/>
        <w:rPr>
          <w:color w:val="000000"/>
          <w:sz w:val="20"/>
          <w:szCs w:val="20"/>
        </w:rPr>
      </w:pPr>
      <w:r>
        <w:rPr>
          <w:color w:val="000000"/>
          <w:sz w:val="20"/>
          <w:szCs w:val="20"/>
        </w:rPr>
        <w:t>Adding to its far-reaching relief impacts, t</w:t>
      </w:r>
      <w:r w:rsidRPr="0029542F">
        <w:rPr>
          <w:color w:val="000000"/>
          <w:sz w:val="20"/>
          <w:szCs w:val="20"/>
        </w:rPr>
        <w:t>he PI Group is committed to continu</w:t>
      </w:r>
      <w:r>
        <w:rPr>
          <w:color w:val="000000"/>
          <w:sz w:val="20"/>
          <w:szCs w:val="20"/>
        </w:rPr>
        <w:t>ing</w:t>
      </w:r>
      <w:r w:rsidRPr="0029542F">
        <w:rPr>
          <w:color w:val="000000"/>
          <w:sz w:val="20"/>
          <w:szCs w:val="20"/>
        </w:rPr>
        <w:t xml:space="preserve"> paying its suppliers in full, including cleaning and security providers, </w:t>
      </w:r>
      <w:r>
        <w:rPr>
          <w:color w:val="000000"/>
          <w:sz w:val="20"/>
          <w:szCs w:val="20"/>
        </w:rPr>
        <w:t>and taking on</w:t>
      </w:r>
      <w:r w:rsidRPr="0029542F">
        <w:rPr>
          <w:color w:val="000000"/>
          <w:sz w:val="20"/>
          <w:szCs w:val="20"/>
        </w:rPr>
        <w:t xml:space="preserve"> the increased cost of enhanced hygiene </w:t>
      </w:r>
      <w:r w:rsidRPr="00DE0B19">
        <w:rPr>
          <w:color w:val="000000"/>
          <w:sz w:val="20"/>
          <w:szCs w:val="20"/>
        </w:rPr>
        <w:t>to protect against the spread of COVID-19</w:t>
      </w:r>
      <w:r w:rsidRPr="0029542F">
        <w:rPr>
          <w:color w:val="000000"/>
          <w:sz w:val="20"/>
          <w:szCs w:val="20"/>
        </w:rPr>
        <w:t xml:space="preserve">. This is helping to preserve thousands of jobs nationwide. The </w:t>
      </w:r>
      <w:r>
        <w:rPr>
          <w:color w:val="000000"/>
          <w:sz w:val="20"/>
          <w:szCs w:val="20"/>
        </w:rPr>
        <w:t>PI Group</w:t>
      </w:r>
      <w:r w:rsidRPr="0029542F">
        <w:rPr>
          <w:color w:val="000000"/>
          <w:sz w:val="20"/>
          <w:szCs w:val="20"/>
        </w:rPr>
        <w:t xml:space="preserve"> is also paying its rates and taxes, which are vital in supporting the sustainability of municipalities countrywide and by extension supporting the grass level communities and households among which both property and retail sectors conduct business.</w:t>
      </w:r>
    </w:p>
    <w:p w14:paraId="762DA47D" w14:textId="77777777" w:rsidR="0069243B" w:rsidRPr="00155C5B" w:rsidRDefault="0069243B" w:rsidP="0069243B">
      <w:pPr>
        <w:spacing w:line="276" w:lineRule="auto"/>
        <w:jc w:val="left"/>
        <w:rPr>
          <w:color w:val="000000"/>
          <w:sz w:val="20"/>
          <w:szCs w:val="20"/>
        </w:rPr>
      </w:pPr>
    </w:p>
    <w:p w14:paraId="500C4D70" w14:textId="77777777" w:rsidR="0069243B" w:rsidRPr="00155C5B" w:rsidRDefault="0069243B" w:rsidP="0069243B">
      <w:pPr>
        <w:pStyle w:val="PlainText"/>
        <w:spacing w:line="276" w:lineRule="auto"/>
        <w:rPr>
          <w:rFonts w:ascii="Arial" w:hAnsi="Arial" w:cs="Arial"/>
          <w:sz w:val="20"/>
          <w:szCs w:val="20"/>
        </w:rPr>
      </w:pPr>
      <w:r w:rsidRPr="00155C5B">
        <w:rPr>
          <w:rFonts w:ascii="Arial" w:hAnsi="Arial" w:cs="Arial"/>
          <w:sz w:val="20"/>
          <w:szCs w:val="20"/>
        </w:rPr>
        <w:t>Th</w:t>
      </w:r>
      <w:r>
        <w:rPr>
          <w:rFonts w:ascii="Arial" w:hAnsi="Arial" w:cs="Arial"/>
          <w:sz w:val="20"/>
          <w:szCs w:val="20"/>
        </w:rPr>
        <w:t xml:space="preserve">e </w:t>
      </w:r>
      <w:r w:rsidRPr="00155C5B">
        <w:rPr>
          <w:rFonts w:ascii="Arial" w:hAnsi="Arial" w:cs="Arial"/>
          <w:sz w:val="20"/>
          <w:szCs w:val="20"/>
        </w:rPr>
        <w:t xml:space="preserve">updated </w:t>
      </w:r>
      <w:r>
        <w:rPr>
          <w:rFonts w:ascii="Arial" w:hAnsi="Arial" w:cs="Arial"/>
          <w:sz w:val="20"/>
          <w:szCs w:val="20"/>
        </w:rPr>
        <w:t>retailer assistance and relief</w:t>
      </w:r>
      <w:r w:rsidRPr="00155C5B">
        <w:rPr>
          <w:rFonts w:ascii="Arial" w:hAnsi="Arial" w:cs="Arial"/>
          <w:sz w:val="20"/>
          <w:szCs w:val="20"/>
        </w:rPr>
        <w:t xml:space="preserve"> </w:t>
      </w:r>
      <w:r>
        <w:rPr>
          <w:rFonts w:ascii="Arial" w:hAnsi="Arial" w:cs="Arial"/>
          <w:sz w:val="20"/>
          <w:szCs w:val="20"/>
        </w:rPr>
        <w:t>guidelines</w:t>
      </w:r>
      <w:r w:rsidRPr="00155C5B">
        <w:rPr>
          <w:rFonts w:ascii="Arial" w:hAnsi="Arial" w:cs="Arial"/>
          <w:sz w:val="20"/>
          <w:szCs w:val="20"/>
        </w:rPr>
        <w:t xml:space="preserve"> </w:t>
      </w:r>
      <w:r>
        <w:rPr>
          <w:rFonts w:ascii="Arial" w:hAnsi="Arial" w:cs="Arial"/>
          <w:sz w:val="20"/>
          <w:szCs w:val="20"/>
        </w:rPr>
        <w:t xml:space="preserve">will </w:t>
      </w:r>
      <w:r w:rsidRPr="00155C5B">
        <w:rPr>
          <w:rFonts w:ascii="Arial" w:hAnsi="Arial" w:cs="Arial"/>
          <w:sz w:val="20"/>
          <w:szCs w:val="20"/>
        </w:rPr>
        <w:t xml:space="preserve">come at an enormous cost to the property industry which faces its own ominous set of challenges. </w:t>
      </w:r>
      <w:r w:rsidRPr="00155C5B">
        <w:rPr>
          <w:rFonts w:ascii="Arial" w:hAnsi="Arial" w:cs="Arial"/>
          <w:color w:val="000000"/>
          <w:sz w:val="20"/>
          <w:szCs w:val="20"/>
          <w:lang w:val="en-ZA"/>
        </w:rPr>
        <w:t>“S</w:t>
      </w:r>
      <w:r>
        <w:rPr>
          <w:rFonts w:ascii="Arial" w:hAnsi="Arial" w:cs="Arial"/>
          <w:color w:val="000000"/>
          <w:sz w:val="20"/>
          <w:szCs w:val="20"/>
          <w:lang w:val="en-ZA"/>
        </w:rPr>
        <w:t>A</w:t>
      </w:r>
      <w:r w:rsidRPr="00155C5B">
        <w:rPr>
          <w:rFonts w:ascii="Arial" w:hAnsi="Arial" w:cs="Arial"/>
          <w:color w:val="000000"/>
          <w:sz w:val="20"/>
          <w:szCs w:val="20"/>
          <w:lang w:val="en-ZA"/>
        </w:rPr>
        <w:t xml:space="preserve">’s property sector has voluntarily committed to the relief guidelines even though it hasn’t received any sources of relief, and we’re shouldering our share of the pain. </w:t>
      </w:r>
      <w:r>
        <w:rPr>
          <w:rFonts w:ascii="Arial" w:hAnsi="Arial" w:cs="Arial"/>
          <w:color w:val="000000"/>
          <w:sz w:val="20"/>
          <w:szCs w:val="20"/>
          <w:lang w:val="en-ZA"/>
        </w:rPr>
        <w:t>We are paying our full obligations while giving retail tenants substantial discounts and we have</w:t>
      </w:r>
      <w:r w:rsidRPr="00155C5B">
        <w:rPr>
          <w:rFonts w:ascii="Arial" w:hAnsi="Arial" w:cs="Arial"/>
          <w:color w:val="000000"/>
          <w:sz w:val="20"/>
          <w:szCs w:val="20"/>
          <w:lang w:val="en-ZA"/>
        </w:rPr>
        <w:t xml:space="preserve"> gone as far as we can in assisting retail tenants with our updated proposal. Our entire value chain is only as strong as the weakest link. If all the pressure continues to be placed on a single link, it will break and result in</w:t>
      </w:r>
      <w:r>
        <w:rPr>
          <w:rFonts w:ascii="Arial" w:hAnsi="Arial" w:cs="Arial"/>
          <w:color w:val="000000"/>
          <w:sz w:val="20"/>
          <w:szCs w:val="20"/>
          <w:lang w:val="en-ZA"/>
        </w:rPr>
        <w:t xml:space="preserve"> </w:t>
      </w:r>
      <w:r w:rsidRPr="00155C5B">
        <w:rPr>
          <w:rFonts w:ascii="Arial" w:hAnsi="Arial" w:cs="Arial"/>
          <w:color w:val="000000"/>
          <w:sz w:val="20"/>
          <w:szCs w:val="20"/>
          <w:lang w:val="en-ZA"/>
        </w:rPr>
        <w:t xml:space="preserve">systemic collapse that will be felt in every household in </w:t>
      </w:r>
      <w:r>
        <w:rPr>
          <w:rFonts w:ascii="Arial" w:hAnsi="Arial" w:cs="Arial"/>
          <w:color w:val="000000"/>
          <w:sz w:val="20"/>
          <w:szCs w:val="20"/>
          <w:lang w:val="en-ZA"/>
        </w:rPr>
        <w:t>SA,</w:t>
      </w:r>
      <w:r w:rsidRPr="00155C5B">
        <w:rPr>
          <w:rFonts w:ascii="Arial" w:hAnsi="Arial" w:cs="Arial"/>
          <w:color w:val="000000"/>
          <w:sz w:val="20"/>
          <w:szCs w:val="20"/>
          <w:lang w:val="en-ZA"/>
        </w:rPr>
        <w:t xml:space="preserve">” </w:t>
      </w:r>
      <w:r w:rsidRPr="00155C5B">
        <w:rPr>
          <w:rFonts w:ascii="Arial" w:hAnsi="Arial" w:cs="Arial"/>
          <w:sz w:val="20"/>
          <w:szCs w:val="20"/>
        </w:rPr>
        <w:t xml:space="preserve">says Estienne de Klerk, spokesperson for </w:t>
      </w:r>
      <w:r>
        <w:rPr>
          <w:rFonts w:ascii="Arial" w:hAnsi="Arial" w:cs="Arial"/>
          <w:sz w:val="20"/>
          <w:szCs w:val="20"/>
        </w:rPr>
        <w:t>t</w:t>
      </w:r>
      <w:r w:rsidRPr="00155C5B">
        <w:rPr>
          <w:rFonts w:ascii="Arial" w:hAnsi="Arial" w:cs="Arial"/>
          <w:sz w:val="20"/>
          <w:szCs w:val="20"/>
        </w:rPr>
        <w:t>he Property Industry Group and Chairman of the SA REIT Association.</w:t>
      </w:r>
    </w:p>
    <w:p w14:paraId="0303AF9D" w14:textId="77777777" w:rsidR="0069243B" w:rsidRPr="00155C5B" w:rsidRDefault="0069243B" w:rsidP="0069243B">
      <w:pPr>
        <w:pStyle w:val="PlainText"/>
        <w:spacing w:line="276" w:lineRule="auto"/>
        <w:rPr>
          <w:rFonts w:ascii="Arial" w:hAnsi="Arial" w:cs="Arial"/>
          <w:sz w:val="20"/>
          <w:szCs w:val="20"/>
        </w:rPr>
      </w:pPr>
    </w:p>
    <w:p w14:paraId="3F74B90E" w14:textId="77777777" w:rsidR="0069243B" w:rsidRPr="00155C5B" w:rsidRDefault="0069243B" w:rsidP="0069243B">
      <w:pPr>
        <w:pStyle w:val="PlainText"/>
        <w:spacing w:line="276" w:lineRule="auto"/>
        <w:rPr>
          <w:color w:val="000000"/>
          <w:sz w:val="20"/>
          <w:szCs w:val="20"/>
          <w:lang w:val="en-ZA"/>
        </w:rPr>
      </w:pPr>
      <w:r w:rsidRPr="00155C5B">
        <w:rPr>
          <w:rFonts w:ascii="Arial" w:hAnsi="Arial" w:cs="Arial"/>
          <w:sz w:val="20"/>
          <w:szCs w:val="20"/>
        </w:rPr>
        <w:t xml:space="preserve">“We encourage retailers to pursue all avenues of support available to them,” he adds. The property industry </w:t>
      </w:r>
      <w:r>
        <w:rPr>
          <w:rFonts w:ascii="Arial" w:hAnsi="Arial" w:cs="Arial"/>
          <w:sz w:val="20"/>
          <w:szCs w:val="20"/>
        </w:rPr>
        <w:t>guidelines</w:t>
      </w:r>
      <w:r w:rsidRPr="00155C5B">
        <w:rPr>
          <w:rFonts w:ascii="Arial" w:hAnsi="Arial" w:cs="Arial"/>
          <w:sz w:val="20"/>
          <w:szCs w:val="20"/>
        </w:rPr>
        <w:t xml:space="preserve"> allocate less support to retailers that have insurance cover or receive relief from other sources in order to focus benefits on retail tenants that don’t qualify for other assistance.</w:t>
      </w:r>
    </w:p>
    <w:p w14:paraId="7BEC2F91" w14:textId="77777777" w:rsidR="0069243B" w:rsidRPr="00155C5B" w:rsidRDefault="0069243B" w:rsidP="0069243B">
      <w:pPr>
        <w:pStyle w:val="PlainText"/>
        <w:spacing w:line="276" w:lineRule="auto"/>
        <w:rPr>
          <w:rFonts w:ascii="Arial" w:hAnsi="Arial" w:cs="Arial"/>
          <w:sz w:val="20"/>
          <w:szCs w:val="20"/>
        </w:rPr>
      </w:pPr>
    </w:p>
    <w:p w14:paraId="2EE9CA95" w14:textId="77777777" w:rsidR="0069243B" w:rsidRPr="00155C5B" w:rsidRDefault="0069243B" w:rsidP="0069243B">
      <w:pPr>
        <w:pStyle w:val="PlainText"/>
        <w:spacing w:line="276" w:lineRule="auto"/>
        <w:rPr>
          <w:rFonts w:ascii="Arial" w:hAnsi="Arial" w:cs="Arial"/>
          <w:sz w:val="20"/>
          <w:szCs w:val="20"/>
        </w:rPr>
      </w:pPr>
      <w:r w:rsidRPr="00155C5B">
        <w:rPr>
          <w:rFonts w:ascii="Arial" w:hAnsi="Arial" w:cs="Arial"/>
          <w:sz w:val="20"/>
          <w:szCs w:val="20"/>
        </w:rPr>
        <w:t xml:space="preserve">The industry’s </w:t>
      </w:r>
      <w:r>
        <w:rPr>
          <w:rFonts w:ascii="Arial" w:hAnsi="Arial" w:cs="Arial"/>
          <w:sz w:val="20"/>
          <w:szCs w:val="20"/>
        </w:rPr>
        <w:t xml:space="preserve">assistance and </w:t>
      </w:r>
      <w:r w:rsidRPr="00155C5B">
        <w:rPr>
          <w:rFonts w:ascii="Arial" w:hAnsi="Arial" w:cs="Arial"/>
          <w:sz w:val="20"/>
          <w:szCs w:val="20"/>
        </w:rPr>
        <w:t xml:space="preserve">relief </w:t>
      </w:r>
      <w:r>
        <w:rPr>
          <w:rFonts w:ascii="Arial" w:hAnsi="Arial" w:cs="Arial"/>
          <w:sz w:val="20"/>
          <w:szCs w:val="20"/>
        </w:rPr>
        <w:t>guidelines</w:t>
      </w:r>
      <w:r w:rsidRPr="00155C5B">
        <w:rPr>
          <w:rFonts w:ascii="Arial" w:hAnsi="Arial" w:cs="Arial"/>
          <w:sz w:val="20"/>
          <w:szCs w:val="20"/>
        </w:rPr>
        <w:t xml:space="preserve"> still stipulate that all tenants with accounts in good standing at 29 February 2020 can be assured that there will not be any evictions during the lockdown period applicable to them</w:t>
      </w:r>
      <w:r>
        <w:rPr>
          <w:rFonts w:ascii="Arial" w:hAnsi="Arial" w:cs="Arial"/>
          <w:sz w:val="20"/>
          <w:szCs w:val="20"/>
        </w:rPr>
        <w:t>,</w:t>
      </w:r>
      <w:r w:rsidRPr="00155C5B">
        <w:rPr>
          <w:rFonts w:ascii="Arial" w:hAnsi="Arial" w:cs="Arial"/>
          <w:sz w:val="20"/>
          <w:szCs w:val="20"/>
        </w:rPr>
        <w:t xml:space="preserve"> and they will qualify for some form of assistance from </w:t>
      </w:r>
      <w:r>
        <w:rPr>
          <w:rFonts w:ascii="Arial" w:hAnsi="Arial" w:cs="Arial"/>
          <w:sz w:val="20"/>
          <w:szCs w:val="20"/>
        </w:rPr>
        <w:t xml:space="preserve">participating </w:t>
      </w:r>
      <w:r w:rsidRPr="00155C5B">
        <w:rPr>
          <w:rFonts w:ascii="Arial" w:hAnsi="Arial" w:cs="Arial"/>
          <w:sz w:val="20"/>
          <w:szCs w:val="20"/>
        </w:rPr>
        <w:t xml:space="preserve">landlords. The initiative targets preserving jobs – for retailers, their suppliers and service providers – and to qualify for the relief benefits, retail tenants will need to undertake not to retrench staff during the relief period. </w:t>
      </w:r>
    </w:p>
    <w:p w14:paraId="5A0D882D" w14:textId="77777777" w:rsidR="0069243B" w:rsidRPr="00155C5B" w:rsidRDefault="0069243B" w:rsidP="0069243B">
      <w:pPr>
        <w:pStyle w:val="PlainText"/>
        <w:spacing w:line="276" w:lineRule="auto"/>
        <w:rPr>
          <w:rFonts w:ascii="Arial" w:hAnsi="Arial" w:cs="Arial"/>
          <w:sz w:val="20"/>
          <w:szCs w:val="20"/>
        </w:rPr>
      </w:pPr>
    </w:p>
    <w:p w14:paraId="542DFC37" w14:textId="77777777" w:rsidR="0069243B" w:rsidRDefault="0069243B" w:rsidP="0069243B">
      <w:pPr>
        <w:pStyle w:val="PlainText"/>
        <w:spacing w:line="276" w:lineRule="auto"/>
        <w:rPr>
          <w:rFonts w:ascii="Arial" w:hAnsi="Arial" w:cs="Arial"/>
          <w:sz w:val="20"/>
          <w:szCs w:val="20"/>
        </w:rPr>
      </w:pPr>
      <w:r w:rsidRPr="00155C5B">
        <w:rPr>
          <w:rFonts w:ascii="Arial" w:hAnsi="Arial" w:cs="Arial"/>
          <w:sz w:val="20"/>
          <w:szCs w:val="20"/>
        </w:rPr>
        <w:t>Retailers should apply to their landlords directly for assistance</w:t>
      </w:r>
      <w:r>
        <w:rPr>
          <w:rFonts w:ascii="Arial" w:hAnsi="Arial" w:cs="Arial"/>
          <w:sz w:val="20"/>
          <w:szCs w:val="20"/>
        </w:rPr>
        <w:t>.</w:t>
      </w:r>
      <w:r w:rsidRPr="00155C5B">
        <w:rPr>
          <w:rFonts w:ascii="Arial" w:hAnsi="Arial" w:cs="Arial"/>
          <w:sz w:val="20"/>
          <w:szCs w:val="20"/>
        </w:rPr>
        <w:t xml:space="preserve"> </w:t>
      </w:r>
      <w:r w:rsidRPr="008F2AAE">
        <w:rPr>
          <w:rFonts w:ascii="Arial" w:hAnsi="Arial" w:cs="Arial"/>
          <w:sz w:val="20"/>
          <w:szCs w:val="20"/>
        </w:rPr>
        <w:t xml:space="preserve">Each </w:t>
      </w:r>
      <w:r>
        <w:rPr>
          <w:rFonts w:ascii="Arial" w:hAnsi="Arial" w:cs="Arial"/>
          <w:sz w:val="20"/>
          <w:szCs w:val="20"/>
        </w:rPr>
        <w:t xml:space="preserve">participating </w:t>
      </w:r>
      <w:r w:rsidRPr="008F2AAE">
        <w:rPr>
          <w:rFonts w:ascii="Arial" w:hAnsi="Arial" w:cs="Arial"/>
          <w:sz w:val="20"/>
          <w:szCs w:val="20"/>
        </w:rPr>
        <w:t xml:space="preserve">landlord </w:t>
      </w:r>
      <w:r>
        <w:rPr>
          <w:rFonts w:ascii="Arial" w:hAnsi="Arial" w:cs="Arial"/>
          <w:sz w:val="20"/>
          <w:szCs w:val="20"/>
        </w:rPr>
        <w:t>can</w:t>
      </w:r>
      <w:r w:rsidRPr="008F2AAE">
        <w:rPr>
          <w:rFonts w:ascii="Arial" w:hAnsi="Arial" w:cs="Arial"/>
          <w:sz w:val="20"/>
          <w:szCs w:val="20"/>
        </w:rPr>
        <w:t xml:space="preserve"> offer additional relief and </w:t>
      </w:r>
      <w:r>
        <w:rPr>
          <w:rFonts w:ascii="Arial" w:hAnsi="Arial" w:cs="Arial"/>
          <w:sz w:val="20"/>
          <w:szCs w:val="20"/>
        </w:rPr>
        <w:t>support</w:t>
      </w:r>
      <w:r w:rsidRPr="008F2AAE">
        <w:rPr>
          <w:rFonts w:ascii="Arial" w:hAnsi="Arial" w:cs="Arial"/>
          <w:sz w:val="20"/>
          <w:szCs w:val="20"/>
        </w:rPr>
        <w:t xml:space="preserve"> on a case-by-case basis at their discretion</w:t>
      </w:r>
      <w:r>
        <w:rPr>
          <w:rFonts w:ascii="Arial" w:hAnsi="Arial" w:cs="Arial"/>
          <w:sz w:val="20"/>
          <w:szCs w:val="20"/>
        </w:rPr>
        <w:t>. However,</w:t>
      </w:r>
      <w:r w:rsidRPr="008F2AAE">
        <w:rPr>
          <w:rFonts w:ascii="Arial" w:hAnsi="Arial" w:cs="Arial"/>
          <w:sz w:val="20"/>
          <w:szCs w:val="20"/>
        </w:rPr>
        <w:t xml:space="preserve"> the </w:t>
      </w:r>
      <w:r>
        <w:rPr>
          <w:rFonts w:ascii="Arial" w:hAnsi="Arial" w:cs="Arial"/>
          <w:sz w:val="20"/>
          <w:szCs w:val="20"/>
        </w:rPr>
        <w:t xml:space="preserve">guideline for retail SMMEs </w:t>
      </w:r>
      <w:r w:rsidRPr="008F2AAE">
        <w:rPr>
          <w:rFonts w:ascii="Arial" w:hAnsi="Arial" w:cs="Arial"/>
          <w:sz w:val="20"/>
          <w:szCs w:val="20"/>
        </w:rPr>
        <w:t>is the minimum that qualifying retailers can expect</w:t>
      </w:r>
      <w:r>
        <w:rPr>
          <w:rFonts w:ascii="Arial" w:hAnsi="Arial" w:cs="Arial"/>
          <w:sz w:val="20"/>
          <w:szCs w:val="20"/>
        </w:rPr>
        <w:t xml:space="preserve"> from participating landlords</w:t>
      </w:r>
      <w:r w:rsidRPr="008F2AAE">
        <w:rPr>
          <w:rFonts w:ascii="Arial" w:hAnsi="Arial" w:cs="Arial"/>
          <w:sz w:val="20"/>
          <w:szCs w:val="20"/>
        </w:rPr>
        <w:t xml:space="preserve">. </w:t>
      </w:r>
    </w:p>
    <w:p w14:paraId="0331A9F8" w14:textId="77777777" w:rsidR="0069243B" w:rsidRDefault="0069243B" w:rsidP="0069243B">
      <w:pPr>
        <w:pStyle w:val="PlainText"/>
        <w:spacing w:line="276" w:lineRule="auto"/>
        <w:rPr>
          <w:rFonts w:ascii="Arial" w:hAnsi="Arial" w:cs="Arial"/>
          <w:sz w:val="20"/>
          <w:szCs w:val="20"/>
        </w:rPr>
      </w:pPr>
    </w:p>
    <w:p w14:paraId="2352365C" w14:textId="77777777" w:rsidR="0069243B" w:rsidRPr="00155C5B" w:rsidRDefault="0069243B" w:rsidP="0069243B">
      <w:pPr>
        <w:pStyle w:val="PlainText"/>
        <w:spacing w:line="276" w:lineRule="auto"/>
        <w:rPr>
          <w:rFonts w:ascii="Arial" w:hAnsi="Arial" w:cs="Arial"/>
          <w:sz w:val="20"/>
          <w:szCs w:val="20"/>
        </w:rPr>
      </w:pPr>
      <w:r w:rsidRPr="00155C5B">
        <w:rPr>
          <w:rFonts w:ascii="Arial" w:hAnsi="Arial" w:cs="Arial"/>
          <w:sz w:val="20"/>
          <w:szCs w:val="20"/>
        </w:rPr>
        <w:t>The extent of rental relief (rental includes rent, operating costs and parking rent</w:t>
      </w:r>
      <w:r>
        <w:rPr>
          <w:rFonts w:ascii="Arial" w:hAnsi="Arial" w:cs="Arial"/>
          <w:sz w:val="20"/>
          <w:szCs w:val="20"/>
        </w:rPr>
        <w:t xml:space="preserve"> </w:t>
      </w:r>
      <w:r w:rsidRPr="00155C5B">
        <w:rPr>
          <w:rFonts w:ascii="Arial" w:hAnsi="Arial" w:cs="Arial"/>
          <w:sz w:val="20"/>
          <w:szCs w:val="20"/>
        </w:rPr>
        <w:t xml:space="preserve">but excludes all rates and taxes recoveries, utility cost recoveries and insurance), which includes discounts and interest-free deferrals, is detailed in the following tables: </w:t>
      </w:r>
    </w:p>
    <w:p w14:paraId="23FC21CC" w14:textId="77777777" w:rsidR="0069243B" w:rsidRDefault="0069243B" w:rsidP="0069243B">
      <w:pPr>
        <w:pStyle w:val="PlainText"/>
        <w:spacing w:line="276" w:lineRule="auto"/>
      </w:pPr>
    </w:p>
    <w:p w14:paraId="1AA94656" w14:textId="77777777" w:rsidR="0069243B" w:rsidRDefault="0069243B" w:rsidP="0069243B">
      <w:pPr>
        <w:rPr>
          <w:b/>
        </w:rPr>
      </w:pPr>
      <w:r>
        <w:rPr>
          <w:b/>
        </w:rPr>
        <w:t>Retail tenant classification and guidelines</w:t>
      </w:r>
    </w:p>
    <w:p w14:paraId="6AFBFFB2" w14:textId="77777777" w:rsidR="0069243B" w:rsidRDefault="0069243B" w:rsidP="0069243B">
      <w:pPr>
        <w:rPr>
          <w:b/>
        </w:rPr>
      </w:pPr>
    </w:p>
    <w:p w14:paraId="608D412E" w14:textId="77777777" w:rsidR="0069243B" w:rsidRPr="00614A45" w:rsidRDefault="0069243B" w:rsidP="0069243B">
      <w:pPr>
        <w:pStyle w:val="PlainText"/>
        <w:rPr>
          <w:rFonts w:ascii="Arial" w:hAnsi="Arial" w:cs="Arial"/>
          <w:b/>
          <w:bCs/>
          <w:sz w:val="18"/>
          <w:szCs w:val="18"/>
        </w:rPr>
      </w:pPr>
      <w:r w:rsidRPr="00614A45">
        <w:rPr>
          <w:rFonts w:ascii="Arial" w:hAnsi="Arial" w:cs="Arial"/>
          <w:b/>
          <w:bCs/>
          <w:sz w:val="18"/>
          <w:szCs w:val="18"/>
        </w:rPr>
        <w:t>SMME RETAILERS (categorised by the DTI as having annual turnover of up to R80 million)</w:t>
      </w:r>
    </w:p>
    <w:tbl>
      <w:tblPr>
        <w:tblStyle w:val="TableGrid"/>
        <w:tblW w:w="0" w:type="auto"/>
        <w:tblLook w:val="04A0" w:firstRow="1" w:lastRow="0" w:firstColumn="1" w:lastColumn="0" w:noHBand="0" w:noVBand="1"/>
      </w:tblPr>
      <w:tblGrid>
        <w:gridCol w:w="2942"/>
        <w:gridCol w:w="3369"/>
        <w:gridCol w:w="2468"/>
      </w:tblGrid>
      <w:tr w:rsidR="0069243B" w:rsidRPr="00614A45" w14:paraId="79BC40E4" w14:textId="77777777" w:rsidTr="0029542F">
        <w:tc>
          <w:tcPr>
            <w:tcW w:w="3006" w:type="dxa"/>
          </w:tcPr>
          <w:p w14:paraId="260A62BF" w14:textId="77777777" w:rsidR="0069243B" w:rsidRPr="00614A45" w:rsidRDefault="0069243B" w:rsidP="0029542F">
            <w:pPr>
              <w:rPr>
                <w:b/>
                <w:bCs/>
                <w:sz w:val="18"/>
                <w:szCs w:val="18"/>
              </w:rPr>
            </w:pPr>
            <w:r w:rsidRPr="00614A45">
              <w:rPr>
                <w:b/>
                <w:bCs/>
                <w:sz w:val="18"/>
                <w:szCs w:val="18"/>
              </w:rPr>
              <w:t>Category</w:t>
            </w:r>
          </w:p>
        </w:tc>
        <w:tc>
          <w:tcPr>
            <w:tcW w:w="3469" w:type="dxa"/>
          </w:tcPr>
          <w:p w14:paraId="777AF57A" w14:textId="77777777" w:rsidR="0069243B" w:rsidRPr="00614A45" w:rsidRDefault="0069243B" w:rsidP="0029542F">
            <w:pPr>
              <w:rPr>
                <w:b/>
                <w:bCs/>
                <w:sz w:val="18"/>
                <w:szCs w:val="18"/>
              </w:rPr>
            </w:pPr>
            <w:r w:rsidRPr="00614A45">
              <w:rPr>
                <w:b/>
                <w:bCs/>
                <w:sz w:val="18"/>
                <w:szCs w:val="18"/>
              </w:rPr>
              <w:t>Basic assistance and relief</w:t>
            </w:r>
          </w:p>
        </w:tc>
        <w:tc>
          <w:tcPr>
            <w:tcW w:w="2541" w:type="dxa"/>
          </w:tcPr>
          <w:p w14:paraId="43283D16" w14:textId="77777777" w:rsidR="0069243B" w:rsidRPr="00614A45" w:rsidRDefault="0069243B" w:rsidP="0029542F">
            <w:pPr>
              <w:rPr>
                <w:b/>
                <w:bCs/>
                <w:sz w:val="18"/>
                <w:szCs w:val="18"/>
              </w:rPr>
            </w:pPr>
            <w:r w:rsidRPr="00614A45">
              <w:rPr>
                <w:b/>
                <w:bCs/>
                <w:sz w:val="18"/>
                <w:szCs w:val="18"/>
              </w:rPr>
              <w:t>Interest-free deferment recovery period</w:t>
            </w:r>
          </w:p>
        </w:tc>
      </w:tr>
      <w:tr w:rsidR="0069243B" w:rsidRPr="00614A45" w14:paraId="5013BA54" w14:textId="77777777" w:rsidTr="0029542F">
        <w:tc>
          <w:tcPr>
            <w:tcW w:w="3006" w:type="dxa"/>
          </w:tcPr>
          <w:p w14:paraId="46126B1B" w14:textId="77777777" w:rsidR="0069243B" w:rsidRPr="00614A45" w:rsidRDefault="0069243B" w:rsidP="0029542F">
            <w:pPr>
              <w:jc w:val="left"/>
              <w:rPr>
                <w:sz w:val="18"/>
                <w:szCs w:val="18"/>
              </w:rPr>
            </w:pPr>
            <w:r w:rsidRPr="00614A45">
              <w:rPr>
                <w:sz w:val="18"/>
                <w:szCs w:val="18"/>
              </w:rPr>
              <w:t xml:space="preserve">Level 1: Highly impacted retailers </w:t>
            </w:r>
            <w:r w:rsidRPr="00614A45">
              <w:rPr>
                <w:sz w:val="18"/>
              </w:rPr>
              <w:t>(e.g. companies selling time and services such as restaurants, hairdressers, nail salons, theatres, travel agents, take-aways,</w:t>
            </w:r>
            <w:r>
              <w:rPr>
                <w:sz w:val="18"/>
              </w:rPr>
              <w:t xml:space="preserve"> independent stores of any group brands/franchisees</w:t>
            </w:r>
            <w:r w:rsidRPr="00614A45">
              <w:rPr>
                <w:sz w:val="18"/>
              </w:rPr>
              <w:t xml:space="preserve"> etc.)</w:t>
            </w:r>
          </w:p>
        </w:tc>
        <w:tc>
          <w:tcPr>
            <w:tcW w:w="3469" w:type="dxa"/>
          </w:tcPr>
          <w:p w14:paraId="4BA3C373" w14:textId="77777777" w:rsidR="0069243B" w:rsidRPr="00614A45" w:rsidRDefault="0069243B" w:rsidP="0029542F">
            <w:pPr>
              <w:pStyle w:val="PlainText"/>
              <w:rPr>
                <w:rFonts w:ascii="Arial" w:hAnsi="Arial" w:cs="Arial"/>
                <w:sz w:val="18"/>
                <w:szCs w:val="18"/>
              </w:rPr>
            </w:pPr>
            <w:r w:rsidRPr="00614A45">
              <w:rPr>
                <w:rFonts w:ascii="Arial" w:hAnsi="Arial" w:cs="Arial"/>
                <w:sz w:val="18"/>
                <w:szCs w:val="18"/>
              </w:rPr>
              <w:t>April 2020</w:t>
            </w:r>
            <w:r>
              <w:rPr>
                <w:rFonts w:ascii="Arial" w:hAnsi="Arial" w:cs="Arial"/>
                <w:sz w:val="18"/>
                <w:szCs w:val="18"/>
              </w:rPr>
              <w:t>:</w:t>
            </w:r>
          </w:p>
          <w:p w14:paraId="648DE80B" w14:textId="77777777" w:rsidR="0069243B" w:rsidRPr="00614A45" w:rsidRDefault="0069243B" w:rsidP="0069243B">
            <w:pPr>
              <w:pStyle w:val="PlainText"/>
              <w:numPr>
                <w:ilvl w:val="0"/>
                <w:numId w:val="26"/>
              </w:numPr>
              <w:rPr>
                <w:rFonts w:ascii="Arial" w:hAnsi="Arial" w:cs="Arial"/>
                <w:sz w:val="18"/>
                <w:szCs w:val="18"/>
              </w:rPr>
            </w:pPr>
            <w:r w:rsidRPr="00614A45">
              <w:rPr>
                <w:rFonts w:ascii="Arial" w:hAnsi="Arial" w:cs="Arial"/>
                <w:b/>
                <w:sz w:val="18"/>
                <w:szCs w:val="18"/>
              </w:rPr>
              <w:t xml:space="preserve">60% to 100% </w:t>
            </w:r>
            <w:r>
              <w:rPr>
                <w:rFonts w:ascii="Arial" w:hAnsi="Arial" w:cs="Arial"/>
                <w:b/>
                <w:sz w:val="18"/>
                <w:szCs w:val="18"/>
              </w:rPr>
              <w:t>R</w:t>
            </w:r>
            <w:r w:rsidRPr="00614A45">
              <w:rPr>
                <w:rFonts w:ascii="Arial" w:hAnsi="Arial" w:cs="Arial"/>
                <w:b/>
                <w:sz w:val="18"/>
                <w:szCs w:val="18"/>
              </w:rPr>
              <w:t>ental discount</w:t>
            </w:r>
            <w:r w:rsidRPr="00614A45">
              <w:rPr>
                <w:rFonts w:ascii="Arial" w:hAnsi="Arial" w:cs="Arial"/>
                <w:sz w:val="18"/>
                <w:szCs w:val="18"/>
              </w:rPr>
              <w:t xml:space="preserve"> and further potential relief could be in the form of</w:t>
            </w:r>
            <w:r>
              <w:rPr>
                <w:rFonts w:ascii="Arial" w:hAnsi="Arial" w:cs="Arial"/>
                <w:sz w:val="18"/>
                <w:szCs w:val="18"/>
              </w:rPr>
              <w:t xml:space="preserve"> additional</w:t>
            </w:r>
            <w:r w:rsidRPr="00614A45">
              <w:rPr>
                <w:rFonts w:ascii="Arial" w:hAnsi="Arial" w:cs="Arial"/>
                <w:sz w:val="18"/>
                <w:szCs w:val="18"/>
              </w:rPr>
              <w:t xml:space="preserve"> </w:t>
            </w:r>
            <w:r>
              <w:rPr>
                <w:rFonts w:ascii="Arial" w:hAnsi="Arial" w:cs="Arial"/>
                <w:sz w:val="18"/>
                <w:szCs w:val="18"/>
              </w:rPr>
              <w:t>R</w:t>
            </w:r>
            <w:r w:rsidRPr="00614A45">
              <w:rPr>
                <w:rFonts w:ascii="Arial" w:hAnsi="Arial" w:cs="Arial"/>
                <w:sz w:val="18"/>
                <w:szCs w:val="18"/>
              </w:rPr>
              <w:t>ental deferments</w:t>
            </w:r>
          </w:p>
          <w:p w14:paraId="330BE2F6" w14:textId="77777777" w:rsidR="0069243B" w:rsidRPr="00614A45" w:rsidRDefault="0069243B" w:rsidP="0029542F">
            <w:pPr>
              <w:pStyle w:val="PlainText"/>
              <w:rPr>
                <w:rFonts w:ascii="Arial" w:hAnsi="Arial" w:cs="Arial"/>
                <w:sz w:val="18"/>
                <w:szCs w:val="18"/>
              </w:rPr>
            </w:pPr>
            <w:r w:rsidRPr="00614A45">
              <w:rPr>
                <w:rFonts w:ascii="Arial" w:hAnsi="Arial" w:cs="Arial"/>
                <w:sz w:val="18"/>
                <w:szCs w:val="18"/>
              </w:rPr>
              <w:t>May 2020</w:t>
            </w:r>
            <w:r>
              <w:rPr>
                <w:rFonts w:ascii="Arial" w:hAnsi="Arial" w:cs="Arial"/>
                <w:sz w:val="18"/>
                <w:szCs w:val="18"/>
              </w:rPr>
              <w:t>:</w:t>
            </w:r>
          </w:p>
          <w:p w14:paraId="6A0EBF99" w14:textId="77777777" w:rsidR="0069243B" w:rsidRDefault="0069243B" w:rsidP="0069243B">
            <w:pPr>
              <w:pStyle w:val="PlainText"/>
              <w:numPr>
                <w:ilvl w:val="0"/>
                <w:numId w:val="26"/>
              </w:numPr>
              <w:rPr>
                <w:rFonts w:ascii="Arial" w:hAnsi="Arial" w:cs="Arial"/>
                <w:sz w:val="18"/>
                <w:szCs w:val="18"/>
              </w:rPr>
            </w:pPr>
            <w:r>
              <w:rPr>
                <w:rFonts w:ascii="Arial" w:hAnsi="Arial" w:cs="Arial"/>
                <w:b/>
                <w:sz w:val="18"/>
                <w:szCs w:val="18"/>
              </w:rPr>
              <w:t>U</w:t>
            </w:r>
            <w:r w:rsidRPr="00614A45">
              <w:rPr>
                <w:rFonts w:ascii="Arial" w:hAnsi="Arial" w:cs="Arial"/>
                <w:b/>
                <w:sz w:val="18"/>
                <w:szCs w:val="18"/>
              </w:rPr>
              <w:t>p to 5</w:t>
            </w:r>
            <w:r>
              <w:rPr>
                <w:rFonts w:ascii="Arial" w:hAnsi="Arial" w:cs="Arial"/>
                <w:b/>
                <w:sz w:val="18"/>
                <w:szCs w:val="18"/>
              </w:rPr>
              <w:t>5</w:t>
            </w:r>
            <w:r w:rsidRPr="00614A45">
              <w:rPr>
                <w:rFonts w:ascii="Arial" w:hAnsi="Arial" w:cs="Arial"/>
                <w:b/>
                <w:sz w:val="18"/>
                <w:szCs w:val="18"/>
              </w:rPr>
              <w:t xml:space="preserve">% </w:t>
            </w:r>
            <w:r>
              <w:rPr>
                <w:rFonts w:ascii="Arial" w:hAnsi="Arial" w:cs="Arial"/>
                <w:b/>
                <w:sz w:val="18"/>
                <w:szCs w:val="18"/>
              </w:rPr>
              <w:t>R</w:t>
            </w:r>
            <w:r w:rsidRPr="00614A45">
              <w:rPr>
                <w:rFonts w:ascii="Arial" w:hAnsi="Arial" w:cs="Arial"/>
                <w:b/>
                <w:sz w:val="18"/>
                <w:szCs w:val="18"/>
              </w:rPr>
              <w:t>ental discount</w:t>
            </w:r>
            <w:r w:rsidRPr="00614A45">
              <w:rPr>
                <w:rFonts w:ascii="Arial" w:hAnsi="Arial" w:cs="Arial"/>
                <w:sz w:val="18"/>
                <w:szCs w:val="18"/>
              </w:rPr>
              <w:t xml:space="preserve"> and further relief could be in the form of </w:t>
            </w:r>
            <w:r>
              <w:rPr>
                <w:rFonts w:ascii="Arial" w:hAnsi="Arial" w:cs="Arial"/>
                <w:sz w:val="18"/>
                <w:szCs w:val="18"/>
              </w:rPr>
              <w:t>additional R</w:t>
            </w:r>
            <w:r w:rsidRPr="00614A45">
              <w:rPr>
                <w:rFonts w:ascii="Arial" w:hAnsi="Arial" w:cs="Arial"/>
                <w:sz w:val="18"/>
                <w:szCs w:val="18"/>
              </w:rPr>
              <w:t xml:space="preserve">ental deferments </w:t>
            </w:r>
          </w:p>
          <w:p w14:paraId="52D92E51" w14:textId="77777777" w:rsidR="0069243B" w:rsidRPr="001E77A0" w:rsidRDefault="0069243B" w:rsidP="0029542F">
            <w:pPr>
              <w:pStyle w:val="PlainText"/>
              <w:rPr>
                <w:rFonts w:ascii="Arial" w:hAnsi="Arial" w:cs="Arial"/>
                <w:sz w:val="18"/>
                <w:szCs w:val="18"/>
              </w:rPr>
            </w:pPr>
            <w:r>
              <w:rPr>
                <w:rFonts w:ascii="Arial" w:hAnsi="Arial" w:cs="Arial"/>
                <w:sz w:val="18"/>
                <w:szCs w:val="18"/>
              </w:rPr>
              <w:t>June</w:t>
            </w:r>
            <w:r w:rsidRPr="001E77A0">
              <w:rPr>
                <w:rFonts w:ascii="Arial" w:hAnsi="Arial" w:cs="Arial"/>
                <w:sz w:val="18"/>
                <w:szCs w:val="18"/>
              </w:rPr>
              <w:t xml:space="preserve"> 2020</w:t>
            </w:r>
            <w:r>
              <w:rPr>
                <w:rFonts w:ascii="Arial" w:hAnsi="Arial" w:cs="Arial"/>
                <w:sz w:val="18"/>
                <w:szCs w:val="18"/>
              </w:rPr>
              <w:t>:</w:t>
            </w:r>
          </w:p>
          <w:p w14:paraId="70D2BC2E" w14:textId="77777777" w:rsidR="0069243B" w:rsidRPr="00F6068C" w:rsidRDefault="0069243B" w:rsidP="0069243B">
            <w:pPr>
              <w:pStyle w:val="PlainText"/>
              <w:numPr>
                <w:ilvl w:val="0"/>
                <w:numId w:val="26"/>
              </w:numPr>
              <w:rPr>
                <w:rFonts w:ascii="Arial" w:hAnsi="Arial" w:cs="Arial"/>
                <w:sz w:val="18"/>
                <w:szCs w:val="18"/>
              </w:rPr>
            </w:pPr>
            <w:r w:rsidRPr="00F6068C">
              <w:rPr>
                <w:rFonts w:ascii="Arial" w:hAnsi="Arial" w:cs="Arial"/>
                <w:b/>
                <w:bCs/>
                <w:sz w:val="18"/>
                <w:szCs w:val="18"/>
              </w:rPr>
              <w:t xml:space="preserve">Up to 45% </w:t>
            </w:r>
            <w:r>
              <w:rPr>
                <w:rFonts w:ascii="Arial" w:hAnsi="Arial" w:cs="Arial"/>
                <w:b/>
                <w:bCs/>
                <w:sz w:val="18"/>
                <w:szCs w:val="18"/>
              </w:rPr>
              <w:t>R</w:t>
            </w:r>
            <w:r w:rsidRPr="00F6068C">
              <w:rPr>
                <w:rFonts w:ascii="Arial" w:hAnsi="Arial" w:cs="Arial"/>
                <w:b/>
                <w:bCs/>
                <w:sz w:val="18"/>
                <w:szCs w:val="18"/>
              </w:rPr>
              <w:t xml:space="preserve">ental </w:t>
            </w:r>
            <w:r w:rsidRPr="00584D07">
              <w:rPr>
                <w:rFonts w:ascii="Arial" w:hAnsi="Arial" w:cs="Arial"/>
                <w:b/>
                <w:bCs/>
                <w:sz w:val="18"/>
                <w:szCs w:val="18"/>
              </w:rPr>
              <w:t>deferment</w:t>
            </w:r>
            <w:r w:rsidRPr="00584D07" w:rsidDel="00584D07">
              <w:rPr>
                <w:rFonts w:ascii="Arial" w:hAnsi="Arial" w:cs="Arial"/>
                <w:b/>
                <w:bCs/>
                <w:sz w:val="18"/>
                <w:szCs w:val="18"/>
              </w:rPr>
              <w:t xml:space="preserve"> </w:t>
            </w:r>
            <w:r w:rsidRPr="001E77A0">
              <w:rPr>
                <w:rFonts w:ascii="Arial" w:hAnsi="Arial" w:cs="Arial"/>
                <w:sz w:val="18"/>
                <w:szCs w:val="18"/>
              </w:rPr>
              <w:t xml:space="preserve">and further relief could be in the form of </w:t>
            </w:r>
            <w:r>
              <w:rPr>
                <w:rFonts w:ascii="Arial" w:hAnsi="Arial" w:cs="Arial"/>
                <w:sz w:val="18"/>
                <w:szCs w:val="18"/>
              </w:rPr>
              <w:t>additional r</w:t>
            </w:r>
            <w:r w:rsidRPr="001E77A0">
              <w:rPr>
                <w:rFonts w:ascii="Arial" w:hAnsi="Arial" w:cs="Arial"/>
                <w:sz w:val="18"/>
                <w:szCs w:val="18"/>
              </w:rPr>
              <w:t>ental deferments</w:t>
            </w:r>
          </w:p>
        </w:tc>
        <w:tc>
          <w:tcPr>
            <w:tcW w:w="2541" w:type="dxa"/>
          </w:tcPr>
          <w:p w14:paraId="5F8A19FC" w14:textId="77777777" w:rsidR="0069243B" w:rsidRPr="00614A45" w:rsidRDefault="0069243B" w:rsidP="0029542F">
            <w:pPr>
              <w:jc w:val="left"/>
              <w:rPr>
                <w:sz w:val="18"/>
                <w:szCs w:val="18"/>
              </w:rPr>
            </w:pPr>
            <w:r w:rsidRPr="00614A45">
              <w:rPr>
                <w:sz w:val="18"/>
                <w:szCs w:val="18"/>
              </w:rPr>
              <w:t xml:space="preserve">Over six to </w:t>
            </w:r>
            <w:r>
              <w:rPr>
                <w:sz w:val="18"/>
                <w:szCs w:val="18"/>
              </w:rPr>
              <w:t>twelve</w:t>
            </w:r>
            <w:r w:rsidRPr="00614A45">
              <w:rPr>
                <w:sz w:val="18"/>
                <w:szCs w:val="18"/>
              </w:rPr>
              <w:t xml:space="preserve"> months from 1 July 2020</w:t>
            </w:r>
          </w:p>
        </w:tc>
      </w:tr>
      <w:tr w:rsidR="0069243B" w:rsidRPr="00614A45" w14:paraId="699007A0" w14:textId="77777777" w:rsidTr="0029542F">
        <w:tc>
          <w:tcPr>
            <w:tcW w:w="3006" w:type="dxa"/>
          </w:tcPr>
          <w:p w14:paraId="1FE003EE" w14:textId="77777777" w:rsidR="0069243B" w:rsidRPr="00614A45" w:rsidRDefault="0069243B" w:rsidP="0029542F">
            <w:pPr>
              <w:jc w:val="left"/>
              <w:rPr>
                <w:sz w:val="18"/>
                <w:szCs w:val="18"/>
              </w:rPr>
            </w:pPr>
            <w:r w:rsidRPr="00614A45">
              <w:rPr>
                <w:sz w:val="18"/>
                <w:szCs w:val="18"/>
              </w:rPr>
              <w:lastRenderedPageBreak/>
              <w:t>Level 2: M</w:t>
            </w:r>
            <w:r>
              <w:rPr>
                <w:sz w:val="18"/>
                <w:szCs w:val="18"/>
              </w:rPr>
              <w:t>oderately</w:t>
            </w:r>
            <w:r w:rsidRPr="00614A45">
              <w:rPr>
                <w:sz w:val="18"/>
                <w:szCs w:val="18"/>
              </w:rPr>
              <w:t xml:space="preserve"> impacted retailers </w:t>
            </w:r>
            <w:r w:rsidRPr="00614A45">
              <w:rPr>
                <w:sz w:val="18"/>
              </w:rPr>
              <w:t>(e.g. companies selling product that doesn’t have a limited shelf-life, etc</w:t>
            </w:r>
            <w:r w:rsidRPr="00614A45">
              <w:rPr>
                <w:sz w:val="18"/>
                <w:szCs w:val="18"/>
              </w:rPr>
              <w:t>.</w:t>
            </w:r>
            <w:r>
              <w:rPr>
                <w:sz w:val="18"/>
                <w:szCs w:val="18"/>
              </w:rPr>
              <w:t>; groups of stores belonging to one franchisor</w:t>
            </w:r>
            <w:r w:rsidRPr="00614A45">
              <w:rPr>
                <w:sz w:val="18"/>
                <w:szCs w:val="18"/>
              </w:rPr>
              <w:t>)</w:t>
            </w:r>
          </w:p>
        </w:tc>
        <w:tc>
          <w:tcPr>
            <w:tcW w:w="3469" w:type="dxa"/>
          </w:tcPr>
          <w:p w14:paraId="70038C03" w14:textId="77777777" w:rsidR="0069243B" w:rsidRPr="00614A45" w:rsidRDefault="0069243B" w:rsidP="0029542F">
            <w:pPr>
              <w:pStyle w:val="PlainText"/>
              <w:rPr>
                <w:rFonts w:ascii="Arial" w:hAnsi="Arial" w:cs="Arial"/>
                <w:sz w:val="18"/>
                <w:szCs w:val="18"/>
              </w:rPr>
            </w:pPr>
            <w:r w:rsidRPr="00614A45">
              <w:rPr>
                <w:rFonts w:ascii="Arial" w:hAnsi="Arial" w:cs="Arial"/>
                <w:sz w:val="18"/>
                <w:szCs w:val="18"/>
              </w:rPr>
              <w:t>April 2020:</w:t>
            </w:r>
          </w:p>
          <w:p w14:paraId="531F4507" w14:textId="77777777" w:rsidR="0069243B" w:rsidRPr="00614A45" w:rsidRDefault="0069243B" w:rsidP="0069243B">
            <w:pPr>
              <w:pStyle w:val="PlainText"/>
              <w:numPr>
                <w:ilvl w:val="0"/>
                <w:numId w:val="28"/>
              </w:numPr>
              <w:rPr>
                <w:rFonts w:ascii="Arial" w:hAnsi="Arial" w:cs="Arial"/>
                <w:sz w:val="18"/>
                <w:szCs w:val="18"/>
              </w:rPr>
            </w:pPr>
            <w:r w:rsidRPr="00614A45">
              <w:rPr>
                <w:rFonts w:ascii="Arial" w:hAnsi="Arial" w:cs="Arial"/>
                <w:b/>
                <w:sz w:val="18"/>
                <w:szCs w:val="18"/>
              </w:rPr>
              <w:t xml:space="preserve">50% to </w:t>
            </w:r>
            <w:r>
              <w:rPr>
                <w:rFonts w:ascii="Arial" w:hAnsi="Arial" w:cs="Arial"/>
                <w:b/>
                <w:sz w:val="18"/>
                <w:szCs w:val="18"/>
              </w:rPr>
              <w:t>7</w:t>
            </w:r>
            <w:r w:rsidRPr="00614A45">
              <w:rPr>
                <w:rFonts w:ascii="Arial" w:hAnsi="Arial" w:cs="Arial"/>
                <w:b/>
                <w:sz w:val="18"/>
                <w:szCs w:val="18"/>
              </w:rPr>
              <w:t xml:space="preserve">5% </w:t>
            </w:r>
            <w:r>
              <w:rPr>
                <w:rFonts w:ascii="Arial" w:hAnsi="Arial" w:cs="Arial"/>
                <w:b/>
                <w:sz w:val="18"/>
                <w:szCs w:val="18"/>
              </w:rPr>
              <w:t>R</w:t>
            </w:r>
            <w:r w:rsidRPr="00614A45">
              <w:rPr>
                <w:rFonts w:ascii="Arial" w:hAnsi="Arial" w:cs="Arial"/>
                <w:b/>
                <w:sz w:val="18"/>
                <w:szCs w:val="18"/>
              </w:rPr>
              <w:t>ental discount</w:t>
            </w:r>
            <w:r w:rsidRPr="00614A45">
              <w:rPr>
                <w:rFonts w:ascii="Arial" w:hAnsi="Arial" w:cs="Arial"/>
                <w:sz w:val="18"/>
                <w:szCs w:val="18"/>
              </w:rPr>
              <w:t xml:space="preserve"> and further potential relief could be in the form of </w:t>
            </w:r>
            <w:r>
              <w:rPr>
                <w:rFonts w:ascii="Arial" w:hAnsi="Arial" w:cs="Arial"/>
                <w:sz w:val="18"/>
                <w:szCs w:val="18"/>
              </w:rPr>
              <w:t>additional R</w:t>
            </w:r>
            <w:r w:rsidRPr="00614A45">
              <w:rPr>
                <w:rFonts w:ascii="Arial" w:hAnsi="Arial" w:cs="Arial"/>
                <w:sz w:val="18"/>
                <w:szCs w:val="18"/>
              </w:rPr>
              <w:t>ental deferments</w:t>
            </w:r>
          </w:p>
          <w:p w14:paraId="71A7F3C8" w14:textId="77777777" w:rsidR="0069243B" w:rsidRPr="00614A45" w:rsidRDefault="0069243B" w:rsidP="0029542F">
            <w:pPr>
              <w:pStyle w:val="PlainText"/>
              <w:rPr>
                <w:rFonts w:ascii="Arial" w:hAnsi="Arial" w:cs="Arial"/>
                <w:sz w:val="18"/>
                <w:szCs w:val="18"/>
              </w:rPr>
            </w:pPr>
            <w:r w:rsidRPr="00614A45">
              <w:rPr>
                <w:rFonts w:ascii="Arial" w:hAnsi="Arial" w:cs="Arial"/>
                <w:sz w:val="18"/>
                <w:szCs w:val="18"/>
              </w:rPr>
              <w:t>May 2020:</w:t>
            </w:r>
          </w:p>
          <w:p w14:paraId="5340427B" w14:textId="77777777" w:rsidR="0069243B" w:rsidRDefault="0069243B" w:rsidP="0069243B">
            <w:pPr>
              <w:pStyle w:val="PlainText"/>
              <w:numPr>
                <w:ilvl w:val="0"/>
                <w:numId w:val="28"/>
              </w:numPr>
              <w:rPr>
                <w:rFonts w:ascii="Arial" w:hAnsi="Arial" w:cs="Arial"/>
                <w:sz w:val="18"/>
                <w:szCs w:val="18"/>
              </w:rPr>
            </w:pPr>
            <w:r w:rsidRPr="00614A45">
              <w:rPr>
                <w:rFonts w:ascii="Arial" w:hAnsi="Arial" w:cs="Arial"/>
                <w:b/>
                <w:sz w:val="18"/>
                <w:szCs w:val="18"/>
              </w:rPr>
              <w:t xml:space="preserve">Up to </w:t>
            </w:r>
            <w:r>
              <w:rPr>
                <w:rFonts w:ascii="Arial" w:hAnsi="Arial" w:cs="Arial"/>
                <w:b/>
                <w:sz w:val="18"/>
                <w:szCs w:val="18"/>
              </w:rPr>
              <w:t>5</w:t>
            </w:r>
            <w:r w:rsidRPr="00614A45">
              <w:rPr>
                <w:rFonts w:ascii="Arial" w:hAnsi="Arial" w:cs="Arial"/>
                <w:b/>
                <w:sz w:val="18"/>
                <w:szCs w:val="18"/>
              </w:rPr>
              <w:t xml:space="preserve">0% </w:t>
            </w:r>
            <w:r>
              <w:rPr>
                <w:rFonts w:ascii="Arial" w:hAnsi="Arial" w:cs="Arial"/>
                <w:b/>
                <w:sz w:val="18"/>
                <w:szCs w:val="18"/>
              </w:rPr>
              <w:t>R</w:t>
            </w:r>
            <w:r w:rsidRPr="00614A45">
              <w:rPr>
                <w:rFonts w:ascii="Arial" w:hAnsi="Arial" w:cs="Arial"/>
                <w:b/>
                <w:sz w:val="18"/>
                <w:szCs w:val="18"/>
              </w:rPr>
              <w:t>ental discount</w:t>
            </w:r>
            <w:r w:rsidRPr="00614A45">
              <w:rPr>
                <w:rFonts w:ascii="Arial" w:hAnsi="Arial" w:cs="Arial"/>
                <w:sz w:val="18"/>
                <w:szCs w:val="18"/>
              </w:rPr>
              <w:t xml:space="preserve"> and further relief could be in the form of </w:t>
            </w:r>
            <w:r>
              <w:rPr>
                <w:rFonts w:ascii="Arial" w:hAnsi="Arial" w:cs="Arial"/>
                <w:sz w:val="18"/>
                <w:szCs w:val="18"/>
              </w:rPr>
              <w:t>additional R</w:t>
            </w:r>
            <w:r w:rsidRPr="00614A45">
              <w:rPr>
                <w:rFonts w:ascii="Arial" w:hAnsi="Arial" w:cs="Arial"/>
                <w:sz w:val="18"/>
                <w:szCs w:val="18"/>
              </w:rPr>
              <w:t>ental deferments</w:t>
            </w:r>
          </w:p>
          <w:p w14:paraId="63434837" w14:textId="77777777" w:rsidR="0069243B" w:rsidRPr="001E77A0" w:rsidRDefault="0069243B" w:rsidP="0029542F">
            <w:pPr>
              <w:pStyle w:val="PlainText"/>
              <w:rPr>
                <w:rFonts w:ascii="Arial" w:hAnsi="Arial" w:cs="Arial"/>
                <w:sz w:val="18"/>
                <w:szCs w:val="18"/>
              </w:rPr>
            </w:pPr>
            <w:r w:rsidRPr="001E77A0">
              <w:rPr>
                <w:rFonts w:ascii="Arial" w:hAnsi="Arial" w:cs="Arial"/>
                <w:sz w:val="18"/>
                <w:szCs w:val="18"/>
              </w:rPr>
              <w:t>June 2020</w:t>
            </w:r>
            <w:r>
              <w:rPr>
                <w:rFonts w:ascii="Arial" w:hAnsi="Arial" w:cs="Arial"/>
                <w:sz w:val="18"/>
                <w:szCs w:val="18"/>
              </w:rPr>
              <w:t>:</w:t>
            </w:r>
          </w:p>
          <w:p w14:paraId="27365686" w14:textId="77777777" w:rsidR="0069243B" w:rsidRPr="00614A45" w:rsidRDefault="0069243B" w:rsidP="0069243B">
            <w:pPr>
              <w:pStyle w:val="PlainText"/>
              <w:numPr>
                <w:ilvl w:val="0"/>
                <w:numId w:val="28"/>
              </w:numPr>
              <w:rPr>
                <w:rFonts w:ascii="Arial" w:hAnsi="Arial" w:cs="Arial"/>
                <w:sz w:val="18"/>
                <w:szCs w:val="18"/>
              </w:rPr>
            </w:pPr>
            <w:r w:rsidRPr="00F6068C">
              <w:rPr>
                <w:rFonts w:ascii="Arial" w:hAnsi="Arial" w:cs="Arial"/>
                <w:b/>
                <w:bCs/>
                <w:sz w:val="18"/>
                <w:szCs w:val="18"/>
              </w:rPr>
              <w:t>Up to 4</w:t>
            </w:r>
            <w:r>
              <w:rPr>
                <w:rFonts w:ascii="Arial" w:hAnsi="Arial" w:cs="Arial"/>
                <w:b/>
                <w:bCs/>
                <w:sz w:val="18"/>
                <w:szCs w:val="18"/>
              </w:rPr>
              <w:t>0</w:t>
            </w:r>
            <w:r w:rsidRPr="00F6068C">
              <w:rPr>
                <w:rFonts w:ascii="Arial" w:hAnsi="Arial" w:cs="Arial"/>
                <w:b/>
                <w:bCs/>
                <w:sz w:val="18"/>
                <w:szCs w:val="18"/>
              </w:rPr>
              <w:t xml:space="preserve">% </w:t>
            </w:r>
            <w:r>
              <w:rPr>
                <w:rFonts w:ascii="Arial" w:hAnsi="Arial" w:cs="Arial"/>
                <w:b/>
                <w:bCs/>
                <w:sz w:val="18"/>
                <w:szCs w:val="18"/>
              </w:rPr>
              <w:t>R</w:t>
            </w:r>
            <w:r w:rsidRPr="00F6068C">
              <w:rPr>
                <w:rFonts w:ascii="Arial" w:hAnsi="Arial" w:cs="Arial"/>
                <w:b/>
                <w:bCs/>
                <w:sz w:val="18"/>
                <w:szCs w:val="18"/>
              </w:rPr>
              <w:t xml:space="preserve">ental </w:t>
            </w:r>
            <w:r w:rsidRPr="00584D07">
              <w:rPr>
                <w:rFonts w:ascii="Arial" w:hAnsi="Arial" w:cs="Arial"/>
                <w:b/>
                <w:bCs/>
                <w:sz w:val="18"/>
                <w:szCs w:val="18"/>
              </w:rPr>
              <w:t>deferment</w:t>
            </w:r>
            <w:r w:rsidRPr="00584D07" w:rsidDel="00584D07">
              <w:rPr>
                <w:rFonts w:ascii="Arial" w:hAnsi="Arial" w:cs="Arial"/>
                <w:b/>
                <w:bCs/>
                <w:sz w:val="18"/>
                <w:szCs w:val="18"/>
              </w:rPr>
              <w:t xml:space="preserve"> </w:t>
            </w:r>
            <w:r w:rsidRPr="001E77A0">
              <w:rPr>
                <w:rFonts w:ascii="Arial" w:hAnsi="Arial" w:cs="Arial"/>
                <w:sz w:val="18"/>
                <w:szCs w:val="18"/>
              </w:rPr>
              <w:t xml:space="preserve">and further relief could be in the form of </w:t>
            </w:r>
            <w:r>
              <w:rPr>
                <w:rFonts w:ascii="Arial" w:hAnsi="Arial" w:cs="Arial"/>
                <w:sz w:val="18"/>
                <w:szCs w:val="18"/>
              </w:rPr>
              <w:t>additional r</w:t>
            </w:r>
            <w:r w:rsidRPr="001E77A0">
              <w:rPr>
                <w:rFonts w:ascii="Arial" w:hAnsi="Arial" w:cs="Arial"/>
                <w:sz w:val="18"/>
                <w:szCs w:val="18"/>
              </w:rPr>
              <w:t>ental deferments</w:t>
            </w:r>
          </w:p>
        </w:tc>
        <w:tc>
          <w:tcPr>
            <w:tcW w:w="2541" w:type="dxa"/>
          </w:tcPr>
          <w:p w14:paraId="6AA225C6" w14:textId="77777777" w:rsidR="0069243B" w:rsidRPr="00614A45" w:rsidRDefault="0069243B" w:rsidP="0029542F">
            <w:pPr>
              <w:jc w:val="left"/>
              <w:rPr>
                <w:sz w:val="18"/>
                <w:szCs w:val="18"/>
              </w:rPr>
            </w:pPr>
            <w:r w:rsidRPr="00614A45">
              <w:rPr>
                <w:sz w:val="18"/>
                <w:szCs w:val="18"/>
              </w:rPr>
              <w:t xml:space="preserve">Over six to </w:t>
            </w:r>
            <w:r>
              <w:rPr>
                <w:sz w:val="18"/>
                <w:szCs w:val="18"/>
              </w:rPr>
              <w:t>twelve</w:t>
            </w:r>
            <w:r w:rsidRPr="00614A45">
              <w:rPr>
                <w:sz w:val="18"/>
                <w:szCs w:val="18"/>
              </w:rPr>
              <w:t xml:space="preserve"> months from 1 July 2020</w:t>
            </w:r>
          </w:p>
        </w:tc>
      </w:tr>
      <w:tr w:rsidR="0069243B" w:rsidRPr="00614A45" w14:paraId="41A3528E" w14:textId="77777777" w:rsidTr="0029542F">
        <w:tc>
          <w:tcPr>
            <w:tcW w:w="9016" w:type="dxa"/>
            <w:gridSpan w:val="3"/>
          </w:tcPr>
          <w:p w14:paraId="55817824" w14:textId="77777777" w:rsidR="0069243B" w:rsidRPr="00614A45" w:rsidRDefault="0069243B" w:rsidP="0069243B">
            <w:pPr>
              <w:pStyle w:val="PlainText"/>
              <w:numPr>
                <w:ilvl w:val="0"/>
                <w:numId w:val="29"/>
              </w:numPr>
              <w:rPr>
                <w:rFonts w:ascii="Arial" w:hAnsi="Arial" w:cs="Arial"/>
                <w:sz w:val="16"/>
                <w:szCs w:val="16"/>
              </w:rPr>
            </w:pPr>
            <w:r w:rsidRPr="00614A45">
              <w:rPr>
                <w:rFonts w:ascii="Arial" w:hAnsi="Arial" w:cs="Arial"/>
                <w:sz w:val="16"/>
                <w:szCs w:val="16"/>
              </w:rPr>
              <w:t xml:space="preserve">Tenants’ financial position and </w:t>
            </w:r>
            <w:r>
              <w:rPr>
                <w:rFonts w:ascii="Arial" w:hAnsi="Arial" w:cs="Arial"/>
                <w:sz w:val="16"/>
                <w:szCs w:val="16"/>
              </w:rPr>
              <w:t xml:space="preserve">strength of their balance sheets </w:t>
            </w:r>
            <w:r w:rsidRPr="00614A45">
              <w:rPr>
                <w:rFonts w:ascii="Arial" w:hAnsi="Arial" w:cs="Arial"/>
                <w:sz w:val="16"/>
                <w:szCs w:val="16"/>
              </w:rPr>
              <w:t xml:space="preserve">to be assessed by </w:t>
            </w:r>
            <w:r>
              <w:rPr>
                <w:rFonts w:ascii="Arial" w:hAnsi="Arial" w:cs="Arial"/>
                <w:sz w:val="16"/>
                <w:szCs w:val="16"/>
              </w:rPr>
              <w:t xml:space="preserve">the </w:t>
            </w:r>
            <w:r w:rsidRPr="00614A45">
              <w:rPr>
                <w:rFonts w:ascii="Arial" w:hAnsi="Arial" w:cs="Arial"/>
                <w:sz w:val="16"/>
                <w:szCs w:val="16"/>
              </w:rPr>
              <w:t xml:space="preserve">landlord to classify </w:t>
            </w:r>
            <w:r>
              <w:rPr>
                <w:rFonts w:ascii="Arial" w:hAnsi="Arial" w:cs="Arial"/>
                <w:sz w:val="16"/>
                <w:szCs w:val="16"/>
              </w:rPr>
              <w:t>the</w:t>
            </w:r>
            <w:r w:rsidRPr="00614A45">
              <w:rPr>
                <w:rFonts w:ascii="Arial" w:hAnsi="Arial" w:cs="Arial"/>
                <w:sz w:val="16"/>
                <w:szCs w:val="16"/>
              </w:rPr>
              <w:t xml:space="preserve"> impact category</w:t>
            </w:r>
            <w:r>
              <w:rPr>
                <w:rFonts w:ascii="Arial" w:hAnsi="Arial" w:cs="Arial"/>
                <w:sz w:val="16"/>
                <w:szCs w:val="16"/>
              </w:rPr>
              <w:t>.</w:t>
            </w:r>
          </w:p>
          <w:p w14:paraId="62EACFF2" w14:textId="77777777" w:rsidR="0069243B" w:rsidRPr="00614A45" w:rsidRDefault="0069243B" w:rsidP="0069243B">
            <w:pPr>
              <w:pStyle w:val="PlainText"/>
              <w:numPr>
                <w:ilvl w:val="0"/>
                <w:numId w:val="29"/>
              </w:numPr>
              <w:rPr>
                <w:rFonts w:ascii="Arial" w:hAnsi="Arial" w:cs="Arial"/>
                <w:sz w:val="16"/>
                <w:szCs w:val="16"/>
              </w:rPr>
            </w:pPr>
            <w:r w:rsidRPr="00614A45">
              <w:rPr>
                <w:rFonts w:ascii="Arial" w:hAnsi="Arial" w:cs="Arial"/>
                <w:sz w:val="16"/>
                <w:szCs w:val="16"/>
              </w:rPr>
              <w:t>Landlords have flexibility and discretion, on a case-by-case basis, to adjust parameters; however, minimums are set as the base guideline.</w:t>
            </w:r>
          </w:p>
          <w:p w14:paraId="65387311" w14:textId="77777777" w:rsidR="0069243B" w:rsidRPr="00614A45" w:rsidRDefault="0069243B" w:rsidP="0069243B">
            <w:pPr>
              <w:pStyle w:val="PlainText"/>
              <w:numPr>
                <w:ilvl w:val="0"/>
                <w:numId w:val="29"/>
              </w:numPr>
              <w:rPr>
                <w:rFonts w:ascii="Arial" w:hAnsi="Arial" w:cs="Arial"/>
                <w:sz w:val="18"/>
                <w:szCs w:val="18"/>
              </w:rPr>
            </w:pPr>
            <w:r w:rsidRPr="0069024E">
              <w:rPr>
                <w:rFonts w:ascii="Arial" w:hAnsi="Arial" w:cs="Arial"/>
                <w:sz w:val="16"/>
                <w:szCs w:val="16"/>
              </w:rPr>
              <w:t>Normal or better trading</w:t>
            </w:r>
            <w:r>
              <w:rPr>
                <w:rFonts w:ascii="Arial" w:hAnsi="Arial" w:cs="Arial"/>
                <w:sz w:val="16"/>
                <w:szCs w:val="16"/>
              </w:rPr>
              <w:t xml:space="preserve"> to be</w:t>
            </w:r>
            <w:r w:rsidRPr="0069024E">
              <w:rPr>
                <w:rFonts w:ascii="Arial" w:hAnsi="Arial" w:cs="Arial"/>
                <w:sz w:val="16"/>
                <w:szCs w:val="16"/>
              </w:rPr>
              <w:t xml:space="preserve"> assessed considering rent-to-sales ratios, balance sheet, stock availability</w:t>
            </w:r>
            <w:r>
              <w:rPr>
                <w:rFonts w:ascii="Arial" w:hAnsi="Arial" w:cs="Arial"/>
                <w:sz w:val="16"/>
                <w:szCs w:val="16"/>
              </w:rPr>
              <w:t>,</w:t>
            </w:r>
            <w:r w:rsidRPr="0069024E">
              <w:rPr>
                <w:rFonts w:ascii="Arial" w:hAnsi="Arial" w:cs="Arial"/>
                <w:sz w:val="16"/>
                <w:szCs w:val="16"/>
              </w:rPr>
              <w:t xml:space="preserve"> etc.</w:t>
            </w:r>
            <w:r w:rsidRPr="0069024E" w:rsidDel="0069024E">
              <w:rPr>
                <w:rFonts w:ascii="Arial" w:hAnsi="Arial" w:cs="Arial"/>
                <w:sz w:val="18"/>
                <w:szCs w:val="18"/>
              </w:rPr>
              <w:t xml:space="preserve"> </w:t>
            </w:r>
          </w:p>
        </w:tc>
      </w:tr>
    </w:tbl>
    <w:p w14:paraId="31A2E355" w14:textId="77777777" w:rsidR="0069243B" w:rsidRPr="007B7D3C" w:rsidRDefault="0069243B" w:rsidP="0069243B">
      <w:pPr>
        <w:pStyle w:val="PlainText"/>
        <w:rPr>
          <w:rFonts w:ascii="Arial" w:hAnsi="Arial" w:cs="Arial"/>
          <w:sz w:val="18"/>
          <w:szCs w:val="18"/>
        </w:rPr>
      </w:pPr>
    </w:p>
    <w:p w14:paraId="50F8143C" w14:textId="77777777" w:rsidR="0069243B" w:rsidRPr="00F6068C" w:rsidRDefault="0069243B" w:rsidP="0069243B">
      <w:pPr>
        <w:pStyle w:val="PlainText"/>
        <w:rPr>
          <w:rFonts w:ascii="Arial" w:hAnsi="Arial" w:cs="Arial"/>
          <w:b/>
          <w:bCs/>
          <w:color w:val="FF0000"/>
          <w:sz w:val="18"/>
          <w:szCs w:val="18"/>
        </w:rPr>
      </w:pPr>
      <w:r w:rsidRPr="007B7D3C">
        <w:rPr>
          <w:rFonts w:ascii="Arial" w:hAnsi="Arial" w:cs="Arial"/>
          <w:b/>
          <w:bCs/>
          <w:sz w:val="18"/>
          <w:szCs w:val="18"/>
        </w:rPr>
        <w:t>NON-ESSENTIAL GOODS/SERVICES</w:t>
      </w:r>
      <w:r>
        <w:rPr>
          <w:rFonts w:ascii="Arial" w:hAnsi="Arial" w:cs="Arial"/>
          <w:b/>
          <w:bCs/>
          <w:sz w:val="18"/>
          <w:szCs w:val="18"/>
        </w:rPr>
        <w:t xml:space="preserve">       </w:t>
      </w:r>
    </w:p>
    <w:tbl>
      <w:tblPr>
        <w:tblStyle w:val="TableGrid"/>
        <w:tblW w:w="0" w:type="auto"/>
        <w:tblLook w:val="04A0" w:firstRow="1" w:lastRow="0" w:firstColumn="1" w:lastColumn="0" w:noHBand="0" w:noVBand="1"/>
      </w:tblPr>
      <w:tblGrid>
        <w:gridCol w:w="2969"/>
        <w:gridCol w:w="3340"/>
        <w:gridCol w:w="2470"/>
      </w:tblGrid>
      <w:tr w:rsidR="0069243B" w:rsidRPr="007B7D3C" w14:paraId="1C05BB06" w14:textId="77777777" w:rsidTr="0029542F">
        <w:tc>
          <w:tcPr>
            <w:tcW w:w="3055" w:type="dxa"/>
          </w:tcPr>
          <w:p w14:paraId="582D3243" w14:textId="77777777" w:rsidR="0069243B" w:rsidRPr="007B7D3C" w:rsidRDefault="0069243B" w:rsidP="0029542F">
            <w:pPr>
              <w:rPr>
                <w:b/>
                <w:bCs/>
                <w:sz w:val="18"/>
                <w:szCs w:val="18"/>
              </w:rPr>
            </w:pPr>
            <w:r w:rsidRPr="007B7D3C">
              <w:rPr>
                <w:b/>
                <w:bCs/>
                <w:sz w:val="18"/>
                <w:szCs w:val="18"/>
              </w:rPr>
              <w:t>Category</w:t>
            </w:r>
          </w:p>
        </w:tc>
        <w:tc>
          <w:tcPr>
            <w:tcW w:w="3420" w:type="dxa"/>
          </w:tcPr>
          <w:p w14:paraId="58EE26D4" w14:textId="77777777" w:rsidR="0069243B" w:rsidRPr="007B7D3C" w:rsidRDefault="0069243B" w:rsidP="0029542F">
            <w:pPr>
              <w:rPr>
                <w:b/>
                <w:bCs/>
                <w:sz w:val="18"/>
                <w:szCs w:val="18"/>
              </w:rPr>
            </w:pPr>
            <w:r w:rsidRPr="007B7D3C">
              <w:rPr>
                <w:b/>
                <w:bCs/>
                <w:sz w:val="18"/>
                <w:szCs w:val="18"/>
              </w:rPr>
              <w:t>Basic assistance and relief</w:t>
            </w:r>
          </w:p>
        </w:tc>
        <w:tc>
          <w:tcPr>
            <w:tcW w:w="2541" w:type="dxa"/>
          </w:tcPr>
          <w:p w14:paraId="435481D6" w14:textId="77777777" w:rsidR="0069243B" w:rsidRPr="007B7D3C" w:rsidRDefault="0069243B" w:rsidP="0029542F">
            <w:pPr>
              <w:rPr>
                <w:b/>
                <w:bCs/>
                <w:sz w:val="18"/>
                <w:szCs w:val="18"/>
              </w:rPr>
            </w:pPr>
            <w:r w:rsidRPr="007B7D3C">
              <w:rPr>
                <w:b/>
                <w:bCs/>
                <w:sz w:val="18"/>
                <w:szCs w:val="18"/>
              </w:rPr>
              <w:t>Deferment recovery period</w:t>
            </w:r>
          </w:p>
        </w:tc>
      </w:tr>
      <w:tr w:rsidR="0069243B" w:rsidRPr="007B7D3C" w14:paraId="7A28BD8D" w14:textId="77777777" w:rsidTr="0029542F">
        <w:tc>
          <w:tcPr>
            <w:tcW w:w="3055" w:type="dxa"/>
          </w:tcPr>
          <w:p w14:paraId="22E48536" w14:textId="77777777" w:rsidR="0069243B" w:rsidRPr="007B7D3C" w:rsidRDefault="0069243B" w:rsidP="0029542F">
            <w:pPr>
              <w:jc w:val="left"/>
              <w:rPr>
                <w:sz w:val="18"/>
                <w:szCs w:val="18"/>
              </w:rPr>
            </w:pPr>
            <w:r w:rsidRPr="007B7D3C">
              <w:rPr>
                <w:sz w:val="18"/>
                <w:szCs w:val="18"/>
              </w:rPr>
              <w:t>SOE and Government tenants</w:t>
            </w:r>
          </w:p>
        </w:tc>
        <w:tc>
          <w:tcPr>
            <w:tcW w:w="3420" w:type="dxa"/>
          </w:tcPr>
          <w:p w14:paraId="33D72CA7" w14:textId="77777777" w:rsidR="0069243B" w:rsidRPr="007B7D3C" w:rsidRDefault="0069243B" w:rsidP="0029542F">
            <w:pPr>
              <w:jc w:val="left"/>
              <w:rPr>
                <w:sz w:val="18"/>
                <w:szCs w:val="18"/>
              </w:rPr>
            </w:pPr>
            <w:r w:rsidRPr="007B7D3C">
              <w:rPr>
                <w:sz w:val="18"/>
                <w:szCs w:val="18"/>
              </w:rPr>
              <w:t xml:space="preserve">No relief offered – 100% of </w:t>
            </w:r>
            <w:r>
              <w:rPr>
                <w:sz w:val="18"/>
                <w:szCs w:val="18"/>
              </w:rPr>
              <w:t>R</w:t>
            </w:r>
            <w:r w:rsidRPr="007B7D3C">
              <w:rPr>
                <w:sz w:val="18"/>
                <w:szCs w:val="18"/>
              </w:rPr>
              <w:t>ent</w:t>
            </w:r>
            <w:r>
              <w:rPr>
                <w:sz w:val="18"/>
                <w:szCs w:val="18"/>
              </w:rPr>
              <w:t>al</w:t>
            </w:r>
            <w:r w:rsidRPr="007B7D3C">
              <w:rPr>
                <w:sz w:val="18"/>
                <w:szCs w:val="18"/>
              </w:rPr>
              <w:t xml:space="preserve"> payable </w:t>
            </w:r>
            <w:r w:rsidRPr="007B7D3C">
              <w:rPr>
                <w:sz w:val="18"/>
              </w:rPr>
              <w:t>(excl. temporary testing</w:t>
            </w:r>
            <w:r w:rsidRPr="007B7D3C">
              <w:rPr>
                <w:sz w:val="18"/>
                <w:szCs w:val="18"/>
              </w:rPr>
              <w:t>, laboratories</w:t>
            </w:r>
            <w:r w:rsidRPr="007B7D3C">
              <w:rPr>
                <w:sz w:val="18"/>
              </w:rPr>
              <w:t xml:space="preserve"> and healthcare services housed free)</w:t>
            </w:r>
          </w:p>
        </w:tc>
        <w:tc>
          <w:tcPr>
            <w:tcW w:w="2541" w:type="dxa"/>
          </w:tcPr>
          <w:p w14:paraId="60D8D9CF" w14:textId="77777777" w:rsidR="0069243B" w:rsidRPr="007B7D3C" w:rsidRDefault="0069243B" w:rsidP="0029542F">
            <w:pPr>
              <w:jc w:val="left"/>
              <w:rPr>
                <w:sz w:val="18"/>
                <w:szCs w:val="18"/>
              </w:rPr>
            </w:pPr>
            <w:r w:rsidRPr="007B7D3C">
              <w:rPr>
                <w:sz w:val="18"/>
                <w:szCs w:val="18"/>
              </w:rPr>
              <w:t>N/A</w:t>
            </w:r>
          </w:p>
        </w:tc>
      </w:tr>
      <w:tr w:rsidR="0069243B" w:rsidRPr="007B7D3C" w14:paraId="6CAAAA1F" w14:textId="77777777" w:rsidTr="0029542F">
        <w:trPr>
          <w:trHeight w:val="1531"/>
        </w:trPr>
        <w:tc>
          <w:tcPr>
            <w:tcW w:w="3055" w:type="dxa"/>
          </w:tcPr>
          <w:p w14:paraId="07FCC4E2" w14:textId="77777777" w:rsidR="0069243B" w:rsidRDefault="0069243B" w:rsidP="0029542F">
            <w:pPr>
              <w:jc w:val="left"/>
              <w:rPr>
                <w:sz w:val="18"/>
                <w:szCs w:val="18"/>
              </w:rPr>
            </w:pPr>
            <w:r>
              <w:rPr>
                <w:sz w:val="18"/>
                <w:szCs w:val="18"/>
              </w:rPr>
              <w:t>Medium-sized</w:t>
            </w:r>
            <w:r w:rsidRPr="00480074">
              <w:rPr>
                <w:sz w:val="18"/>
                <w:szCs w:val="18"/>
              </w:rPr>
              <w:t xml:space="preserve"> retailers with annual turnover above R80 million </w:t>
            </w:r>
            <w:r>
              <w:rPr>
                <w:sz w:val="18"/>
                <w:szCs w:val="18"/>
              </w:rPr>
              <w:t xml:space="preserve">but below R1 billion </w:t>
            </w:r>
            <w:r w:rsidRPr="00480074">
              <w:rPr>
                <w:sz w:val="18"/>
                <w:szCs w:val="18"/>
              </w:rPr>
              <w:t>(including local and international listed/publicly-traded retailers and large unlisted retailers)</w:t>
            </w:r>
          </w:p>
          <w:p w14:paraId="0719D2EB" w14:textId="77777777" w:rsidR="0069243B" w:rsidRDefault="0069243B" w:rsidP="0029542F">
            <w:pPr>
              <w:jc w:val="left"/>
              <w:rPr>
                <w:sz w:val="18"/>
                <w:szCs w:val="18"/>
              </w:rPr>
            </w:pPr>
          </w:p>
          <w:p w14:paraId="04BD396C" w14:textId="77777777" w:rsidR="0069243B" w:rsidRPr="007B7D3C" w:rsidRDefault="0069243B" w:rsidP="0029542F">
            <w:pPr>
              <w:jc w:val="left"/>
              <w:rPr>
                <w:sz w:val="18"/>
                <w:szCs w:val="18"/>
              </w:rPr>
            </w:pPr>
            <w:r>
              <w:rPr>
                <w:sz w:val="18"/>
                <w:szCs w:val="18"/>
              </w:rPr>
              <w:t>Retailers’ auditors to confirm annual turnover for latest financial year.</w:t>
            </w:r>
          </w:p>
        </w:tc>
        <w:tc>
          <w:tcPr>
            <w:tcW w:w="3420" w:type="dxa"/>
          </w:tcPr>
          <w:p w14:paraId="6A50929D" w14:textId="77777777" w:rsidR="0069243B" w:rsidRPr="007B7D3C" w:rsidRDefault="0069243B" w:rsidP="0029542F">
            <w:pPr>
              <w:pStyle w:val="PlainText"/>
              <w:rPr>
                <w:rFonts w:ascii="Arial" w:hAnsi="Arial" w:cs="Arial"/>
                <w:sz w:val="18"/>
                <w:szCs w:val="18"/>
              </w:rPr>
            </w:pPr>
            <w:r w:rsidRPr="007B7D3C">
              <w:rPr>
                <w:rFonts w:ascii="Arial" w:hAnsi="Arial" w:cs="Arial"/>
                <w:sz w:val="18"/>
                <w:szCs w:val="18"/>
              </w:rPr>
              <w:t>April 2020:</w:t>
            </w:r>
          </w:p>
          <w:p w14:paraId="30157B96" w14:textId="77777777" w:rsidR="0069243B" w:rsidRPr="00614A45" w:rsidRDefault="0069243B" w:rsidP="0069243B">
            <w:pPr>
              <w:pStyle w:val="PlainText"/>
              <w:numPr>
                <w:ilvl w:val="0"/>
                <w:numId w:val="30"/>
              </w:numPr>
              <w:rPr>
                <w:rFonts w:ascii="Arial" w:hAnsi="Arial" w:cs="Arial"/>
                <w:b/>
                <w:sz w:val="18"/>
                <w:szCs w:val="18"/>
              </w:rPr>
            </w:pPr>
            <w:r>
              <w:rPr>
                <w:rFonts w:ascii="Arial" w:hAnsi="Arial" w:cs="Arial"/>
                <w:b/>
                <w:sz w:val="18"/>
                <w:szCs w:val="18"/>
              </w:rPr>
              <w:t>70</w:t>
            </w:r>
            <w:r w:rsidRPr="00614A45">
              <w:rPr>
                <w:rFonts w:ascii="Arial" w:hAnsi="Arial" w:cs="Arial"/>
                <w:b/>
                <w:sz w:val="18"/>
                <w:szCs w:val="18"/>
              </w:rPr>
              <w:t xml:space="preserve">% </w:t>
            </w:r>
            <w:r>
              <w:rPr>
                <w:rFonts w:ascii="Arial" w:hAnsi="Arial" w:cs="Arial"/>
                <w:b/>
                <w:sz w:val="18"/>
                <w:szCs w:val="18"/>
              </w:rPr>
              <w:t>R</w:t>
            </w:r>
            <w:r w:rsidRPr="00614A45">
              <w:rPr>
                <w:rFonts w:ascii="Arial" w:hAnsi="Arial" w:cs="Arial"/>
                <w:b/>
                <w:sz w:val="18"/>
                <w:szCs w:val="18"/>
              </w:rPr>
              <w:t xml:space="preserve">ental discount </w:t>
            </w:r>
          </w:p>
          <w:p w14:paraId="4332E835" w14:textId="77777777" w:rsidR="0069243B" w:rsidRDefault="0069243B" w:rsidP="0029542F">
            <w:pPr>
              <w:pStyle w:val="PlainText"/>
              <w:rPr>
                <w:rFonts w:ascii="Arial" w:hAnsi="Arial" w:cs="Arial"/>
                <w:sz w:val="18"/>
                <w:szCs w:val="18"/>
              </w:rPr>
            </w:pPr>
          </w:p>
          <w:p w14:paraId="1303145F" w14:textId="77777777" w:rsidR="0069243B" w:rsidRPr="00895D8A" w:rsidRDefault="0069243B" w:rsidP="0029542F">
            <w:pPr>
              <w:pStyle w:val="PlainText"/>
              <w:rPr>
                <w:rFonts w:ascii="Arial" w:hAnsi="Arial" w:cs="Arial"/>
                <w:sz w:val="18"/>
                <w:szCs w:val="18"/>
              </w:rPr>
            </w:pPr>
            <w:r w:rsidRPr="00895D8A">
              <w:rPr>
                <w:rFonts w:ascii="Arial" w:hAnsi="Arial" w:cs="Arial"/>
                <w:sz w:val="18"/>
                <w:szCs w:val="18"/>
              </w:rPr>
              <w:t>May 2020:</w:t>
            </w:r>
          </w:p>
          <w:p w14:paraId="78312F30" w14:textId="77777777" w:rsidR="0069243B" w:rsidRDefault="0069243B" w:rsidP="0069243B">
            <w:pPr>
              <w:pStyle w:val="PlainText"/>
              <w:numPr>
                <w:ilvl w:val="0"/>
                <w:numId w:val="30"/>
              </w:numPr>
              <w:rPr>
                <w:rFonts w:ascii="Arial" w:hAnsi="Arial" w:cs="Arial"/>
                <w:b/>
                <w:sz w:val="18"/>
                <w:szCs w:val="18"/>
              </w:rPr>
            </w:pPr>
            <w:r>
              <w:rPr>
                <w:rFonts w:ascii="Arial" w:hAnsi="Arial" w:cs="Arial"/>
                <w:b/>
                <w:sz w:val="18"/>
                <w:szCs w:val="18"/>
              </w:rPr>
              <w:t>40</w:t>
            </w:r>
            <w:r w:rsidRPr="00614A45">
              <w:rPr>
                <w:rFonts w:ascii="Arial" w:hAnsi="Arial" w:cs="Arial"/>
                <w:b/>
                <w:sz w:val="18"/>
                <w:szCs w:val="18"/>
              </w:rPr>
              <w:t xml:space="preserve">% </w:t>
            </w:r>
            <w:r>
              <w:rPr>
                <w:rFonts w:ascii="Arial" w:hAnsi="Arial" w:cs="Arial"/>
                <w:b/>
                <w:sz w:val="18"/>
                <w:szCs w:val="18"/>
              </w:rPr>
              <w:t>R</w:t>
            </w:r>
            <w:r w:rsidRPr="00614A45">
              <w:rPr>
                <w:rFonts w:ascii="Arial" w:hAnsi="Arial" w:cs="Arial"/>
                <w:b/>
                <w:sz w:val="18"/>
                <w:szCs w:val="18"/>
              </w:rPr>
              <w:t>ental deferment</w:t>
            </w:r>
          </w:p>
          <w:p w14:paraId="11EC4ADD" w14:textId="77777777" w:rsidR="0069243B" w:rsidRDefault="0069243B" w:rsidP="0029542F">
            <w:pPr>
              <w:pStyle w:val="PlainText"/>
              <w:rPr>
                <w:rFonts w:ascii="Arial" w:hAnsi="Arial" w:cs="Arial"/>
                <w:sz w:val="18"/>
                <w:szCs w:val="18"/>
              </w:rPr>
            </w:pPr>
          </w:p>
          <w:p w14:paraId="3100AEAB" w14:textId="77777777" w:rsidR="0069243B" w:rsidRPr="00E14F6B" w:rsidRDefault="0069243B" w:rsidP="0029542F">
            <w:pPr>
              <w:pStyle w:val="PlainText"/>
              <w:rPr>
                <w:rFonts w:ascii="Arial" w:hAnsi="Arial" w:cs="Arial"/>
                <w:sz w:val="18"/>
                <w:szCs w:val="18"/>
              </w:rPr>
            </w:pPr>
            <w:r>
              <w:rPr>
                <w:rFonts w:ascii="Arial" w:hAnsi="Arial" w:cs="Arial"/>
                <w:sz w:val="18"/>
                <w:szCs w:val="18"/>
              </w:rPr>
              <w:t>June</w:t>
            </w:r>
            <w:r w:rsidRPr="00E14F6B">
              <w:rPr>
                <w:rFonts w:ascii="Arial" w:hAnsi="Arial" w:cs="Arial"/>
                <w:sz w:val="18"/>
                <w:szCs w:val="18"/>
              </w:rPr>
              <w:t xml:space="preserve"> 2020:</w:t>
            </w:r>
          </w:p>
          <w:p w14:paraId="02399A4F" w14:textId="77777777" w:rsidR="0069243B" w:rsidRPr="00614A45" w:rsidRDefault="0069243B" w:rsidP="0069243B">
            <w:pPr>
              <w:pStyle w:val="PlainText"/>
              <w:numPr>
                <w:ilvl w:val="0"/>
                <w:numId w:val="30"/>
              </w:numPr>
              <w:rPr>
                <w:rFonts w:ascii="Arial" w:hAnsi="Arial" w:cs="Arial"/>
                <w:b/>
                <w:sz w:val="18"/>
                <w:szCs w:val="18"/>
              </w:rPr>
            </w:pPr>
            <w:r>
              <w:rPr>
                <w:rFonts w:ascii="Arial" w:hAnsi="Arial" w:cs="Arial"/>
                <w:b/>
                <w:sz w:val="18"/>
                <w:szCs w:val="18"/>
              </w:rPr>
              <w:t>40</w:t>
            </w:r>
            <w:r w:rsidRPr="00480074">
              <w:rPr>
                <w:rFonts w:ascii="Arial" w:hAnsi="Arial" w:cs="Arial"/>
                <w:b/>
                <w:sz w:val="18"/>
                <w:szCs w:val="18"/>
              </w:rPr>
              <w:t xml:space="preserve">% </w:t>
            </w:r>
            <w:r>
              <w:rPr>
                <w:rFonts w:ascii="Arial" w:hAnsi="Arial" w:cs="Arial"/>
                <w:b/>
                <w:sz w:val="18"/>
                <w:szCs w:val="18"/>
              </w:rPr>
              <w:t>R</w:t>
            </w:r>
            <w:r w:rsidRPr="00480074">
              <w:rPr>
                <w:rFonts w:ascii="Arial" w:hAnsi="Arial" w:cs="Arial"/>
                <w:b/>
                <w:sz w:val="18"/>
                <w:szCs w:val="18"/>
              </w:rPr>
              <w:t>ental deferment</w:t>
            </w:r>
          </w:p>
        </w:tc>
        <w:tc>
          <w:tcPr>
            <w:tcW w:w="2541" w:type="dxa"/>
          </w:tcPr>
          <w:p w14:paraId="76E18769" w14:textId="77777777" w:rsidR="0069243B" w:rsidRDefault="0069243B" w:rsidP="0029542F">
            <w:pPr>
              <w:jc w:val="left"/>
              <w:rPr>
                <w:sz w:val="18"/>
                <w:szCs w:val="18"/>
              </w:rPr>
            </w:pPr>
          </w:p>
          <w:p w14:paraId="4514C89F" w14:textId="77777777" w:rsidR="0069243B" w:rsidRDefault="0069243B" w:rsidP="0029542F">
            <w:pPr>
              <w:jc w:val="left"/>
              <w:rPr>
                <w:sz w:val="18"/>
                <w:szCs w:val="18"/>
              </w:rPr>
            </w:pPr>
          </w:p>
          <w:p w14:paraId="496167E2" w14:textId="77777777" w:rsidR="0069243B" w:rsidRDefault="0069243B" w:rsidP="0029542F">
            <w:pPr>
              <w:jc w:val="left"/>
              <w:rPr>
                <w:sz w:val="18"/>
                <w:szCs w:val="18"/>
              </w:rPr>
            </w:pPr>
          </w:p>
          <w:p w14:paraId="38DB2710" w14:textId="77777777" w:rsidR="0069243B" w:rsidRDefault="0069243B" w:rsidP="0029542F">
            <w:pPr>
              <w:jc w:val="left"/>
              <w:rPr>
                <w:sz w:val="18"/>
                <w:szCs w:val="18"/>
              </w:rPr>
            </w:pPr>
            <w:r w:rsidRPr="007B7D3C">
              <w:rPr>
                <w:sz w:val="18"/>
                <w:szCs w:val="18"/>
              </w:rPr>
              <w:t xml:space="preserve">Over </w:t>
            </w:r>
            <w:r>
              <w:rPr>
                <w:sz w:val="18"/>
                <w:szCs w:val="18"/>
              </w:rPr>
              <w:t>nine</w:t>
            </w:r>
            <w:r w:rsidRPr="007B7D3C">
              <w:rPr>
                <w:sz w:val="18"/>
                <w:szCs w:val="18"/>
              </w:rPr>
              <w:t xml:space="preserve"> months from 1</w:t>
            </w:r>
            <w:r>
              <w:rPr>
                <w:sz w:val="18"/>
                <w:szCs w:val="18"/>
              </w:rPr>
              <w:t> </w:t>
            </w:r>
            <w:r w:rsidRPr="007B7D3C">
              <w:rPr>
                <w:sz w:val="18"/>
                <w:szCs w:val="18"/>
              </w:rPr>
              <w:t>July 2020</w:t>
            </w:r>
          </w:p>
          <w:p w14:paraId="4A76621C" w14:textId="77777777" w:rsidR="0069243B" w:rsidRDefault="0069243B" w:rsidP="0029542F">
            <w:pPr>
              <w:jc w:val="left"/>
              <w:rPr>
                <w:sz w:val="18"/>
                <w:szCs w:val="18"/>
              </w:rPr>
            </w:pPr>
          </w:p>
          <w:p w14:paraId="3A9EA915" w14:textId="77777777" w:rsidR="0069243B" w:rsidRDefault="0069243B" w:rsidP="0029542F">
            <w:pPr>
              <w:jc w:val="left"/>
              <w:rPr>
                <w:sz w:val="18"/>
                <w:szCs w:val="18"/>
              </w:rPr>
            </w:pPr>
            <w:r w:rsidRPr="00480074">
              <w:rPr>
                <w:sz w:val="18"/>
                <w:szCs w:val="18"/>
              </w:rPr>
              <w:t>Over nine months from 1</w:t>
            </w:r>
            <w:r>
              <w:rPr>
                <w:sz w:val="18"/>
                <w:szCs w:val="18"/>
              </w:rPr>
              <w:t> August</w:t>
            </w:r>
            <w:r w:rsidRPr="00480074">
              <w:rPr>
                <w:sz w:val="18"/>
                <w:szCs w:val="18"/>
              </w:rPr>
              <w:t xml:space="preserve"> 2020</w:t>
            </w:r>
          </w:p>
          <w:p w14:paraId="73C96D75" w14:textId="77777777" w:rsidR="0069243B" w:rsidRDefault="0069243B" w:rsidP="0029542F">
            <w:pPr>
              <w:jc w:val="left"/>
              <w:rPr>
                <w:sz w:val="18"/>
                <w:szCs w:val="18"/>
              </w:rPr>
            </w:pPr>
          </w:p>
          <w:p w14:paraId="117911C0" w14:textId="77777777" w:rsidR="0069243B" w:rsidRDefault="0069243B" w:rsidP="0029542F">
            <w:pPr>
              <w:jc w:val="left"/>
              <w:rPr>
                <w:sz w:val="18"/>
                <w:szCs w:val="18"/>
              </w:rPr>
            </w:pPr>
          </w:p>
        </w:tc>
      </w:tr>
      <w:tr w:rsidR="0069243B" w:rsidRPr="007B7D3C" w14:paraId="7ECD4A9F" w14:textId="77777777" w:rsidTr="0029542F">
        <w:trPr>
          <w:trHeight w:val="1531"/>
        </w:trPr>
        <w:tc>
          <w:tcPr>
            <w:tcW w:w="3055" w:type="dxa"/>
            <w:vMerge w:val="restart"/>
          </w:tcPr>
          <w:p w14:paraId="6A4D4A04" w14:textId="77777777" w:rsidR="0069243B" w:rsidRDefault="0069243B" w:rsidP="0029542F">
            <w:pPr>
              <w:jc w:val="left"/>
              <w:rPr>
                <w:sz w:val="18"/>
                <w:szCs w:val="18"/>
              </w:rPr>
            </w:pPr>
            <w:r>
              <w:rPr>
                <w:sz w:val="18"/>
                <w:szCs w:val="18"/>
              </w:rPr>
              <w:t>Large</w:t>
            </w:r>
            <w:r w:rsidRPr="007B7D3C">
              <w:rPr>
                <w:sz w:val="18"/>
                <w:szCs w:val="18"/>
              </w:rPr>
              <w:t xml:space="preserve"> retailers with annual turnovers above R</w:t>
            </w:r>
            <w:r>
              <w:rPr>
                <w:sz w:val="18"/>
                <w:szCs w:val="18"/>
              </w:rPr>
              <w:t>1 b</w:t>
            </w:r>
            <w:r w:rsidRPr="007B7D3C">
              <w:rPr>
                <w:sz w:val="18"/>
                <w:szCs w:val="18"/>
              </w:rPr>
              <w:t>illion (including local and international listed/publicly-traded retailers and large unlisted retailers)</w:t>
            </w:r>
          </w:p>
          <w:p w14:paraId="321D64E1" w14:textId="77777777" w:rsidR="0069243B" w:rsidRDefault="0069243B" w:rsidP="0029542F">
            <w:pPr>
              <w:jc w:val="left"/>
              <w:rPr>
                <w:sz w:val="18"/>
                <w:szCs w:val="18"/>
              </w:rPr>
            </w:pPr>
          </w:p>
          <w:p w14:paraId="2CB3D505" w14:textId="77777777" w:rsidR="0069243B" w:rsidRPr="007B7D3C" w:rsidRDefault="0069243B" w:rsidP="0029542F">
            <w:pPr>
              <w:jc w:val="left"/>
              <w:rPr>
                <w:sz w:val="18"/>
                <w:szCs w:val="18"/>
              </w:rPr>
            </w:pPr>
          </w:p>
        </w:tc>
        <w:tc>
          <w:tcPr>
            <w:tcW w:w="3420" w:type="dxa"/>
          </w:tcPr>
          <w:p w14:paraId="09FFED06" w14:textId="77777777" w:rsidR="0069243B" w:rsidRDefault="0069243B" w:rsidP="0029542F">
            <w:pPr>
              <w:pStyle w:val="PlainText"/>
              <w:rPr>
                <w:rFonts w:ascii="Arial" w:hAnsi="Arial" w:cs="Arial"/>
                <w:b/>
                <w:sz w:val="18"/>
                <w:szCs w:val="18"/>
              </w:rPr>
            </w:pPr>
            <w:r w:rsidRPr="00614A45">
              <w:rPr>
                <w:rFonts w:ascii="Arial" w:hAnsi="Arial" w:cs="Arial"/>
                <w:b/>
                <w:sz w:val="18"/>
                <w:szCs w:val="18"/>
              </w:rPr>
              <w:t>ALTERNATIVE A:</w:t>
            </w:r>
          </w:p>
          <w:p w14:paraId="3A34A83E" w14:textId="77777777" w:rsidR="0069243B" w:rsidRPr="007B7D3C" w:rsidRDefault="0069243B" w:rsidP="0029542F">
            <w:pPr>
              <w:pStyle w:val="PlainText"/>
              <w:rPr>
                <w:rFonts w:ascii="Arial" w:hAnsi="Arial" w:cs="Arial"/>
                <w:sz w:val="18"/>
                <w:szCs w:val="18"/>
              </w:rPr>
            </w:pPr>
            <w:r w:rsidRPr="007B7D3C">
              <w:rPr>
                <w:rFonts w:ascii="Arial" w:hAnsi="Arial" w:cs="Arial"/>
                <w:sz w:val="18"/>
                <w:szCs w:val="18"/>
              </w:rPr>
              <w:t>April 2020:</w:t>
            </w:r>
          </w:p>
          <w:p w14:paraId="11271AAF" w14:textId="77777777" w:rsidR="0069243B" w:rsidRPr="00277B5C" w:rsidRDefault="0069243B" w:rsidP="0069243B">
            <w:pPr>
              <w:pStyle w:val="PlainText"/>
              <w:numPr>
                <w:ilvl w:val="0"/>
                <w:numId w:val="27"/>
              </w:numPr>
              <w:ind w:left="720"/>
              <w:rPr>
                <w:rFonts w:ascii="Arial" w:hAnsi="Arial" w:cs="Arial"/>
                <w:b/>
                <w:sz w:val="18"/>
                <w:szCs w:val="18"/>
              </w:rPr>
            </w:pPr>
            <w:r>
              <w:rPr>
                <w:rFonts w:ascii="Arial" w:hAnsi="Arial" w:cs="Arial"/>
                <w:b/>
                <w:sz w:val="18"/>
                <w:szCs w:val="18"/>
              </w:rPr>
              <w:t>70</w:t>
            </w:r>
            <w:r w:rsidRPr="00277B5C">
              <w:rPr>
                <w:rFonts w:ascii="Arial" w:hAnsi="Arial" w:cs="Arial"/>
                <w:b/>
                <w:sz w:val="18"/>
                <w:szCs w:val="18"/>
              </w:rPr>
              <w:t xml:space="preserve">% </w:t>
            </w:r>
            <w:r>
              <w:rPr>
                <w:rFonts w:ascii="Arial" w:hAnsi="Arial" w:cs="Arial"/>
                <w:b/>
                <w:sz w:val="18"/>
                <w:szCs w:val="18"/>
              </w:rPr>
              <w:t xml:space="preserve">Rental </w:t>
            </w:r>
            <w:r w:rsidRPr="00277B5C">
              <w:rPr>
                <w:rFonts w:ascii="Arial" w:hAnsi="Arial" w:cs="Arial"/>
                <w:b/>
                <w:sz w:val="18"/>
                <w:szCs w:val="18"/>
              </w:rPr>
              <w:t xml:space="preserve">discount </w:t>
            </w:r>
          </w:p>
          <w:p w14:paraId="24375BFB" w14:textId="77777777" w:rsidR="0069243B" w:rsidRPr="00895D8A" w:rsidRDefault="0069243B" w:rsidP="0029542F">
            <w:pPr>
              <w:pStyle w:val="PlainText"/>
              <w:rPr>
                <w:rFonts w:ascii="Arial" w:hAnsi="Arial" w:cs="Arial"/>
                <w:sz w:val="18"/>
                <w:szCs w:val="18"/>
              </w:rPr>
            </w:pPr>
            <w:r w:rsidRPr="00895D8A">
              <w:rPr>
                <w:rFonts w:ascii="Arial" w:hAnsi="Arial" w:cs="Arial"/>
                <w:sz w:val="18"/>
                <w:szCs w:val="18"/>
              </w:rPr>
              <w:t>May 2020:</w:t>
            </w:r>
          </w:p>
          <w:p w14:paraId="7AD06CB2" w14:textId="77777777" w:rsidR="0069243B" w:rsidRPr="00614A45" w:rsidRDefault="0069243B" w:rsidP="0069243B">
            <w:pPr>
              <w:pStyle w:val="PlainText"/>
              <w:numPr>
                <w:ilvl w:val="0"/>
                <w:numId w:val="31"/>
              </w:numPr>
              <w:rPr>
                <w:rFonts w:ascii="Arial" w:hAnsi="Arial" w:cs="Arial"/>
                <w:sz w:val="18"/>
                <w:szCs w:val="18"/>
              </w:rPr>
            </w:pPr>
            <w:r>
              <w:rPr>
                <w:rFonts w:ascii="Arial" w:hAnsi="Arial" w:cs="Arial"/>
                <w:sz w:val="18"/>
                <w:szCs w:val="18"/>
              </w:rPr>
              <w:t>As per lease agreement in place</w:t>
            </w:r>
          </w:p>
        </w:tc>
        <w:tc>
          <w:tcPr>
            <w:tcW w:w="2541" w:type="dxa"/>
          </w:tcPr>
          <w:p w14:paraId="28E6D191" w14:textId="77777777" w:rsidR="0069243B" w:rsidRDefault="0069243B" w:rsidP="0029542F">
            <w:pPr>
              <w:jc w:val="left"/>
              <w:rPr>
                <w:sz w:val="18"/>
                <w:szCs w:val="18"/>
              </w:rPr>
            </w:pPr>
          </w:p>
          <w:p w14:paraId="3A02668B" w14:textId="77777777" w:rsidR="0069243B" w:rsidRDefault="0069243B" w:rsidP="0029542F">
            <w:pPr>
              <w:jc w:val="left"/>
              <w:rPr>
                <w:sz w:val="18"/>
                <w:szCs w:val="18"/>
              </w:rPr>
            </w:pPr>
          </w:p>
          <w:p w14:paraId="0924A530" w14:textId="77777777" w:rsidR="0069243B" w:rsidRDefault="0069243B" w:rsidP="0029542F">
            <w:pPr>
              <w:jc w:val="left"/>
              <w:rPr>
                <w:sz w:val="18"/>
                <w:szCs w:val="18"/>
              </w:rPr>
            </w:pPr>
          </w:p>
          <w:p w14:paraId="5DE1C8E0" w14:textId="77777777" w:rsidR="0069243B" w:rsidRDefault="0069243B" w:rsidP="0029542F">
            <w:pPr>
              <w:jc w:val="left"/>
              <w:rPr>
                <w:sz w:val="18"/>
                <w:szCs w:val="18"/>
              </w:rPr>
            </w:pPr>
          </w:p>
          <w:p w14:paraId="39E41A2F" w14:textId="77777777" w:rsidR="0069243B" w:rsidRPr="007B7D3C" w:rsidRDefault="0069243B" w:rsidP="0029542F">
            <w:pPr>
              <w:jc w:val="left"/>
              <w:rPr>
                <w:sz w:val="18"/>
                <w:szCs w:val="18"/>
              </w:rPr>
            </w:pPr>
            <w:r>
              <w:rPr>
                <w:sz w:val="18"/>
                <w:szCs w:val="18"/>
              </w:rPr>
              <w:t xml:space="preserve">N/A </w:t>
            </w:r>
          </w:p>
        </w:tc>
      </w:tr>
      <w:tr w:rsidR="0069243B" w:rsidRPr="007B7D3C" w14:paraId="4D0225BF" w14:textId="77777777" w:rsidTr="0029542F">
        <w:tc>
          <w:tcPr>
            <w:tcW w:w="3055" w:type="dxa"/>
            <w:vMerge/>
          </w:tcPr>
          <w:p w14:paraId="24B4B5E4" w14:textId="77777777" w:rsidR="0069243B" w:rsidRPr="007B7D3C" w:rsidRDefault="0069243B" w:rsidP="0029542F">
            <w:pPr>
              <w:jc w:val="left"/>
              <w:rPr>
                <w:sz w:val="18"/>
                <w:szCs w:val="18"/>
              </w:rPr>
            </w:pPr>
          </w:p>
        </w:tc>
        <w:tc>
          <w:tcPr>
            <w:tcW w:w="3420" w:type="dxa"/>
          </w:tcPr>
          <w:p w14:paraId="43B2B6AE" w14:textId="77777777" w:rsidR="0069243B" w:rsidRDefault="0069243B" w:rsidP="0029542F">
            <w:pPr>
              <w:pStyle w:val="PlainText"/>
              <w:rPr>
                <w:rFonts w:ascii="Arial" w:hAnsi="Arial" w:cs="Arial"/>
                <w:b/>
                <w:sz w:val="18"/>
                <w:szCs w:val="18"/>
              </w:rPr>
            </w:pPr>
            <w:r w:rsidRPr="00614A45">
              <w:rPr>
                <w:rFonts w:ascii="Arial" w:hAnsi="Arial" w:cs="Arial"/>
                <w:b/>
                <w:sz w:val="18"/>
                <w:szCs w:val="18"/>
              </w:rPr>
              <w:t>ALTERNATIVE B:</w:t>
            </w:r>
          </w:p>
          <w:p w14:paraId="3A171CA9" w14:textId="77777777" w:rsidR="0069243B" w:rsidRPr="007B7D3C" w:rsidRDefault="0069243B" w:rsidP="0029542F">
            <w:pPr>
              <w:pStyle w:val="PlainText"/>
              <w:rPr>
                <w:rFonts w:ascii="Arial" w:hAnsi="Arial" w:cs="Arial"/>
                <w:sz w:val="18"/>
                <w:szCs w:val="18"/>
              </w:rPr>
            </w:pPr>
            <w:r w:rsidRPr="007B7D3C">
              <w:rPr>
                <w:rFonts w:ascii="Arial" w:hAnsi="Arial" w:cs="Arial"/>
                <w:sz w:val="18"/>
                <w:szCs w:val="18"/>
              </w:rPr>
              <w:t>April 2020:</w:t>
            </w:r>
          </w:p>
          <w:p w14:paraId="23B34501" w14:textId="77777777" w:rsidR="0069243B" w:rsidRPr="00614A45" w:rsidRDefault="0069243B" w:rsidP="0069243B">
            <w:pPr>
              <w:pStyle w:val="PlainText"/>
              <w:numPr>
                <w:ilvl w:val="0"/>
                <w:numId w:val="30"/>
              </w:numPr>
              <w:rPr>
                <w:rFonts w:ascii="Arial" w:hAnsi="Arial" w:cs="Arial"/>
                <w:b/>
                <w:sz w:val="18"/>
                <w:szCs w:val="18"/>
              </w:rPr>
            </w:pPr>
            <w:r>
              <w:rPr>
                <w:rFonts w:ascii="Arial" w:hAnsi="Arial" w:cs="Arial"/>
                <w:b/>
                <w:sz w:val="18"/>
                <w:szCs w:val="18"/>
              </w:rPr>
              <w:t>60</w:t>
            </w:r>
            <w:r w:rsidRPr="00614A45">
              <w:rPr>
                <w:rFonts w:ascii="Arial" w:hAnsi="Arial" w:cs="Arial"/>
                <w:b/>
                <w:sz w:val="18"/>
                <w:szCs w:val="18"/>
              </w:rPr>
              <w:t xml:space="preserve">% </w:t>
            </w:r>
            <w:r>
              <w:rPr>
                <w:rFonts w:ascii="Arial" w:hAnsi="Arial" w:cs="Arial"/>
                <w:b/>
                <w:sz w:val="18"/>
                <w:szCs w:val="18"/>
              </w:rPr>
              <w:t>R</w:t>
            </w:r>
            <w:r w:rsidRPr="00614A45">
              <w:rPr>
                <w:rFonts w:ascii="Arial" w:hAnsi="Arial" w:cs="Arial"/>
                <w:b/>
                <w:sz w:val="18"/>
                <w:szCs w:val="18"/>
              </w:rPr>
              <w:t xml:space="preserve">ental discount </w:t>
            </w:r>
          </w:p>
          <w:p w14:paraId="2F6B0763" w14:textId="77777777" w:rsidR="0069243B" w:rsidRPr="00895D8A" w:rsidRDefault="0069243B" w:rsidP="0029542F">
            <w:pPr>
              <w:pStyle w:val="PlainText"/>
              <w:rPr>
                <w:rFonts w:ascii="Arial" w:hAnsi="Arial" w:cs="Arial"/>
                <w:sz w:val="18"/>
                <w:szCs w:val="18"/>
              </w:rPr>
            </w:pPr>
            <w:r w:rsidRPr="00895D8A">
              <w:rPr>
                <w:rFonts w:ascii="Arial" w:hAnsi="Arial" w:cs="Arial"/>
                <w:sz w:val="18"/>
                <w:szCs w:val="18"/>
              </w:rPr>
              <w:t>May 2020:</w:t>
            </w:r>
          </w:p>
          <w:p w14:paraId="38073A81" w14:textId="77777777" w:rsidR="0069243B" w:rsidRPr="007B7D3C" w:rsidRDefault="0069243B" w:rsidP="0069243B">
            <w:pPr>
              <w:pStyle w:val="ListParagraph"/>
              <w:numPr>
                <w:ilvl w:val="0"/>
                <w:numId w:val="30"/>
              </w:numPr>
              <w:contextualSpacing/>
              <w:rPr>
                <w:rFonts w:ascii="Arial" w:hAnsi="Arial" w:cs="Arial"/>
                <w:sz w:val="18"/>
                <w:szCs w:val="18"/>
              </w:rPr>
            </w:pPr>
            <w:r>
              <w:rPr>
                <w:rFonts w:ascii="Arial" w:hAnsi="Arial" w:cs="Arial"/>
                <w:b/>
                <w:sz w:val="18"/>
                <w:szCs w:val="18"/>
              </w:rPr>
              <w:t>50</w:t>
            </w:r>
            <w:r w:rsidRPr="00614A45">
              <w:rPr>
                <w:rFonts w:ascii="Arial" w:hAnsi="Arial" w:cs="Arial"/>
                <w:b/>
                <w:sz w:val="18"/>
                <w:szCs w:val="18"/>
              </w:rPr>
              <w:t xml:space="preserve">% </w:t>
            </w:r>
            <w:r>
              <w:rPr>
                <w:rFonts w:ascii="Arial" w:hAnsi="Arial" w:cs="Arial"/>
                <w:b/>
                <w:sz w:val="18"/>
                <w:szCs w:val="18"/>
              </w:rPr>
              <w:t>R</w:t>
            </w:r>
            <w:r w:rsidRPr="00614A45">
              <w:rPr>
                <w:rFonts w:ascii="Arial" w:hAnsi="Arial" w:cs="Arial"/>
                <w:b/>
                <w:sz w:val="18"/>
                <w:szCs w:val="18"/>
              </w:rPr>
              <w:t>ental deferment</w:t>
            </w:r>
          </w:p>
        </w:tc>
        <w:tc>
          <w:tcPr>
            <w:tcW w:w="2541" w:type="dxa"/>
          </w:tcPr>
          <w:p w14:paraId="085C4307" w14:textId="77777777" w:rsidR="0069243B" w:rsidRDefault="0069243B" w:rsidP="0029542F">
            <w:pPr>
              <w:jc w:val="left"/>
              <w:rPr>
                <w:sz w:val="18"/>
                <w:szCs w:val="18"/>
              </w:rPr>
            </w:pPr>
          </w:p>
          <w:p w14:paraId="5684270D" w14:textId="77777777" w:rsidR="0069243B" w:rsidRDefault="0069243B" w:rsidP="0029542F">
            <w:pPr>
              <w:jc w:val="left"/>
              <w:rPr>
                <w:sz w:val="18"/>
                <w:szCs w:val="18"/>
              </w:rPr>
            </w:pPr>
          </w:p>
          <w:p w14:paraId="26DB10D0" w14:textId="77777777" w:rsidR="0069243B" w:rsidRDefault="0069243B" w:rsidP="0029542F">
            <w:pPr>
              <w:jc w:val="left"/>
              <w:rPr>
                <w:sz w:val="18"/>
                <w:szCs w:val="18"/>
              </w:rPr>
            </w:pPr>
          </w:p>
          <w:p w14:paraId="3D20D567" w14:textId="77777777" w:rsidR="0069243B" w:rsidRDefault="0069243B" w:rsidP="0029542F">
            <w:pPr>
              <w:jc w:val="left"/>
              <w:rPr>
                <w:sz w:val="18"/>
                <w:szCs w:val="18"/>
              </w:rPr>
            </w:pPr>
            <w:r w:rsidRPr="007B7D3C">
              <w:rPr>
                <w:sz w:val="18"/>
                <w:szCs w:val="18"/>
              </w:rPr>
              <w:t xml:space="preserve">Over six months from </w:t>
            </w:r>
          </w:p>
          <w:p w14:paraId="2FA7A217" w14:textId="77777777" w:rsidR="0069243B" w:rsidRPr="007B7D3C" w:rsidRDefault="0069243B" w:rsidP="0029542F">
            <w:pPr>
              <w:jc w:val="left"/>
              <w:rPr>
                <w:sz w:val="18"/>
                <w:szCs w:val="18"/>
              </w:rPr>
            </w:pPr>
            <w:r w:rsidRPr="007B7D3C">
              <w:rPr>
                <w:sz w:val="18"/>
                <w:szCs w:val="18"/>
              </w:rPr>
              <w:t>1 July 2020</w:t>
            </w:r>
          </w:p>
        </w:tc>
      </w:tr>
    </w:tbl>
    <w:p w14:paraId="666EDE9C" w14:textId="77777777" w:rsidR="0069243B" w:rsidRDefault="0069243B" w:rsidP="0069243B">
      <w:pPr>
        <w:rPr>
          <w:b/>
          <w:bCs/>
          <w:sz w:val="18"/>
          <w:szCs w:val="18"/>
        </w:rPr>
      </w:pPr>
    </w:p>
    <w:p w14:paraId="465EF8CA" w14:textId="77777777" w:rsidR="0069243B" w:rsidRPr="007B7D3C" w:rsidRDefault="0069243B" w:rsidP="0069243B">
      <w:pPr>
        <w:pStyle w:val="PlainText"/>
        <w:rPr>
          <w:rFonts w:ascii="Arial" w:hAnsi="Arial" w:cs="Arial"/>
          <w:b/>
          <w:bCs/>
          <w:sz w:val="18"/>
          <w:szCs w:val="18"/>
        </w:rPr>
      </w:pPr>
      <w:r w:rsidRPr="007B7D3C">
        <w:rPr>
          <w:rFonts w:ascii="Arial" w:hAnsi="Arial" w:cs="Arial"/>
          <w:b/>
          <w:bCs/>
          <w:sz w:val="18"/>
          <w:szCs w:val="18"/>
        </w:rPr>
        <w:t>ESSENTIAL GOODS/SERVICES</w:t>
      </w:r>
    </w:p>
    <w:tbl>
      <w:tblPr>
        <w:tblStyle w:val="TableGrid"/>
        <w:tblW w:w="0" w:type="auto"/>
        <w:tblLook w:val="04A0" w:firstRow="1" w:lastRow="0" w:firstColumn="1" w:lastColumn="0" w:noHBand="0" w:noVBand="1"/>
      </w:tblPr>
      <w:tblGrid>
        <w:gridCol w:w="2893"/>
        <w:gridCol w:w="3409"/>
        <w:gridCol w:w="2477"/>
      </w:tblGrid>
      <w:tr w:rsidR="0069243B" w:rsidRPr="007B7D3C" w14:paraId="3D8EE234" w14:textId="77777777" w:rsidTr="0029542F">
        <w:tc>
          <w:tcPr>
            <w:tcW w:w="3006" w:type="dxa"/>
          </w:tcPr>
          <w:p w14:paraId="447B295C" w14:textId="77777777" w:rsidR="0069243B" w:rsidRPr="007B7D3C" w:rsidRDefault="0069243B" w:rsidP="0029542F">
            <w:pPr>
              <w:rPr>
                <w:b/>
                <w:bCs/>
                <w:sz w:val="18"/>
                <w:szCs w:val="18"/>
              </w:rPr>
            </w:pPr>
            <w:r w:rsidRPr="007B7D3C">
              <w:rPr>
                <w:b/>
                <w:bCs/>
                <w:sz w:val="18"/>
                <w:szCs w:val="18"/>
              </w:rPr>
              <w:t>Category</w:t>
            </w:r>
          </w:p>
        </w:tc>
        <w:tc>
          <w:tcPr>
            <w:tcW w:w="3469" w:type="dxa"/>
          </w:tcPr>
          <w:p w14:paraId="43EE8F4E" w14:textId="77777777" w:rsidR="0069243B" w:rsidRPr="007B7D3C" w:rsidRDefault="0069243B" w:rsidP="0029542F">
            <w:pPr>
              <w:rPr>
                <w:b/>
                <w:bCs/>
                <w:sz w:val="18"/>
                <w:szCs w:val="18"/>
              </w:rPr>
            </w:pPr>
            <w:r w:rsidRPr="007B7D3C">
              <w:rPr>
                <w:b/>
                <w:bCs/>
                <w:sz w:val="18"/>
                <w:szCs w:val="18"/>
              </w:rPr>
              <w:t>Basic assistance and relief</w:t>
            </w:r>
          </w:p>
        </w:tc>
        <w:tc>
          <w:tcPr>
            <w:tcW w:w="2541" w:type="dxa"/>
          </w:tcPr>
          <w:p w14:paraId="31FC77DB" w14:textId="77777777" w:rsidR="0069243B" w:rsidRPr="007B7D3C" w:rsidRDefault="0069243B" w:rsidP="0029542F">
            <w:pPr>
              <w:rPr>
                <w:b/>
                <w:bCs/>
                <w:sz w:val="18"/>
                <w:szCs w:val="18"/>
              </w:rPr>
            </w:pPr>
            <w:r w:rsidRPr="007B7D3C">
              <w:rPr>
                <w:b/>
                <w:bCs/>
                <w:sz w:val="18"/>
                <w:szCs w:val="18"/>
              </w:rPr>
              <w:t>Deferment recovery period</w:t>
            </w:r>
          </w:p>
        </w:tc>
      </w:tr>
      <w:tr w:rsidR="0069243B" w:rsidRPr="007B7D3C" w14:paraId="7D42554E" w14:textId="77777777" w:rsidTr="0029542F">
        <w:tc>
          <w:tcPr>
            <w:tcW w:w="3006" w:type="dxa"/>
          </w:tcPr>
          <w:p w14:paraId="2D88AFF8" w14:textId="77777777" w:rsidR="0069243B" w:rsidRPr="007B7D3C" w:rsidRDefault="0069243B" w:rsidP="0029542F">
            <w:pPr>
              <w:jc w:val="left"/>
              <w:rPr>
                <w:sz w:val="18"/>
                <w:szCs w:val="18"/>
              </w:rPr>
            </w:pPr>
            <w:r w:rsidRPr="007B7D3C">
              <w:rPr>
                <w:sz w:val="18"/>
                <w:szCs w:val="18"/>
              </w:rPr>
              <w:t>Retailers offering more than 75%</w:t>
            </w:r>
            <w:r>
              <w:rPr>
                <w:sz w:val="18"/>
                <w:szCs w:val="18"/>
              </w:rPr>
              <w:t xml:space="preserve"> of GLA in</w:t>
            </w:r>
            <w:r w:rsidRPr="007B7D3C">
              <w:rPr>
                <w:sz w:val="18"/>
                <w:szCs w:val="18"/>
              </w:rPr>
              <w:t xml:space="preserve"> essential services</w:t>
            </w:r>
          </w:p>
        </w:tc>
        <w:tc>
          <w:tcPr>
            <w:tcW w:w="3469" w:type="dxa"/>
          </w:tcPr>
          <w:p w14:paraId="6FD39714" w14:textId="77777777" w:rsidR="0069243B" w:rsidRPr="007B7D3C" w:rsidRDefault="0069243B" w:rsidP="0029542F">
            <w:pPr>
              <w:jc w:val="left"/>
              <w:rPr>
                <w:sz w:val="18"/>
                <w:szCs w:val="18"/>
              </w:rPr>
            </w:pPr>
            <w:r w:rsidRPr="007B7D3C">
              <w:rPr>
                <w:sz w:val="18"/>
                <w:szCs w:val="18"/>
              </w:rPr>
              <w:t xml:space="preserve">No relief offered – 100% of </w:t>
            </w:r>
            <w:r>
              <w:rPr>
                <w:sz w:val="18"/>
                <w:szCs w:val="18"/>
              </w:rPr>
              <w:t>R</w:t>
            </w:r>
            <w:r w:rsidRPr="007B7D3C">
              <w:rPr>
                <w:sz w:val="18"/>
                <w:szCs w:val="18"/>
              </w:rPr>
              <w:t>ent</w:t>
            </w:r>
            <w:r>
              <w:rPr>
                <w:sz w:val="18"/>
                <w:szCs w:val="18"/>
              </w:rPr>
              <w:t>al</w:t>
            </w:r>
            <w:r w:rsidRPr="007B7D3C">
              <w:rPr>
                <w:sz w:val="18"/>
                <w:szCs w:val="18"/>
              </w:rPr>
              <w:t xml:space="preserve"> payable</w:t>
            </w:r>
          </w:p>
        </w:tc>
        <w:tc>
          <w:tcPr>
            <w:tcW w:w="2541" w:type="dxa"/>
          </w:tcPr>
          <w:p w14:paraId="2357E03D" w14:textId="77777777" w:rsidR="0069243B" w:rsidRPr="007B7D3C" w:rsidRDefault="0069243B" w:rsidP="0029542F">
            <w:pPr>
              <w:jc w:val="left"/>
              <w:rPr>
                <w:sz w:val="18"/>
                <w:szCs w:val="18"/>
              </w:rPr>
            </w:pPr>
            <w:r w:rsidRPr="007B7D3C">
              <w:rPr>
                <w:sz w:val="18"/>
                <w:szCs w:val="18"/>
              </w:rPr>
              <w:t>N/A</w:t>
            </w:r>
          </w:p>
        </w:tc>
      </w:tr>
      <w:tr w:rsidR="0069243B" w:rsidRPr="007B7D3C" w14:paraId="3303298C" w14:textId="77777777" w:rsidTr="0029542F">
        <w:tc>
          <w:tcPr>
            <w:tcW w:w="3006" w:type="dxa"/>
          </w:tcPr>
          <w:p w14:paraId="74CF86AC" w14:textId="77777777" w:rsidR="0069243B" w:rsidRPr="007B7D3C" w:rsidRDefault="0069243B" w:rsidP="0029542F">
            <w:pPr>
              <w:jc w:val="left"/>
              <w:rPr>
                <w:sz w:val="18"/>
                <w:szCs w:val="18"/>
              </w:rPr>
            </w:pPr>
            <w:r w:rsidRPr="007B7D3C">
              <w:rPr>
                <w:sz w:val="18"/>
                <w:szCs w:val="18"/>
              </w:rPr>
              <w:t>Retailers offering essential services but electing to close</w:t>
            </w:r>
          </w:p>
        </w:tc>
        <w:tc>
          <w:tcPr>
            <w:tcW w:w="3469" w:type="dxa"/>
          </w:tcPr>
          <w:p w14:paraId="586E5FB5" w14:textId="77777777" w:rsidR="0069243B" w:rsidRPr="007B7D3C" w:rsidRDefault="0069243B" w:rsidP="0029542F">
            <w:pPr>
              <w:jc w:val="left"/>
              <w:rPr>
                <w:sz w:val="18"/>
                <w:szCs w:val="18"/>
              </w:rPr>
            </w:pPr>
            <w:r w:rsidRPr="007B7D3C">
              <w:rPr>
                <w:sz w:val="18"/>
                <w:szCs w:val="18"/>
              </w:rPr>
              <w:t xml:space="preserve">No relief offered – 100% of </w:t>
            </w:r>
            <w:r>
              <w:rPr>
                <w:sz w:val="18"/>
                <w:szCs w:val="18"/>
              </w:rPr>
              <w:t>R</w:t>
            </w:r>
            <w:r w:rsidRPr="007B7D3C">
              <w:rPr>
                <w:sz w:val="18"/>
                <w:szCs w:val="18"/>
              </w:rPr>
              <w:t>ent</w:t>
            </w:r>
            <w:r>
              <w:rPr>
                <w:sz w:val="18"/>
                <w:szCs w:val="18"/>
              </w:rPr>
              <w:t>al</w:t>
            </w:r>
            <w:r w:rsidRPr="007B7D3C">
              <w:rPr>
                <w:sz w:val="18"/>
                <w:szCs w:val="18"/>
              </w:rPr>
              <w:t xml:space="preserve"> payable</w:t>
            </w:r>
          </w:p>
        </w:tc>
        <w:tc>
          <w:tcPr>
            <w:tcW w:w="2541" w:type="dxa"/>
          </w:tcPr>
          <w:p w14:paraId="1D5A79E6" w14:textId="77777777" w:rsidR="0069243B" w:rsidRPr="007B7D3C" w:rsidRDefault="0069243B" w:rsidP="0029542F">
            <w:pPr>
              <w:jc w:val="left"/>
              <w:rPr>
                <w:sz w:val="18"/>
                <w:szCs w:val="18"/>
              </w:rPr>
            </w:pPr>
            <w:r w:rsidRPr="007B7D3C">
              <w:rPr>
                <w:sz w:val="18"/>
                <w:szCs w:val="18"/>
              </w:rPr>
              <w:t>N/A</w:t>
            </w:r>
          </w:p>
        </w:tc>
      </w:tr>
      <w:tr w:rsidR="0069243B" w:rsidRPr="00BF533E" w14:paraId="5D878126" w14:textId="77777777" w:rsidTr="0029542F">
        <w:tc>
          <w:tcPr>
            <w:tcW w:w="3006" w:type="dxa"/>
          </w:tcPr>
          <w:p w14:paraId="1B5DB428" w14:textId="77777777" w:rsidR="0069243B" w:rsidRPr="007B7D3C" w:rsidRDefault="0069243B" w:rsidP="0029542F">
            <w:pPr>
              <w:jc w:val="left"/>
              <w:rPr>
                <w:sz w:val="18"/>
                <w:szCs w:val="18"/>
              </w:rPr>
            </w:pPr>
            <w:r w:rsidRPr="007B7D3C">
              <w:rPr>
                <w:sz w:val="18"/>
                <w:szCs w:val="18"/>
              </w:rPr>
              <w:t>Retailers offering partial essential services, less than 75%</w:t>
            </w:r>
            <w:r>
              <w:rPr>
                <w:sz w:val="18"/>
                <w:szCs w:val="18"/>
              </w:rPr>
              <w:t xml:space="preserve"> in GLA</w:t>
            </w:r>
          </w:p>
        </w:tc>
        <w:tc>
          <w:tcPr>
            <w:tcW w:w="3469" w:type="dxa"/>
          </w:tcPr>
          <w:p w14:paraId="74D52344" w14:textId="77777777" w:rsidR="0069243B" w:rsidRPr="007B7D3C" w:rsidRDefault="0069243B" w:rsidP="0069243B">
            <w:pPr>
              <w:pStyle w:val="ListParagraph"/>
              <w:numPr>
                <w:ilvl w:val="0"/>
                <w:numId w:val="27"/>
              </w:numPr>
              <w:ind w:left="720"/>
              <w:contextualSpacing/>
              <w:rPr>
                <w:rFonts w:ascii="Arial" w:hAnsi="Arial" w:cs="Arial"/>
                <w:sz w:val="18"/>
                <w:szCs w:val="18"/>
              </w:rPr>
            </w:pPr>
            <w:r w:rsidRPr="007B7D3C">
              <w:rPr>
                <w:rFonts w:ascii="Arial" w:hAnsi="Arial" w:cs="Arial"/>
                <w:sz w:val="18"/>
                <w:szCs w:val="18"/>
              </w:rPr>
              <w:t xml:space="preserve">Essential goods/services – 100% of </w:t>
            </w:r>
            <w:r>
              <w:rPr>
                <w:rFonts w:ascii="Arial" w:hAnsi="Arial" w:cs="Arial"/>
                <w:sz w:val="18"/>
                <w:szCs w:val="18"/>
              </w:rPr>
              <w:t>R</w:t>
            </w:r>
            <w:r w:rsidRPr="007B7D3C">
              <w:rPr>
                <w:rFonts w:ascii="Arial" w:hAnsi="Arial" w:cs="Arial"/>
                <w:sz w:val="18"/>
                <w:szCs w:val="18"/>
              </w:rPr>
              <w:t>ent</w:t>
            </w:r>
            <w:r>
              <w:rPr>
                <w:rFonts w:ascii="Arial" w:hAnsi="Arial" w:cs="Arial"/>
                <w:sz w:val="18"/>
                <w:szCs w:val="18"/>
              </w:rPr>
              <w:t>al</w:t>
            </w:r>
            <w:r w:rsidRPr="007B7D3C">
              <w:rPr>
                <w:rFonts w:ascii="Arial" w:hAnsi="Arial" w:cs="Arial"/>
                <w:sz w:val="18"/>
                <w:szCs w:val="18"/>
              </w:rPr>
              <w:t xml:space="preserve"> payable</w:t>
            </w:r>
          </w:p>
          <w:p w14:paraId="2FB6E582" w14:textId="77777777" w:rsidR="0069243B" w:rsidRDefault="0069243B" w:rsidP="0069243B">
            <w:pPr>
              <w:pStyle w:val="ListParagraph"/>
              <w:numPr>
                <w:ilvl w:val="0"/>
                <w:numId w:val="27"/>
              </w:numPr>
              <w:ind w:left="720"/>
              <w:contextualSpacing/>
              <w:rPr>
                <w:rFonts w:ascii="Arial" w:hAnsi="Arial" w:cs="Arial"/>
                <w:sz w:val="18"/>
                <w:szCs w:val="18"/>
              </w:rPr>
            </w:pPr>
            <w:r w:rsidRPr="007B7D3C">
              <w:rPr>
                <w:rFonts w:ascii="Arial" w:hAnsi="Arial" w:cs="Arial"/>
                <w:sz w:val="18"/>
                <w:szCs w:val="18"/>
              </w:rPr>
              <w:t xml:space="preserve">Non-essential goods/services – as per retailers </w:t>
            </w:r>
            <w:r>
              <w:rPr>
                <w:rFonts w:ascii="Arial" w:hAnsi="Arial" w:cs="Arial"/>
                <w:sz w:val="18"/>
                <w:szCs w:val="18"/>
              </w:rPr>
              <w:t xml:space="preserve">detailed above depending on the turnover of the retailer: </w:t>
            </w:r>
          </w:p>
          <w:p w14:paraId="168F852B" w14:textId="77777777" w:rsidR="0069243B" w:rsidRDefault="0069243B" w:rsidP="0069243B">
            <w:pPr>
              <w:pStyle w:val="ListParagraph"/>
              <w:numPr>
                <w:ilvl w:val="1"/>
                <w:numId w:val="27"/>
              </w:numPr>
              <w:ind w:left="1440"/>
              <w:contextualSpacing/>
              <w:rPr>
                <w:rFonts w:ascii="Arial" w:hAnsi="Arial" w:cs="Arial"/>
                <w:sz w:val="18"/>
                <w:szCs w:val="18"/>
              </w:rPr>
            </w:pPr>
            <w:r>
              <w:rPr>
                <w:rFonts w:ascii="Arial" w:hAnsi="Arial" w:cs="Arial"/>
                <w:sz w:val="18"/>
                <w:szCs w:val="18"/>
              </w:rPr>
              <w:t>A</w:t>
            </w:r>
            <w:r w:rsidRPr="007B7D3C">
              <w:rPr>
                <w:rFonts w:ascii="Arial" w:hAnsi="Arial" w:cs="Arial"/>
                <w:sz w:val="18"/>
                <w:szCs w:val="18"/>
              </w:rPr>
              <w:t xml:space="preserve">nnual turnovers above R80 million </w:t>
            </w:r>
            <w:r>
              <w:rPr>
                <w:rFonts w:ascii="Arial" w:hAnsi="Arial" w:cs="Arial"/>
                <w:sz w:val="18"/>
                <w:szCs w:val="18"/>
              </w:rPr>
              <w:t xml:space="preserve">and below R1 billion as the Medium-sized retailers and </w:t>
            </w:r>
          </w:p>
          <w:p w14:paraId="1AF48D67" w14:textId="77777777" w:rsidR="0069243B" w:rsidRPr="007B7D3C" w:rsidRDefault="0069243B" w:rsidP="0069243B">
            <w:pPr>
              <w:pStyle w:val="ListParagraph"/>
              <w:numPr>
                <w:ilvl w:val="1"/>
                <w:numId w:val="27"/>
              </w:numPr>
              <w:ind w:left="1440"/>
              <w:contextualSpacing/>
              <w:rPr>
                <w:rFonts w:ascii="Arial" w:hAnsi="Arial" w:cs="Arial"/>
                <w:sz w:val="18"/>
                <w:szCs w:val="18"/>
              </w:rPr>
            </w:pPr>
            <w:r>
              <w:rPr>
                <w:rFonts w:ascii="Arial" w:hAnsi="Arial" w:cs="Arial"/>
                <w:sz w:val="18"/>
                <w:szCs w:val="18"/>
              </w:rPr>
              <w:lastRenderedPageBreak/>
              <w:t xml:space="preserve">Annual turnovers above R1 billion as Large retailers </w:t>
            </w:r>
          </w:p>
          <w:p w14:paraId="32E16689" w14:textId="77777777" w:rsidR="0069243B" w:rsidRPr="007B7D3C" w:rsidRDefault="0069243B" w:rsidP="0029542F">
            <w:pPr>
              <w:jc w:val="left"/>
              <w:rPr>
                <w:sz w:val="18"/>
                <w:szCs w:val="18"/>
              </w:rPr>
            </w:pPr>
            <w:r w:rsidRPr="00614A45">
              <w:rPr>
                <w:sz w:val="18"/>
                <w:szCs w:val="18"/>
              </w:rPr>
              <w:t xml:space="preserve">Pro-rated by essential goods/services vs non-essential good/services </w:t>
            </w:r>
            <w:r>
              <w:rPr>
                <w:sz w:val="18"/>
                <w:szCs w:val="18"/>
              </w:rPr>
              <w:t>based on GLA</w:t>
            </w:r>
          </w:p>
        </w:tc>
        <w:tc>
          <w:tcPr>
            <w:tcW w:w="2541" w:type="dxa"/>
          </w:tcPr>
          <w:p w14:paraId="0C275F81" w14:textId="77777777" w:rsidR="0069243B" w:rsidRPr="00BF533E" w:rsidRDefault="0069243B" w:rsidP="0029542F">
            <w:pPr>
              <w:jc w:val="left"/>
              <w:rPr>
                <w:sz w:val="18"/>
                <w:szCs w:val="18"/>
              </w:rPr>
            </w:pPr>
            <w:r w:rsidRPr="007B7D3C">
              <w:rPr>
                <w:sz w:val="18"/>
                <w:szCs w:val="18"/>
              </w:rPr>
              <w:lastRenderedPageBreak/>
              <w:t>For non-essential goods/services portion: over six months from 1 July 2020</w:t>
            </w:r>
          </w:p>
        </w:tc>
      </w:tr>
    </w:tbl>
    <w:p w14:paraId="32726BDE" w14:textId="77777777" w:rsidR="0069243B" w:rsidRDefault="0069243B" w:rsidP="0069243B">
      <w:pPr>
        <w:pStyle w:val="PlainText"/>
        <w:rPr>
          <w:rFonts w:ascii="Arial" w:hAnsi="Arial" w:cs="Arial"/>
          <w:b/>
          <w:bCs/>
          <w:sz w:val="20"/>
          <w:szCs w:val="20"/>
        </w:rPr>
      </w:pPr>
    </w:p>
    <w:p w14:paraId="6AA0EE0D" w14:textId="77777777" w:rsidR="0069243B" w:rsidRPr="00155C5B" w:rsidRDefault="0069243B" w:rsidP="0069243B">
      <w:pPr>
        <w:pStyle w:val="PlainText"/>
        <w:spacing w:line="276" w:lineRule="auto"/>
        <w:rPr>
          <w:rFonts w:ascii="Arial" w:hAnsi="Arial" w:cs="Arial"/>
          <w:sz w:val="20"/>
          <w:szCs w:val="20"/>
        </w:rPr>
      </w:pPr>
      <w:r w:rsidRPr="00155C5B">
        <w:rPr>
          <w:rFonts w:ascii="Arial" w:hAnsi="Arial" w:cs="Arial"/>
          <w:sz w:val="20"/>
          <w:szCs w:val="20"/>
        </w:rPr>
        <w:t>Th</w:t>
      </w:r>
      <w:r>
        <w:rPr>
          <w:rFonts w:ascii="Arial" w:hAnsi="Arial" w:cs="Arial"/>
          <w:sz w:val="20"/>
          <w:szCs w:val="20"/>
        </w:rPr>
        <w:t>ese updated</w:t>
      </w:r>
      <w:r w:rsidRPr="00155C5B">
        <w:rPr>
          <w:rFonts w:ascii="Arial" w:hAnsi="Arial" w:cs="Arial"/>
          <w:sz w:val="20"/>
          <w:szCs w:val="20"/>
        </w:rPr>
        <w:t xml:space="preserve"> </w:t>
      </w:r>
      <w:r>
        <w:rPr>
          <w:rFonts w:ascii="Arial" w:hAnsi="Arial" w:cs="Arial"/>
          <w:sz w:val="20"/>
          <w:szCs w:val="20"/>
        </w:rPr>
        <w:t>guidelines</w:t>
      </w:r>
      <w:r w:rsidRPr="00155C5B">
        <w:rPr>
          <w:rFonts w:ascii="Arial" w:hAnsi="Arial" w:cs="Arial"/>
          <w:sz w:val="20"/>
          <w:szCs w:val="20"/>
        </w:rPr>
        <w:t xml:space="preserve"> include the PI Group</w:t>
      </w:r>
      <w:r>
        <w:rPr>
          <w:rFonts w:ascii="Arial" w:hAnsi="Arial" w:cs="Arial"/>
          <w:sz w:val="20"/>
          <w:szCs w:val="20"/>
        </w:rPr>
        <w:t>’</w:t>
      </w:r>
      <w:r w:rsidRPr="00155C5B">
        <w:rPr>
          <w:rFonts w:ascii="Arial" w:hAnsi="Arial" w:cs="Arial"/>
          <w:sz w:val="20"/>
          <w:szCs w:val="20"/>
        </w:rPr>
        <w:t>s proposal to the Clothing Retailer Group (CR Group) – representing The</w:t>
      </w:r>
      <w:r w:rsidRPr="00155C5B">
        <w:rPr>
          <w:rFonts w:ascii="Arial" w:hAnsi="Arial" w:cs="Arial"/>
          <w:color w:val="000000"/>
          <w:sz w:val="20"/>
          <w:szCs w:val="20"/>
          <w:shd w:val="clear" w:color="auto" w:fill="FFFFFF"/>
        </w:rPr>
        <w:t xml:space="preserve"> Foschini Group, Truworths, Mr Price Group, Woolworths and Pepkor. </w:t>
      </w:r>
      <w:r w:rsidRPr="00155C5B">
        <w:rPr>
          <w:rFonts w:ascii="Arial" w:hAnsi="Arial" w:cs="Arial"/>
          <w:sz w:val="20"/>
          <w:szCs w:val="20"/>
        </w:rPr>
        <w:t xml:space="preserve">Despite </w:t>
      </w:r>
      <w:r w:rsidRPr="00155C5B">
        <w:rPr>
          <w:rFonts w:ascii="Arial" w:hAnsi="Arial" w:cs="Arial"/>
          <w:color w:val="000000"/>
          <w:sz w:val="20"/>
          <w:szCs w:val="20"/>
          <w:lang w:val="en-ZA"/>
        </w:rPr>
        <w:t xml:space="preserve">constructive negotiations between the groups and </w:t>
      </w:r>
      <w:r w:rsidRPr="00155C5B">
        <w:rPr>
          <w:rFonts w:ascii="Arial" w:hAnsi="Arial" w:cs="Arial"/>
          <w:sz w:val="20"/>
          <w:szCs w:val="20"/>
        </w:rPr>
        <w:t xml:space="preserve">considerable compromises on both sides, </w:t>
      </w:r>
      <w:r>
        <w:rPr>
          <w:rFonts w:ascii="Arial" w:hAnsi="Arial" w:cs="Arial"/>
          <w:sz w:val="20"/>
          <w:szCs w:val="20"/>
        </w:rPr>
        <w:t>we</w:t>
      </w:r>
      <w:r w:rsidRPr="00155C5B">
        <w:rPr>
          <w:rFonts w:ascii="Arial" w:hAnsi="Arial" w:cs="Arial"/>
          <w:color w:val="000000"/>
          <w:sz w:val="20"/>
          <w:szCs w:val="20"/>
          <w:shd w:val="clear" w:color="auto" w:fill="FFFFFF"/>
        </w:rPr>
        <w:t xml:space="preserve"> </w:t>
      </w:r>
      <w:r w:rsidRPr="00155C5B">
        <w:rPr>
          <w:rFonts w:ascii="Arial" w:hAnsi="Arial" w:cs="Arial"/>
          <w:sz w:val="20"/>
          <w:szCs w:val="20"/>
        </w:rPr>
        <w:t xml:space="preserve">have been unable to reach an agreement on the extent of the rental relief. </w:t>
      </w:r>
    </w:p>
    <w:p w14:paraId="3AD950B9" w14:textId="77777777" w:rsidR="0069243B" w:rsidRPr="00155C5B" w:rsidRDefault="0069243B" w:rsidP="0069243B">
      <w:pPr>
        <w:spacing w:line="276" w:lineRule="auto"/>
        <w:jc w:val="left"/>
        <w:rPr>
          <w:sz w:val="20"/>
          <w:szCs w:val="20"/>
        </w:rPr>
      </w:pPr>
    </w:p>
    <w:p w14:paraId="3DFAA78B" w14:textId="77777777" w:rsidR="0069243B" w:rsidRDefault="0069243B" w:rsidP="0069243B">
      <w:pPr>
        <w:spacing w:line="276" w:lineRule="auto"/>
        <w:jc w:val="left"/>
        <w:rPr>
          <w:color w:val="000000"/>
          <w:sz w:val="20"/>
          <w:szCs w:val="20"/>
        </w:rPr>
      </w:pPr>
      <w:r w:rsidRPr="00155C5B">
        <w:rPr>
          <w:color w:val="000000"/>
          <w:sz w:val="20"/>
          <w:szCs w:val="20"/>
        </w:rPr>
        <w:t xml:space="preserve">“Our unique culture of Ubuntu was palpable </w:t>
      </w:r>
      <w:r>
        <w:rPr>
          <w:color w:val="000000"/>
          <w:sz w:val="20"/>
          <w:szCs w:val="20"/>
        </w:rPr>
        <w:t>throughout</w:t>
      </w:r>
      <w:r w:rsidRPr="00155C5B">
        <w:rPr>
          <w:color w:val="000000"/>
          <w:sz w:val="20"/>
          <w:szCs w:val="20"/>
        </w:rPr>
        <w:t xml:space="preserve"> the negotiation process. Unfortunately, despite both parties moving closer together we can’t find a final meeting point </w:t>
      </w:r>
      <w:r>
        <w:rPr>
          <w:color w:val="000000"/>
          <w:sz w:val="20"/>
          <w:szCs w:val="20"/>
        </w:rPr>
        <w:t>on</w:t>
      </w:r>
      <w:r w:rsidRPr="00155C5B">
        <w:rPr>
          <w:color w:val="000000"/>
          <w:sz w:val="20"/>
          <w:szCs w:val="20"/>
        </w:rPr>
        <w:t xml:space="preserve"> the level of rental discount, and </w:t>
      </w:r>
      <w:r>
        <w:rPr>
          <w:color w:val="000000"/>
          <w:sz w:val="20"/>
          <w:szCs w:val="20"/>
        </w:rPr>
        <w:t>the refusal by the CR Group to pay their share</w:t>
      </w:r>
      <w:r w:rsidRPr="00155C5B">
        <w:rPr>
          <w:color w:val="000000"/>
          <w:sz w:val="20"/>
          <w:szCs w:val="20"/>
        </w:rPr>
        <w:t xml:space="preserve"> of rates and taxes remains the major point of disagreement</w:t>
      </w:r>
      <w:r>
        <w:rPr>
          <w:color w:val="000000"/>
          <w:sz w:val="20"/>
          <w:szCs w:val="20"/>
        </w:rPr>
        <w:t>,</w:t>
      </w:r>
      <w:r w:rsidRPr="00155C5B">
        <w:rPr>
          <w:color w:val="000000"/>
          <w:sz w:val="20"/>
          <w:szCs w:val="20"/>
        </w:rPr>
        <w:t xml:space="preserve">” </w:t>
      </w:r>
      <w:r>
        <w:rPr>
          <w:color w:val="000000"/>
          <w:sz w:val="20"/>
          <w:szCs w:val="20"/>
        </w:rPr>
        <w:t>says</w:t>
      </w:r>
      <w:r w:rsidRPr="00155C5B">
        <w:rPr>
          <w:color w:val="000000"/>
          <w:sz w:val="20"/>
          <w:szCs w:val="20"/>
        </w:rPr>
        <w:t xml:space="preserve"> de Klerk. “Both sides</w:t>
      </w:r>
      <w:r>
        <w:rPr>
          <w:color w:val="000000"/>
          <w:sz w:val="20"/>
          <w:szCs w:val="20"/>
        </w:rPr>
        <w:t>, however,</w:t>
      </w:r>
      <w:r w:rsidRPr="00155C5B">
        <w:rPr>
          <w:color w:val="000000"/>
          <w:sz w:val="20"/>
          <w:szCs w:val="20"/>
        </w:rPr>
        <w:t xml:space="preserve"> appreciate that our fortunes are inextricably linked and we need each other for the success of our businesses. We value the longstanding relationships forged between members of both groups. To preserve these relationships, and avoid a protracted process, we are proposing</w:t>
      </w:r>
      <w:r>
        <w:rPr>
          <w:color w:val="000000"/>
          <w:sz w:val="20"/>
          <w:szCs w:val="20"/>
        </w:rPr>
        <w:t xml:space="preserve"> </w:t>
      </w:r>
      <w:r w:rsidRPr="00155C5B">
        <w:rPr>
          <w:color w:val="000000"/>
          <w:sz w:val="20"/>
          <w:szCs w:val="20"/>
        </w:rPr>
        <w:t xml:space="preserve">the national </w:t>
      </w:r>
      <w:r>
        <w:rPr>
          <w:color w:val="000000"/>
          <w:sz w:val="20"/>
          <w:szCs w:val="20"/>
        </w:rPr>
        <w:t>G</w:t>
      </w:r>
      <w:r w:rsidRPr="00155C5B">
        <w:rPr>
          <w:color w:val="000000"/>
          <w:sz w:val="20"/>
          <w:szCs w:val="20"/>
        </w:rPr>
        <w:t>overnment as mediator to provide a mutually beneficial remedy.”</w:t>
      </w:r>
    </w:p>
    <w:p w14:paraId="53FA4D45" w14:textId="77777777" w:rsidR="0069243B" w:rsidRPr="00155C5B" w:rsidRDefault="0069243B" w:rsidP="0069243B">
      <w:pPr>
        <w:spacing w:line="276" w:lineRule="auto"/>
        <w:jc w:val="left"/>
      </w:pPr>
    </w:p>
    <w:p w14:paraId="44733EBC" w14:textId="77777777" w:rsidR="0069243B" w:rsidRDefault="0069243B" w:rsidP="0069243B">
      <w:pPr>
        <w:pStyle w:val="PlainText"/>
        <w:spacing w:line="276" w:lineRule="auto"/>
        <w:rPr>
          <w:rFonts w:ascii="Arial" w:hAnsi="Arial" w:cs="Arial"/>
          <w:sz w:val="20"/>
          <w:szCs w:val="20"/>
        </w:rPr>
      </w:pPr>
      <w:r w:rsidRPr="00DE0B19">
        <w:rPr>
          <w:rFonts w:ascii="Arial" w:hAnsi="Arial" w:cs="Arial"/>
          <w:sz w:val="20"/>
          <w:szCs w:val="20"/>
        </w:rPr>
        <w:t>The property industry and clothing retailers have jointly compiled and submitted a proposal to Government advising on the safe reopening of non-essential retail in shopping centres.</w:t>
      </w:r>
      <w:r w:rsidRPr="00155C5B">
        <w:rPr>
          <w:rFonts w:ascii="Arial" w:hAnsi="Arial" w:cs="Arial"/>
          <w:sz w:val="20"/>
          <w:szCs w:val="20"/>
        </w:rPr>
        <w:t xml:space="preserve"> </w:t>
      </w:r>
    </w:p>
    <w:p w14:paraId="143A9701" w14:textId="77777777" w:rsidR="0069243B" w:rsidRPr="00155C5B" w:rsidRDefault="0069243B" w:rsidP="0069243B">
      <w:pPr>
        <w:spacing w:line="276" w:lineRule="auto"/>
        <w:jc w:val="left"/>
      </w:pPr>
    </w:p>
    <w:p w14:paraId="26BFB9A3" w14:textId="77777777" w:rsidR="0069243B" w:rsidRDefault="0069243B" w:rsidP="0069243B">
      <w:pPr>
        <w:pStyle w:val="PlainText"/>
        <w:spacing w:line="276" w:lineRule="auto"/>
      </w:pPr>
      <w:r w:rsidRPr="00155C5B">
        <w:rPr>
          <w:rFonts w:ascii="Arial" w:hAnsi="Arial" w:cs="Arial"/>
          <w:sz w:val="20"/>
          <w:szCs w:val="20"/>
        </w:rPr>
        <w:t>Shopping centres play a huge societal role in the SA economy, providing goods, services and information to their communities. The country’s shopping centres are strongly driven to be part of the solution, not only by giving people a safe and hygienic place to acquire goods and services but by protecting jobs and helping to get the country back on its feet as fast as possible after the lockdown.</w:t>
      </w:r>
      <w:r w:rsidRPr="00DE0B19">
        <w:t xml:space="preserve"> </w:t>
      </w:r>
    </w:p>
    <w:p w14:paraId="24416581" w14:textId="77777777" w:rsidR="0069243B" w:rsidRPr="00155C5B" w:rsidRDefault="0069243B" w:rsidP="0069243B">
      <w:pPr>
        <w:pStyle w:val="PlainText"/>
        <w:spacing w:line="276" w:lineRule="auto"/>
        <w:rPr>
          <w:rFonts w:ascii="Arial" w:hAnsi="Arial" w:cs="Arial"/>
          <w:b/>
          <w:bCs/>
          <w:sz w:val="20"/>
          <w:szCs w:val="20"/>
        </w:rPr>
      </w:pPr>
    </w:p>
    <w:p w14:paraId="7BDFBDAE" w14:textId="77777777" w:rsidR="0069243B" w:rsidRDefault="0069243B" w:rsidP="0069243B">
      <w:pPr>
        <w:pStyle w:val="PlainText"/>
        <w:spacing w:line="276" w:lineRule="auto"/>
        <w:jc w:val="center"/>
        <w:rPr>
          <w:rFonts w:ascii="Arial" w:hAnsi="Arial" w:cs="Arial"/>
          <w:b/>
          <w:bCs/>
          <w:sz w:val="20"/>
          <w:szCs w:val="20"/>
        </w:rPr>
      </w:pPr>
      <w:r>
        <w:rPr>
          <w:rFonts w:ascii="Arial" w:hAnsi="Arial" w:cs="Arial"/>
          <w:b/>
          <w:bCs/>
          <w:sz w:val="20"/>
          <w:szCs w:val="20"/>
        </w:rPr>
        <w:t>/ends</w:t>
      </w:r>
    </w:p>
    <w:p w14:paraId="517CC8C7" w14:textId="77777777" w:rsidR="0069243B" w:rsidRDefault="0069243B" w:rsidP="0069243B">
      <w:pPr>
        <w:pStyle w:val="PlainText"/>
        <w:spacing w:line="276" w:lineRule="auto"/>
        <w:rPr>
          <w:rFonts w:ascii="Arial" w:hAnsi="Arial" w:cs="Arial"/>
          <w:b/>
          <w:bCs/>
          <w:sz w:val="20"/>
          <w:szCs w:val="20"/>
        </w:rPr>
      </w:pPr>
    </w:p>
    <w:p w14:paraId="3B2F4AD7" w14:textId="77777777" w:rsidR="0069243B" w:rsidRDefault="0069243B" w:rsidP="0069243B">
      <w:pPr>
        <w:pStyle w:val="PlainText"/>
        <w:spacing w:line="276" w:lineRule="auto"/>
        <w:jc w:val="center"/>
        <w:rPr>
          <w:rFonts w:ascii="Arial" w:hAnsi="Arial" w:cs="Arial"/>
          <w:b/>
          <w:bCs/>
          <w:sz w:val="20"/>
          <w:szCs w:val="20"/>
        </w:rPr>
      </w:pPr>
    </w:p>
    <w:p w14:paraId="2056FE10" w14:textId="77777777" w:rsidR="0069243B" w:rsidRDefault="0069243B" w:rsidP="0069243B">
      <w:pPr>
        <w:pStyle w:val="PlainText"/>
        <w:spacing w:line="276" w:lineRule="auto"/>
        <w:rPr>
          <w:rFonts w:ascii="Arial" w:hAnsi="Arial" w:cs="Arial"/>
          <w:b/>
          <w:bCs/>
          <w:sz w:val="20"/>
          <w:szCs w:val="20"/>
        </w:rPr>
      </w:pPr>
      <w:r>
        <w:rPr>
          <w:rFonts w:ascii="Arial" w:hAnsi="Arial" w:cs="Arial"/>
          <w:b/>
          <w:bCs/>
          <w:sz w:val="20"/>
          <w:szCs w:val="20"/>
        </w:rPr>
        <w:t>Released by:</w:t>
      </w:r>
    </w:p>
    <w:p w14:paraId="445D6B21" w14:textId="77777777" w:rsidR="0069243B" w:rsidRDefault="0069243B" w:rsidP="0069243B">
      <w:pPr>
        <w:pStyle w:val="PlainText"/>
        <w:spacing w:line="276" w:lineRule="auto"/>
        <w:rPr>
          <w:rFonts w:ascii="Arial" w:hAnsi="Arial" w:cs="Arial"/>
          <w:sz w:val="20"/>
          <w:szCs w:val="20"/>
        </w:rPr>
      </w:pPr>
      <w:r>
        <w:rPr>
          <w:rFonts w:ascii="Arial" w:hAnsi="Arial" w:cs="Arial"/>
          <w:sz w:val="20"/>
          <w:szCs w:val="20"/>
        </w:rPr>
        <w:t>The Property Industry Group</w:t>
      </w:r>
    </w:p>
    <w:p w14:paraId="4EE3971F" w14:textId="77777777" w:rsidR="0069243B" w:rsidRDefault="0069243B" w:rsidP="0069243B">
      <w:pPr>
        <w:pStyle w:val="PlainText"/>
        <w:spacing w:line="276" w:lineRule="auto"/>
        <w:rPr>
          <w:rFonts w:ascii="Arial" w:hAnsi="Arial" w:cs="Arial"/>
          <w:sz w:val="20"/>
          <w:szCs w:val="20"/>
        </w:rPr>
      </w:pPr>
      <w:r>
        <w:rPr>
          <w:rFonts w:ascii="Arial" w:hAnsi="Arial" w:cs="Arial"/>
          <w:sz w:val="20"/>
          <w:szCs w:val="20"/>
        </w:rPr>
        <w:t>Estienne de Klerk, Spokesperson</w:t>
      </w:r>
    </w:p>
    <w:p w14:paraId="0C295AB4" w14:textId="77777777" w:rsidR="0069243B" w:rsidRDefault="0069243B" w:rsidP="0069243B">
      <w:pPr>
        <w:pStyle w:val="PlainText"/>
        <w:spacing w:line="276" w:lineRule="auto"/>
        <w:rPr>
          <w:rFonts w:ascii="Arial" w:hAnsi="Arial" w:cs="Arial"/>
          <w:sz w:val="20"/>
          <w:szCs w:val="20"/>
        </w:rPr>
      </w:pPr>
      <w:r>
        <w:rPr>
          <w:rFonts w:ascii="Arial" w:hAnsi="Arial" w:cs="Arial"/>
          <w:sz w:val="20"/>
          <w:szCs w:val="20"/>
        </w:rPr>
        <w:t>Contacts: Nadine Briers cell: 082 888 0939 or Anne Lovell cell: 083 651 7777</w:t>
      </w:r>
    </w:p>
    <w:p w14:paraId="29896816" w14:textId="77777777" w:rsidR="0069243B" w:rsidRDefault="0069243B" w:rsidP="0069243B">
      <w:pPr>
        <w:pStyle w:val="PlainText"/>
        <w:spacing w:line="276" w:lineRule="auto"/>
        <w:rPr>
          <w:rFonts w:ascii="Calibri Light" w:hAnsi="Calibri Light" w:cs="Calibri Light"/>
          <w:lang w:val="en-ZA"/>
        </w:rPr>
      </w:pPr>
      <w:r>
        <w:rPr>
          <w:rFonts w:ascii="Arial" w:hAnsi="Arial" w:cs="Arial"/>
          <w:sz w:val="20"/>
          <w:szCs w:val="20"/>
        </w:rPr>
        <w:t xml:space="preserve">Email: </w:t>
      </w:r>
      <w:hyperlink r:id="rId11" w:history="1">
        <w:r w:rsidRPr="00802AE5">
          <w:rPr>
            <w:rStyle w:val="Hyperlink"/>
            <w:rFonts w:ascii="Arial" w:hAnsi="Arial" w:cs="Arial"/>
            <w:sz w:val="20"/>
            <w:szCs w:val="20"/>
          </w:rPr>
          <w:t>NBriers@growthpoint.co.za</w:t>
        </w:r>
      </w:hyperlink>
      <w:r>
        <w:rPr>
          <w:rFonts w:ascii="Arial" w:hAnsi="Arial" w:cs="Arial"/>
          <w:sz w:val="20"/>
          <w:szCs w:val="20"/>
        </w:rPr>
        <w:t xml:space="preserve"> or </w:t>
      </w:r>
      <w:hyperlink r:id="rId12" w:history="1">
        <w:r>
          <w:rPr>
            <w:rStyle w:val="Hyperlink"/>
            <w:rFonts w:ascii="Arial" w:hAnsi="Arial" w:cs="Arial"/>
            <w:sz w:val="20"/>
            <w:szCs w:val="20"/>
          </w:rPr>
          <w:t>Anne@marketingconcepts.co.za</w:t>
        </w:r>
      </w:hyperlink>
    </w:p>
    <w:p w14:paraId="1A2D9628" w14:textId="3ED4B619" w:rsidR="00B36122" w:rsidRPr="0069243B" w:rsidRDefault="00B36122" w:rsidP="0069243B">
      <w:pPr>
        <w:rPr>
          <w:rStyle w:val="Strong"/>
          <w:b w:val="0"/>
          <w:bCs w:val="0"/>
        </w:rPr>
      </w:pPr>
    </w:p>
    <w:sectPr w:rsidR="00B36122" w:rsidRPr="0069243B" w:rsidSect="00A35805">
      <w:headerReference w:type="even" r:id="rId13"/>
      <w:headerReference w:type="default" r:id="rId14"/>
      <w:footerReference w:type="default" r:id="rId15"/>
      <w:headerReference w:type="first" r:id="rId16"/>
      <w:footerReference w:type="first" r:id="rId17"/>
      <w:pgSz w:w="11906" w:h="16838" w:code="9"/>
      <w:pgMar w:top="567" w:right="1416" w:bottom="1134" w:left="1701"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3AB0E" w14:textId="77777777" w:rsidR="00D227CF" w:rsidRDefault="00D227CF" w:rsidP="00035168">
      <w:r>
        <w:separator/>
      </w:r>
    </w:p>
  </w:endnote>
  <w:endnote w:type="continuationSeparator" w:id="0">
    <w:p w14:paraId="74277763" w14:textId="77777777" w:rsidR="00D227CF" w:rsidRDefault="00D227CF" w:rsidP="0003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91">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51824"/>
      <w:docPartObj>
        <w:docPartGallery w:val="Page Numbers (Bottom of Page)"/>
        <w:docPartUnique/>
      </w:docPartObj>
    </w:sdtPr>
    <w:sdtEndPr>
      <w:rPr>
        <w:noProof/>
      </w:rPr>
    </w:sdtEndPr>
    <w:sdtContent>
      <w:p w14:paraId="47986C5D" w14:textId="2D538558" w:rsidR="00A92D37" w:rsidRDefault="00B87F7F" w:rsidP="004772CD">
        <w:pPr>
          <w:pStyle w:val="Footer"/>
          <w:jc w:val="right"/>
        </w:pPr>
        <w:r>
          <w:rPr>
            <w:noProof/>
          </w:rPr>
          <w:drawing>
            <wp:anchor distT="0" distB="0" distL="114300" distR="114300" simplePos="0" relativeHeight="251659264" behindDoc="0" locked="0" layoutInCell="1" allowOverlap="1" wp14:anchorId="7243CCF2" wp14:editId="02D1A604">
              <wp:simplePos x="0" y="0"/>
              <wp:positionH relativeFrom="margin">
                <wp:posOffset>-1751965</wp:posOffset>
              </wp:positionH>
              <wp:positionV relativeFrom="margin">
                <wp:posOffset>9678035</wp:posOffset>
              </wp:positionV>
              <wp:extent cx="8213090" cy="280035"/>
              <wp:effectExtent l="0" t="0" r="3810" b="0"/>
              <wp:wrapSquare wrapText="bothSides"/>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ttom banner-01-01.jpg"/>
                      <pic:cNvPicPr/>
                    </pic:nvPicPr>
                    <pic:blipFill>
                      <a:blip r:embed="rId1">
                        <a:extLst>
                          <a:ext uri="{28A0092B-C50C-407E-A947-70E740481C1C}">
                            <a14:useLocalDpi xmlns:a14="http://schemas.microsoft.com/office/drawing/2010/main" val="0"/>
                          </a:ext>
                        </a:extLst>
                      </a:blip>
                      <a:stretch>
                        <a:fillRect/>
                      </a:stretch>
                    </pic:blipFill>
                    <pic:spPr>
                      <a:xfrm>
                        <a:off x="0" y="0"/>
                        <a:ext cx="8213090" cy="28003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FDCF" w14:textId="1A25D7ED" w:rsidR="00FE3026" w:rsidRDefault="00B87F7F">
    <w:pPr>
      <w:pStyle w:val="Footer"/>
    </w:pPr>
    <w:r>
      <w:rPr>
        <w:noProof/>
      </w:rPr>
      <w:drawing>
        <wp:anchor distT="0" distB="0" distL="114300" distR="114300" simplePos="0" relativeHeight="251660288" behindDoc="0" locked="0" layoutInCell="1" allowOverlap="1" wp14:anchorId="6F190DB6" wp14:editId="19E17446">
          <wp:simplePos x="0" y="0"/>
          <wp:positionH relativeFrom="margin">
            <wp:posOffset>-1574165</wp:posOffset>
          </wp:positionH>
          <wp:positionV relativeFrom="margin">
            <wp:posOffset>8558876</wp:posOffset>
          </wp:positionV>
          <wp:extent cx="8089265" cy="288925"/>
          <wp:effectExtent l="0" t="0" r="635" b="3175"/>
          <wp:wrapSquare wrapText="bothSides"/>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banner-01-01.jpg"/>
                  <pic:cNvPicPr/>
                </pic:nvPicPr>
                <pic:blipFill>
                  <a:blip r:embed="rId1">
                    <a:extLst>
                      <a:ext uri="{28A0092B-C50C-407E-A947-70E740481C1C}">
                        <a14:useLocalDpi xmlns:a14="http://schemas.microsoft.com/office/drawing/2010/main" val="0"/>
                      </a:ext>
                    </a:extLst>
                  </a:blip>
                  <a:stretch>
                    <a:fillRect/>
                  </a:stretch>
                </pic:blipFill>
                <pic:spPr>
                  <a:xfrm>
                    <a:off x="0" y="0"/>
                    <a:ext cx="8089265" cy="288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C4A8F" w14:textId="77777777" w:rsidR="00D227CF" w:rsidRDefault="00D227CF" w:rsidP="00035168">
      <w:r>
        <w:separator/>
      </w:r>
    </w:p>
  </w:footnote>
  <w:footnote w:type="continuationSeparator" w:id="0">
    <w:p w14:paraId="5EFBD80C" w14:textId="77777777" w:rsidR="00D227CF" w:rsidRDefault="00D227CF" w:rsidP="0003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180D" w14:textId="77777777" w:rsidR="00CA54DE" w:rsidRDefault="00CA54DE">
    <w:pPr>
      <w:pStyle w:val="Header"/>
    </w:pPr>
  </w:p>
  <w:p w14:paraId="5A997AF8" w14:textId="77777777" w:rsidR="00CA54DE" w:rsidRDefault="00CA54DE"/>
  <w:p w14:paraId="4D0F6A8A" w14:textId="77777777" w:rsidR="00CA54DE" w:rsidRDefault="00CA54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CC10" w14:textId="782F3F75" w:rsidR="00FE3026" w:rsidRDefault="0059481B" w:rsidP="00FE3026">
    <w:pPr>
      <w:pStyle w:val="Header"/>
    </w:pPr>
    <w:r>
      <w:rPr>
        <w:noProof/>
      </w:rPr>
      <w:drawing>
        <wp:anchor distT="0" distB="0" distL="114300" distR="114300" simplePos="0" relativeHeight="251664384" behindDoc="0" locked="0" layoutInCell="1" allowOverlap="1" wp14:anchorId="3E5919D3" wp14:editId="04526207">
          <wp:simplePos x="0" y="0"/>
          <wp:positionH relativeFrom="margin">
            <wp:posOffset>-1090930</wp:posOffset>
          </wp:positionH>
          <wp:positionV relativeFrom="margin">
            <wp:posOffset>-717550</wp:posOffset>
          </wp:positionV>
          <wp:extent cx="7546340" cy="367030"/>
          <wp:effectExtent l="0" t="0" r="0" b="127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op-01.png"/>
                  <pic:cNvPicPr/>
                </pic:nvPicPr>
                <pic:blipFill>
                  <a:blip r:embed="rId1">
                    <a:extLst>
                      <a:ext uri="{28A0092B-C50C-407E-A947-70E740481C1C}">
                        <a14:useLocalDpi xmlns:a14="http://schemas.microsoft.com/office/drawing/2010/main" val="0"/>
                      </a:ext>
                    </a:extLst>
                  </a:blip>
                  <a:stretch>
                    <a:fillRect/>
                  </a:stretch>
                </pic:blipFill>
                <pic:spPr>
                  <a:xfrm>
                    <a:off x="0" y="0"/>
                    <a:ext cx="7546340" cy="367030"/>
                  </a:xfrm>
                  <a:prstGeom prst="rect">
                    <a:avLst/>
                  </a:prstGeom>
                </pic:spPr>
              </pic:pic>
            </a:graphicData>
          </a:graphic>
          <wp14:sizeRelH relativeFrom="margin">
            <wp14:pctWidth>0</wp14:pctWidth>
          </wp14:sizeRelH>
          <wp14:sizeRelV relativeFrom="margin">
            <wp14:pctHeight>0</wp14:pctHeight>
          </wp14:sizeRelV>
        </wp:anchor>
      </w:drawing>
    </w:r>
  </w:p>
  <w:p w14:paraId="54AF2D01" w14:textId="1BD5F8EF" w:rsidR="00FE3026" w:rsidRPr="00FE3026" w:rsidRDefault="00FE3026" w:rsidP="00FE3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3614"/>
    </w:tblGrid>
    <w:tr w:rsidR="00FE40AC" w:rsidRPr="00CF0F66" w14:paraId="2DB47F52" w14:textId="77777777" w:rsidTr="00EC7F91">
      <w:tc>
        <w:tcPr>
          <w:tcW w:w="6663" w:type="dxa"/>
        </w:tcPr>
        <w:p w14:paraId="55F26BF7" w14:textId="78D02FBD" w:rsidR="00FE40AC" w:rsidRPr="00CF0F66" w:rsidRDefault="0059481B" w:rsidP="00A35805">
          <w:pPr>
            <w:tabs>
              <w:tab w:val="clear" w:pos="851"/>
              <w:tab w:val="clear" w:pos="1701"/>
              <w:tab w:val="clear" w:pos="2552"/>
              <w:tab w:val="left" w:pos="174"/>
            </w:tabs>
            <w:spacing w:line="360" w:lineRule="auto"/>
            <w:rPr>
              <w:rStyle w:val="Strong"/>
              <w:rFonts w:asciiTheme="minorHAnsi" w:hAnsiTheme="minorHAnsi" w:cstheme="minorHAnsi"/>
              <w:b w:val="0"/>
              <w:bCs w:val="0"/>
              <w:sz w:val="22"/>
              <w:szCs w:val="22"/>
            </w:rPr>
          </w:pPr>
          <w:r>
            <w:rPr>
              <w:noProof/>
            </w:rPr>
            <w:drawing>
              <wp:anchor distT="0" distB="0" distL="114300" distR="114300" simplePos="0" relativeHeight="251662336" behindDoc="0" locked="0" layoutInCell="1" allowOverlap="1" wp14:anchorId="4BA0BA64" wp14:editId="736214C4">
                <wp:simplePos x="0" y="0"/>
                <wp:positionH relativeFrom="margin">
                  <wp:posOffset>-68580</wp:posOffset>
                </wp:positionH>
                <wp:positionV relativeFrom="margin">
                  <wp:posOffset>635</wp:posOffset>
                </wp:positionV>
                <wp:extent cx="5403215" cy="1049020"/>
                <wp:effectExtent l="0" t="0" r="0" b="5080"/>
                <wp:wrapSquare wrapText="bothSides"/>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01.jpg"/>
                        <pic:cNvPicPr/>
                      </pic:nvPicPr>
                      <pic:blipFill>
                        <a:blip r:embed="rId1">
                          <a:extLst>
                            <a:ext uri="{28A0092B-C50C-407E-A947-70E740481C1C}">
                              <a14:useLocalDpi xmlns:a14="http://schemas.microsoft.com/office/drawing/2010/main" val="0"/>
                            </a:ext>
                          </a:extLst>
                        </a:blip>
                        <a:stretch>
                          <a:fillRect/>
                        </a:stretch>
                      </pic:blipFill>
                      <pic:spPr>
                        <a:xfrm>
                          <a:off x="0" y="0"/>
                          <a:ext cx="5403215" cy="1049020"/>
                        </a:xfrm>
                        <a:prstGeom prst="rect">
                          <a:avLst/>
                        </a:prstGeom>
                      </pic:spPr>
                    </pic:pic>
                  </a:graphicData>
                </a:graphic>
                <wp14:sizeRelH relativeFrom="margin">
                  <wp14:pctWidth>0</wp14:pctWidth>
                </wp14:sizeRelH>
                <wp14:sizeRelV relativeFrom="margin">
                  <wp14:pctHeight>0</wp14:pctHeight>
                </wp14:sizeRelV>
              </wp:anchor>
            </w:drawing>
          </w:r>
          <w:r w:rsidR="00A35805">
            <w:rPr>
              <w:noProof/>
            </w:rPr>
            <w:t xml:space="preserve">    </w:t>
          </w:r>
          <w:r w:rsidR="00FE40AC">
            <w:rPr>
              <w:noProof/>
            </w:rPr>
            <w:t xml:space="preserve">                       </w:t>
          </w:r>
        </w:p>
      </w:tc>
      <w:tc>
        <w:tcPr>
          <w:tcW w:w="5676" w:type="dxa"/>
        </w:tcPr>
        <w:p w14:paraId="5024BE5E" w14:textId="77777777" w:rsidR="00FE40AC" w:rsidRDefault="00FE40AC" w:rsidP="00254E4E">
          <w:pPr>
            <w:spacing w:line="360" w:lineRule="auto"/>
            <w:ind w:right="1584"/>
            <w:jc w:val="left"/>
            <w:rPr>
              <w:noProof/>
            </w:rPr>
          </w:pPr>
        </w:p>
        <w:p w14:paraId="2CA7FB9C" w14:textId="097B389F" w:rsidR="00FE40AC" w:rsidRDefault="00FE40AC" w:rsidP="00254E4E">
          <w:pPr>
            <w:spacing w:line="360" w:lineRule="auto"/>
            <w:ind w:right="1584" w:firstLine="177"/>
            <w:jc w:val="left"/>
            <w:rPr>
              <w:noProof/>
            </w:rPr>
          </w:pPr>
        </w:p>
        <w:p w14:paraId="436C52E2" w14:textId="77777777" w:rsidR="00FE40AC" w:rsidRPr="00CF0F66" w:rsidRDefault="00FE40AC" w:rsidP="00254E4E">
          <w:pPr>
            <w:spacing w:line="360" w:lineRule="auto"/>
            <w:ind w:right="1584"/>
            <w:jc w:val="left"/>
            <w:rPr>
              <w:rStyle w:val="Strong"/>
              <w:rFonts w:asciiTheme="minorHAnsi" w:hAnsiTheme="minorHAnsi" w:cstheme="minorHAnsi"/>
              <w:b w:val="0"/>
              <w:bCs w:val="0"/>
              <w:sz w:val="22"/>
              <w:szCs w:val="22"/>
            </w:rPr>
          </w:pPr>
          <w:r>
            <w:rPr>
              <w:noProof/>
            </w:rPr>
            <w:t xml:space="preserve">   </w:t>
          </w:r>
        </w:p>
      </w:tc>
    </w:tr>
  </w:tbl>
  <w:p w14:paraId="7C9AB3D8" w14:textId="629492CA" w:rsidR="00FE40AC" w:rsidRDefault="00FE4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77" w:hanging="346"/>
      </w:pPr>
      <w:rPr>
        <w:rFonts w:ascii="Arial" w:hAnsi="Arial" w:cs="Arial"/>
        <w:b w:val="0"/>
        <w:bCs w:val="0"/>
        <w:color w:val="0E0E0E"/>
        <w:w w:val="98"/>
        <w:sz w:val="20"/>
        <w:szCs w:val="20"/>
      </w:rPr>
    </w:lvl>
    <w:lvl w:ilvl="1">
      <w:start w:val="1"/>
      <w:numFmt w:val="decimal"/>
      <w:lvlText w:val="%2."/>
      <w:lvlJc w:val="left"/>
      <w:pPr>
        <w:ind w:left="877" w:hanging="706"/>
      </w:pPr>
      <w:rPr>
        <w:rFonts w:ascii="Arial" w:hAnsi="Arial" w:cs="Arial"/>
        <w:b w:val="0"/>
        <w:bCs w:val="0"/>
        <w:color w:val="1A1A1A"/>
        <w:spacing w:val="-19"/>
        <w:w w:val="107"/>
        <w:sz w:val="20"/>
        <w:szCs w:val="20"/>
      </w:rPr>
    </w:lvl>
    <w:lvl w:ilvl="2">
      <w:numFmt w:val="bullet"/>
      <w:lvlText w:val="•"/>
      <w:lvlJc w:val="left"/>
      <w:pPr>
        <w:ind w:left="1877" w:hanging="706"/>
      </w:pPr>
    </w:lvl>
    <w:lvl w:ilvl="3">
      <w:numFmt w:val="bullet"/>
      <w:lvlText w:val="•"/>
      <w:lvlJc w:val="left"/>
      <w:pPr>
        <w:ind w:left="2877" w:hanging="706"/>
      </w:pPr>
    </w:lvl>
    <w:lvl w:ilvl="4">
      <w:numFmt w:val="bullet"/>
      <w:lvlText w:val="•"/>
      <w:lvlJc w:val="left"/>
      <w:pPr>
        <w:ind w:left="3877" w:hanging="706"/>
      </w:pPr>
    </w:lvl>
    <w:lvl w:ilvl="5">
      <w:numFmt w:val="bullet"/>
      <w:lvlText w:val="•"/>
      <w:lvlJc w:val="left"/>
      <w:pPr>
        <w:ind w:left="4878" w:hanging="706"/>
      </w:pPr>
    </w:lvl>
    <w:lvl w:ilvl="6">
      <w:numFmt w:val="bullet"/>
      <w:lvlText w:val="•"/>
      <w:lvlJc w:val="left"/>
      <w:pPr>
        <w:ind w:left="5878" w:hanging="706"/>
      </w:pPr>
    </w:lvl>
    <w:lvl w:ilvl="7">
      <w:numFmt w:val="bullet"/>
      <w:lvlText w:val="•"/>
      <w:lvlJc w:val="left"/>
      <w:pPr>
        <w:ind w:left="6878" w:hanging="706"/>
      </w:pPr>
    </w:lvl>
    <w:lvl w:ilvl="8">
      <w:numFmt w:val="bullet"/>
      <w:lvlText w:val="•"/>
      <w:lvlJc w:val="left"/>
      <w:pPr>
        <w:ind w:left="7878" w:hanging="706"/>
      </w:pPr>
    </w:lvl>
  </w:abstractNum>
  <w:abstractNum w:abstractNumId="1" w15:restartNumberingAfterBreak="0">
    <w:nsid w:val="00000403"/>
    <w:multiLevelType w:val="multilevel"/>
    <w:tmpl w:val="00000886"/>
    <w:lvl w:ilvl="0">
      <w:start w:val="1"/>
      <w:numFmt w:val="decimal"/>
      <w:lvlText w:val="%1."/>
      <w:lvlJc w:val="left"/>
      <w:pPr>
        <w:ind w:left="877" w:hanging="706"/>
      </w:pPr>
      <w:rPr>
        <w:rFonts w:ascii="Arial" w:hAnsi="Arial" w:cs="Arial"/>
        <w:b w:val="0"/>
        <w:bCs w:val="0"/>
        <w:color w:val="151616"/>
        <w:w w:val="104"/>
        <w:sz w:val="19"/>
        <w:szCs w:val="19"/>
      </w:rPr>
    </w:lvl>
    <w:lvl w:ilvl="1">
      <w:start w:val="1"/>
      <w:numFmt w:val="decimal"/>
      <w:lvlText w:val="%2."/>
      <w:lvlJc w:val="left"/>
      <w:pPr>
        <w:ind w:left="733" w:hanging="195"/>
      </w:pPr>
      <w:rPr>
        <w:rFonts w:ascii="Times New Roman" w:hAnsi="Times New Roman" w:cs="Times New Roman"/>
        <w:b w:val="0"/>
        <w:bCs w:val="0"/>
        <w:i/>
        <w:iCs/>
        <w:color w:val="151616"/>
        <w:spacing w:val="4"/>
        <w:w w:val="94"/>
        <w:sz w:val="19"/>
        <w:szCs w:val="19"/>
      </w:rPr>
    </w:lvl>
    <w:lvl w:ilvl="2">
      <w:numFmt w:val="bullet"/>
      <w:lvlText w:val="•"/>
      <w:lvlJc w:val="left"/>
      <w:pPr>
        <w:ind w:left="1897" w:hanging="195"/>
      </w:pPr>
    </w:lvl>
    <w:lvl w:ilvl="3">
      <w:numFmt w:val="bullet"/>
      <w:lvlText w:val="•"/>
      <w:lvlJc w:val="left"/>
      <w:pPr>
        <w:ind w:left="2917" w:hanging="195"/>
      </w:pPr>
    </w:lvl>
    <w:lvl w:ilvl="4">
      <w:numFmt w:val="bullet"/>
      <w:lvlText w:val="•"/>
      <w:lvlJc w:val="left"/>
      <w:pPr>
        <w:ind w:left="3937" w:hanging="195"/>
      </w:pPr>
    </w:lvl>
    <w:lvl w:ilvl="5">
      <w:numFmt w:val="bullet"/>
      <w:lvlText w:val="•"/>
      <w:lvlJc w:val="left"/>
      <w:pPr>
        <w:ind w:left="4958" w:hanging="195"/>
      </w:pPr>
    </w:lvl>
    <w:lvl w:ilvl="6">
      <w:numFmt w:val="bullet"/>
      <w:lvlText w:val="•"/>
      <w:lvlJc w:val="left"/>
      <w:pPr>
        <w:ind w:left="5978" w:hanging="195"/>
      </w:pPr>
    </w:lvl>
    <w:lvl w:ilvl="7">
      <w:numFmt w:val="bullet"/>
      <w:lvlText w:val="•"/>
      <w:lvlJc w:val="left"/>
      <w:pPr>
        <w:ind w:left="6998" w:hanging="195"/>
      </w:pPr>
    </w:lvl>
    <w:lvl w:ilvl="8">
      <w:numFmt w:val="bullet"/>
      <w:lvlText w:val="•"/>
      <w:lvlJc w:val="left"/>
      <w:pPr>
        <w:ind w:left="8018" w:hanging="195"/>
      </w:pPr>
    </w:lvl>
  </w:abstractNum>
  <w:abstractNum w:abstractNumId="2" w15:restartNumberingAfterBreak="0">
    <w:nsid w:val="00000404"/>
    <w:multiLevelType w:val="multilevel"/>
    <w:tmpl w:val="00000887"/>
    <w:lvl w:ilvl="0">
      <w:numFmt w:val="bullet"/>
      <w:lvlText w:val="-"/>
      <w:lvlJc w:val="left"/>
      <w:pPr>
        <w:ind w:left="273" w:hanging="310"/>
      </w:pPr>
      <w:rPr>
        <w:rFonts w:ascii="Times New Roman" w:hAnsi="Times New Roman" w:cs="Times New Roman"/>
        <w:b w:val="0"/>
        <w:bCs w:val="0"/>
        <w:color w:val="4964A7"/>
        <w:spacing w:val="-141"/>
        <w:w w:val="507"/>
        <w:sz w:val="19"/>
        <w:szCs w:val="19"/>
      </w:rPr>
    </w:lvl>
    <w:lvl w:ilvl="1">
      <w:start w:val="1"/>
      <w:numFmt w:val="decimal"/>
      <w:lvlText w:val="%2."/>
      <w:lvlJc w:val="left"/>
      <w:pPr>
        <w:ind w:left="517" w:hanging="346"/>
      </w:pPr>
      <w:rPr>
        <w:rFonts w:ascii="Arial" w:hAnsi="Arial" w:cs="Arial"/>
        <w:b w:val="0"/>
        <w:bCs w:val="0"/>
        <w:color w:val="111111"/>
        <w:spacing w:val="-19"/>
        <w:w w:val="113"/>
        <w:sz w:val="19"/>
        <w:szCs w:val="19"/>
      </w:rPr>
    </w:lvl>
    <w:lvl w:ilvl="2">
      <w:numFmt w:val="bullet"/>
      <w:lvlText w:val="•"/>
      <w:lvlJc w:val="left"/>
      <w:pPr>
        <w:ind w:left="517" w:hanging="346"/>
      </w:pPr>
    </w:lvl>
    <w:lvl w:ilvl="3">
      <w:numFmt w:val="bullet"/>
      <w:lvlText w:val="•"/>
      <w:lvlJc w:val="left"/>
      <w:pPr>
        <w:ind w:left="733" w:hanging="346"/>
      </w:pPr>
    </w:lvl>
    <w:lvl w:ilvl="4">
      <w:numFmt w:val="bullet"/>
      <w:lvlText w:val="•"/>
      <w:lvlJc w:val="left"/>
      <w:pPr>
        <w:ind w:left="946" w:hanging="346"/>
      </w:pPr>
    </w:lvl>
    <w:lvl w:ilvl="5">
      <w:numFmt w:val="bullet"/>
      <w:lvlText w:val="•"/>
      <w:lvlJc w:val="left"/>
      <w:pPr>
        <w:ind w:left="1159" w:hanging="346"/>
      </w:pPr>
    </w:lvl>
    <w:lvl w:ilvl="6">
      <w:numFmt w:val="bullet"/>
      <w:lvlText w:val="•"/>
      <w:lvlJc w:val="left"/>
      <w:pPr>
        <w:ind w:left="1371" w:hanging="346"/>
      </w:pPr>
    </w:lvl>
    <w:lvl w:ilvl="7">
      <w:numFmt w:val="bullet"/>
      <w:lvlText w:val="•"/>
      <w:lvlJc w:val="left"/>
      <w:pPr>
        <w:ind w:left="1584" w:hanging="346"/>
      </w:pPr>
    </w:lvl>
    <w:lvl w:ilvl="8">
      <w:numFmt w:val="bullet"/>
      <w:lvlText w:val="•"/>
      <w:lvlJc w:val="left"/>
      <w:pPr>
        <w:ind w:left="1797" w:hanging="346"/>
      </w:pPr>
    </w:lvl>
  </w:abstractNum>
  <w:abstractNum w:abstractNumId="3" w15:restartNumberingAfterBreak="0">
    <w:nsid w:val="00000405"/>
    <w:multiLevelType w:val="multilevel"/>
    <w:tmpl w:val="00000888"/>
    <w:lvl w:ilvl="0">
      <w:start w:val="1"/>
      <w:numFmt w:val="decimal"/>
      <w:lvlText w:val="%1."/>
      <w:lvlJc w:val="left"/>
      <w:pPr>
        <w:ind w:left="877" w:hanging="346"/>
      </w:pPr>
      <w:rPr>
        <w:rFonts w:ascii="Arial" w:hAnsi="Arial" w:cs="Arial"/>
        <w:b w:val="0"/>
        <w:bCs w:val="0"/>
        <w:color w:val="0F0F0F"/>
        <w:w w:val="98"/>
        <w:sz w:val="20"/>
        <w:szCs w:val="20"/>
      </w:rPr>
    </w:lvl>
    <w:lvl w:ilvl="1">
      <w:numFmt w:val="bullet"/>
      <w:lvlText w:val="•"/>
      <w:lvlJc w:val="left"/>
      <w:pPr>
        <w:ind w:left="1779" w:hanging="346"/>
      </w:pPr>
    </w:lvl>
    <w:lvl w:ilvl="2">
      <w:numFmt w:val="bullet"/>
      <w:lvlText w:val="•"/>
      <w:lvlJc w:val="left"/>
      <w:pPr>
        <w:ind w:left="2681" w:hanging="346"/>
      </w:pPr>
    </w:lvl>
    <w:lvl w:ilvl="3">
      <w:numFmt w:val="bullet"/>
      <w:lvlText w:val="•"/>
      <w:lvlJc w:val="left"/>
      <w:pPr>
        <w:ind w:left="3583" w:hanging="346"/>
      </w:pPr>
    </w:lvl>
    <w:lvl w:ilvl="4">
      <w:numFmt w:val="bullet"/>
      <w:lvlText w:val="•"/>
      <w:lvlJc w:val="left"/>
      <w:pPr>
        <w:ind w:left="4486" w:hanging="346"/>
      </w:pPr>
    </w:lvl>
    <w:lvl w:ilvl="5">
      <w:numFmt w:val="bullet"/>
      <w:lvlText w:val="•"/>
      <w:lvlJc w:val="left"/>
      <w:pPr>
        <w:ind w:left="5388" w:hanging="346"/>
      </w:pPr>
    </w:lvl>
    <w:lvl w:ilvl="6">
      <w:numFmt w:val="bullet"/>
      <w:lvlText w:val="•"/>
      <w:lvlJc w:val="left"/>
      <w:pPr>
        <w:ind w:left="6290" w:hanging="346"/>
      </w:pPr>
    </w:lvl>
    <w:lvl w:ilvl="7">
      <w:numFmt w:val="bullet"/>
      <w:lvlText w:val="•"/>
      <w:lvlJc w:val="left"/>
      <w:pPr>
        <w:ind w:left="7192" w:hanging="346"/>
      </w:pPr>
    </w:lvl>
    <w:lvl w:ilvl="8">
      <w:numFmt w:val="bullet"/>
      <w:lvlText w:val="•"/>
      <w:lvlJc w:val="left"/>
      <w:pPr>
        <w:ind w:left="8094" w:hanging="346"/>
      </w:pPr>
    </w:lvl>
  </w:abstractNum>
  <w:abstractNum w:abstractNumId="4" w15:restartNumberingAfterBreak="0">
    <w:nsid w:val="00000406"/>
    <w:multiLevelType w:val="multilevel"/>
    <w:tmpl w:val="00000889"/>
    <w:lvl w:ilvl="0">
      <w:start w:val="1"/>
      <w:numFmt w:val="decimal"/>
      <w:lvlText w:val="%1."/>
      <w:lvlJc w:val="left"/>
      <w:pPr>
        <w:ind w:left="877" w:hanging="713"/>
      </w:pPr>
      <w:rPr>
        <w:rFonts w:ascii="Arial" w:hAnsi="Arial" w:cs="Arial"/>
        <w:b w:val="0"/>
        <w:bCs w:val="0"/>
        <w:color w:val="0F0F0F"/>
        <w:w w:val="98"/>
        <w:sz w:val="20"/>
        <w:szCs w:val="20"/>
      </w:rPr>
    </w:lvl>
    <w:lvl w:ilvl="1">
      <w:numFmt w:val="bullet"/>
      <w:lvlText w:val="•"/>
      <w:lvlJc w:val="left"/>
      <w:pPr>
        <w:ind w:left="1779" w:hanging="713"/>
      </w:pPr>
    </w:lvl>
    <w:lvl w:ilvl="2">
      <w:numFmt w:val="bullet"/>
      <w:lvlText w:val="•"/>
      <w:lvlJc w:val="left"/>
      <w:pPr>
        <w:ind w:left="2681" w:hanging="713"/>
      </w:pPr>
    </w:lvl>
    <w:lvl w:ilvl="3">
      <w:numFmt w:val="bullet"/>
      <w:lvlText w:val="•"/>
      <w:lvlJc w:val="left"/>
      <w:pPr>
        <w:ind w:left="3583" w:hanging="713"/>
      </w:pPr>
    </w:lvl>
    <w:lvl w:ilvl="4">
      <w:numFmt w:val="bullet"/>
      <w:lvlText w:val="•"/>
      <w:lvlJc w:val="left"/>
      <w:pPr>
        <w:ind w:left="4486" w:hanging="713"/>
      </w:pPr>
    </w:lvl>
    <w:lvl w:ilvl="5">
      <w:numFmt w:val="bullet"/>
      <w:lvlText w:val="•"/>
      <w:lvlJc w:val="left"/>
      <w:pPr>
        <w:ind w:left="5388" w:hanging="713"/>
      </w:pPr>
    </w:lvl>
    <w:lvl w:ilvl="6">
      <w:numFmt w:val="bullet"/>
      <w:lvlText w:val="•"/>
      <w:lvlJc w:val="left"/>
      <w:pPr>
        <w:ind w:left="6290" w:hanging="713"/>
      </w:pPr>
    </w:lvl>
    <w:lvl w:ilvl="7">
      <w:numFmt w:val="bullet"/>
      <w:lvlText w:val="•"/>
      <w:lvlJc w:val="left"/>
      <w:pPr>
        <w:ind w:left="7192" w:hanging="713"/>
      </w:pPr>
    </w:lvl>
    <w:lvl w:ilvl="8">
      <w:numFmt w:val="bullet"/>
      <w:lvlText w:val="•"/>
      <w:lvlJc w:val="left"/>
      <w:pPr>
        <w:ind w:left="8094" w:hanging="713"/>
      </w:pPr>
    </w:lvl>
  </w:abstractNum>
  <w:abstractNum w:abstractNumId="5" w15:restartNumberingAfterBreak="0">
    <w:nsid w:val="00000407"/>
    <w:multiLevelType w:val="multilevel"/>
    <w:tmpl w:val="0000088A"/>
    <w:lvl w:ilvl="0">
      <w:start w:val="1"/>
      <w:numFmt w:val="decimal"/>
      <w:lvlText w:val="%1."/>
      <w:lvlJc w:val="left"/>
      <w:pPr>
        <w:ind w:left="862" w:hanging="728"/>
      </w:pPr>
      <w:rPr>
        <w:rFonts w:ascii="Arial" w:hAnsi="Arial" w:cs="Arial"/>
        <w:b w:val="0"/>
        <w:bCs w:val="0"/>
        <w:i/>
        <w:iCs/>
        <w:color w:val="161616"/>
        <w:spacing w:val="-14"/>
        <w:w w:val="96"/>
        <w:sz w:val="20"/>
        <w:szCs w:val="20"/>
      </w:rPr>
    </w:lvl>
    <w:lvl w:ilvl="1">
      <w:numFmt w:val="bullet"/>
      <w:lvlText w:val="•"/>
      <w:lvlJc w:val="left"/>
      <w:pPr>
        <w:ind w:left="1768" w:hanging="728"/>
      </w:pPr>
    </w:lvl>
    <w:lvl w:ilvl="2">
      <w:numFmt w:val="bullet"/>
      <w:lvlText w:val="•"/>
      <w:lvlJc w:val="left"/>
      <w:pPr>
        <w:ind w:left="2674" w:hanging="728"/>
      </w:pPr>
    </w:lvl>
    <w:lvl w:ilvl="3">
      <w:numFmt w:val="bullet"/>
      <w:lvlText w:val="•"/>
      <w:lvlJc w:val="left"/>
      <w:pPr>
        <w:ind w:left="3579" w:hanging="728"/>
      </w:pPr>
    </w:lvl>
    <w:lvl w:ilvl="4">
      <w:numFmt w:val="bullet"/>
      <w:lvlText w:val="•"/>
      <w:lvlJc w:val="left"/>
      <w:pPr>
        <w:ind w:left="4485" w:hanging="728"/>
      </w:pPr>
    </w:lvl>
    <w:lvl w:ilvl="5">
      <w:numFmt w:val="bullet"/>
      <w:lvlText w:val="•"/>
      <w:lvlJc w:val="left"/>
      <w:pPr>
        <w:ind w:left="5391" w:hanging="728"/>
      </w:pPr>
    </w:lvl>
    <w:lvl w:ilvl="6">
      <w:numFmt w:val="bullet"/>
      <w:lvlText w:val="•"/>
      <w:lvlJc w:val="left"/>
      <w:pPr>
        <w:ind w:left="6296" w:hanging="728"/>
      </w:pPr>
    </w:lvl>
    <w:lvl w:ilvl="7">
      <w:numFmt w:val="bullet"/>
      <w:lvlText w:val="•"/>
      <w:lvlJc w:val="left"/>
      <w:pPr>
        <w:ind w:left="7202" w:hanging="728"/>
      </w:pPr>
    </w:lvl>
    <w:lvl w:ilvl="8">
      <w:numFmt w:val="bullet"/>
      <w:lvlText w:val="•"/>
      <w:lvlJc w:val="left"/>
      <w:pPr>
        <w:ind w:left="8107" w:hanging="728"/>
      </w:pPr>
    </w:lvl>
  </w:abstractNum>
  <w:abstractNum w:abstractNumId="6" w15:restartNumberingAfterBreak="0">
    <w:nsid w:val="00000408"/>
    <w:multiLevelType w:val="multilevel"/>
    <w:tmpl w:val="0000088B"/>
    <w:lvl w:ilvl="0">
      <w:start w:val="1"/>
      <w:numFmt w:val="decimal"/>
      <w:lvlText w:val="%1."/>
      <w:lvlJc w:val="left"/>
      <w:pPr>
        <w:ind w:left="877" w:hanging="706"/>
      </w:pPr>
      <w:rPr>
        <w:rFonts w:ascii="Arial" w:hAnsi="Arial" w:cs="Arial"/>
        <w:b w:val="0"/>
        <w:bCs w:val="0"/>
        <w:color w:val="151515"/>
        <w:spacing w:val="-19"/>
        <w:w w:val="107"/>
        <w:sz w:val="20"/>
        <w:szCs w:val="20"/>
      </w:rPr>
    </w:lvl>
    <w:lvl w:ilvl="1">
      <w:numFmt w:val="bullet"/>
      <w:lvlText w:val="•"/>
      <w:lvlJc w:val="left"/>
      <w:pPr>
        <w:ind w:left="1781" w:hanging="706"/>
      </w:pPr>
    </w:lvl>
    <w:lvl w:ilvl="2">
      <w:numFmt w:val="bullet"/>
      <w:lvlText w:val="•"/>
      <w:lvlJc w:val="left"/>
      <w:pPr>
        <w:ind w:left="2685" w:hanging="706"/>
      </w:pPr>
    </w:lvl>
    <w:lvl w:ilvl="3">
      <w:numFmt w:val="bullet"/>
      <w:lvlText w:val="•"/>
      <w:lvlJc w:val="left"/>
      <w:pPr>
        <w:ind w:left="3589" w:hanging="706"/>
      </w:pPr>
    </w:lvl>
    <w:lvl w:ilvl="4">
      <w:numFmt w:val="bullet"/>
      <w:lvlText w:val="•"/>
      <w:lvlJc w:val="left"/>
      <w:pPr>
        <w:ind w:left="4494" w:hanging="706"/>
      </w:pPr>
    </w:lvl>
    <w:lvl w:ilvl="5">
      <w:numFmt w:val="bullet"/>
      <w:lvlText w:val="•"/>
      <w:lvlJc w:val="left"/>
      <w:pPr>
        <w:ind w:left="5398" w:hanging="706"/>
      </w:pPr>
    </w:lvl>
    <w:lvl w:ilvl="6">
      <w:numFmt w:val="bullet"/>
      <w:lvlText w:val="•"/>
      <w:lvlJc w:val="left"/>
      <w:pPr>
        <w:ind w:left="6302" w:hanging="706"/>
      </w:pPr>
    </w:lvl>
    <w:lvl w:ilvl="7">
      <w:numFmt w:val="bullet"/>
      <w:lvlText w:val="•"/>
      <w:lvlJc w:val="left"/>
      <w:pPr>
        <w:ind w:left="7206" w:hanging="706"/>
      </w:pPr>
    </w:lvl>
    <w:lvl w:ilvl="8">
      <w:numFmt w:val="bullet"/>
      <w:lvlText w:val="•"/>
      <w:lvlJc w:val="left"/>
      <w:pPr>
        <w:ind w:left="8110" w:hanging="706"/>
      </w:pPr>
    </w:lvl>
  </w:abstractNum>
  <w:abstractNum w:abstractNumId="7" w15:restartNumberingAfterBreak="0">
    <w:nsid w:val="00000409"/>
    <w:multiLevelType w:val="multilevel"/>
    <w:tmpl w:val="0000088C"/>
    <w:lvl w:ilvl="0">
      <w:start w:val="1"/>
      <w:numFmt w:val="decimal"/>
      <w:lvlText w:val="%1."/>
      <w:lvlJc w:val="left"/>
      <w:pPr>
        <w:ind w:left="380" w:hanging="209"/>
      </w:pPr>
      <w:rPr>
        <w:rFonts w:ascii="Arial" w:hAnsi="Arial" w:cs="Arial"/>
        <w:b w:val="0"/>
        <w:bCs w:val="0"/>
        <w:color w:val="0F0F0F"/>
        <w:w w:val="98"/>
        <w:sz w:val="20"/>
        <w:szCs w:val="20"/>
      </w:rPr>
    </w:lvl>
    <w:lvl w:ilvl="1">
      <w:numFmt w:val="bullet"/>
      <w:lvlText w:val="•"/>
      <w:lvlJc w:val="left"/>
      <w:pPr>
        <w:ind w:left="1334" w:hanging="209"/>
      </w:pPr>
    </w:lvl>
    <w:lvl w:ilvl="2">
      <w:numFmt w:val="bullet"/>
      <w:lvlText w:val="•"/>
      <w:lvlJc w:val="left"/>
      <w:pPr>
        <w:ind w:left="2288" w:hanging="209"/>
      </w:pPr>
    </w:lvl>
    <w:lvl w:ilvl="3">
      <w:numFmt w:val="bullet"/>
      <w:lvlText w:val="•"/>
      <w:lvlJc w:val="left"/>
      <w:pPr>
        <w:ind w:left="3242" w:hanging="209"/>
      </w:pPr>
    </w:lvl>
    <w:lvl w:ilvl="4">
      <w:numFmt w:val="bullet"/>
      <w:lvlText w:val="•"/>
      <w:lvlJc w:val="left"/>
      <w:pPr>
        <w:ind w:left="4196" w:hanging="209"/>
      </w:pPr>
    </w:lvl>
    <w:lvl w:ilvl="5">
      <w:numFmt w:val="bullet"/>
      <w:lvlText w:val="•"/>
      <w:lvlJc w:val="left"/>
      <w:pPr>
        <w:ind w:left="5149" w:hanging="209"/>
      </w:pPr>
    </w:lvl>
    <w:lvl w:ilvl="6">
      <w:numFmt w:val="bullet"/>
      <w:lvlText w:val="•"/>
      <w:lvlJc w:val="left"/>
      <w:pPr>
        <w:ind w:left="6103" w:hanging="209"/>
      </w:pPr>
    </w:lvl>
    <w:lvl w:ilvl="7">
      <w:numFmt w:val="bullet"/>
      <w:lvlText w:val="•"/>
      <w:lvlJc w:val="left"/>
      <w:pPr>
        <w:ind w:left="7057" w:hanging="209"/>
      </w:pPr>
    </w:lvl>
    <w:lvl w:ilvl="8">
      <w:numFmt w:val="bullet"/>
      <w:lvlText w:val="•"/>
      <w:lvlJc w:val="left"/>
      <w:pPr>
        <w:ind w:left="8011" w:hanging="209"/>
      </w:pPr>
    </w:lvl>
  </w:abstractNum>
  <w:abstractNum w:abstractNumId="8" w15:restartNumberingAfterBreak="0">
    <w:nsid w:val="0000040A"/>
    <w:multiLevelType w:val="multilevel"/>
    <w:tmpl w:val="0000088D"/>
    <w:lvl w:ilvl="0">
      <w:start w:val="1"/>
      <w:numFmt w:val="decimal"/>
      <w:lvlText w:val="%1."/>
      <w:lvlJc w:val="left"/>
      <w:pPr>
        <w:ind w:left="884" w:hanging="713"/>
      </w:pPr>
      <w:rPr>
        <w:rFonts w:ascii="Arial" w:hAnsi="Arial" w:cs="Arial"/>
        <w:b w:val="0"/>
        <w:bCs w:val="0"/>
        <w:color w:val="111111"/>
        <w:w w:val="98"/>
        <w:sz w:val="20"/>
        <w:szCs w:val="20"/>
      </w:rPr>
    </w:lvl>
    <w:lvl w:ilvl="1">
      <w:start w:val="1"/>
      <w:numFmt w:val="decimal"/>
      <w:lvlText w:val="%2."/>
      <w:lvlJc w:val="left"/>
      <w:pPr>
        <w:ind w:left="1064" w:hanging="260"/>
      </w:pPr>
      <w:rPr>
        <w:rFonts w:ascii="Arial" w:hAnsi="Arial" w:cs="Arial"/>
        <w:b w:val="0"/>
        <w:bCs w:val="0"/>
        <w:color w:val="131313"/>
        <w:w w:val="104"/>
        <w:sz w:val="20"/>
        <w:szCs w:val="20"/>
      </w:rPr>
    </w:lvl>
    <w:lvl w:ilvl="2">
      <w:numFmt w:val="bullet"/>
      <w:lvlText w:val="•"/>
      <w:lvlJc w:val="left"/>
      <w:pPr>
        <w:ind w:left="2048" w:hanging="260"/>
      </w:pPr>
    </w:lvl>
    <w:lvl w:ilvl="3">
      <w:numFmt w:val="bullet"/>
      <w:lvlText w:val="•"/>
      <w:lvlJc w:val="left"/>
      <w:pPr>
        <w:ind w:left="3032" w:hanging="260"/>
      </w:pPr>
    </w:lvl>
    <w:lvl w:ilvl="4">
      <w:numFmt w:val="bullet"/>
      <w:lvlText w:val="•"/>
      <w:lvlJc w:val="left"/>
      <w:pPr>
        <w:ind w:left="4016" w:hanging="260"/>
      </w:pPr>
    </w:lvl>
    <w:lvl w:ilvl="5">
      <w:numFmt w:val="bullet"/>
      <w:lvlText w:val="•"/>
      <w:lvlJc w:val="left"/>
      <w:pPr>
        <w:ind w:left="4999" w:hanging="260"/>
      </w:pPr>
    </w:lvl>
    <w:lvl w:ilvl="6">
      <w:numFmt w:val="bullet"/>
      <w:lvlText w:val="•"/>
      <w:lvlJc w:val="left"/>
      <w:pPr>
        <w:ind w:left="5983" w:hanging="260"/>
      </w:pPr>
    </w:lvl>
    <w:lvl w:ilvl="7">
      <w:numFmt w:val="bullet"/>
      <w:lvlText w:val="•"/>
      <w:lvlJc w:val="left"/>
      <w:pPr>
        <w:ind w:left="6967" w:hanging="260"/>
      </w:pPr>
    </w:lvl>
    <w:lvl w:ilvl="8">
      <w:numFmt w:val="bullet"/>
      <w:lvlText w:val="•"/>
      <w:lvlJc w:val="left"/>
      <w:pPr>
        <w:ind w:left="7951" w:hanging="260"/>
      </w:pPr>
    </w:lvl>
  </w:abstractNum>
  <w:abstractNum w:abstractNumId="9" w15:restartNumberingAfterBreak="0">
    <w:nsid w:val="0000040B"/>
    <w:multiLevelType w:val="multilevel"/>
    <w:tmpl w:val="0000088E"/>
    <w:lvl w:ilvl="0">
      <w:start w:val="1"/>
      <w:numFmt w:val="decimal"/>
      <w:lvlText w:val="%1."/>
      <w:lvlJc w:val="left"/>
      <w:pPr>
        <w:ind w:left="877" w:hanging="699"/>
      </w:pPr>
      <w:rPr>
        <w:rFonts w:ascii="Arial" w:hAnsi="Arial" w:cs="Arial"/>
        <w:b w:val="0"/>
        <w:bCs w:val="0"/>
        <w:color w:val="131313"/>
        <w:spacing w:val="-19"/>
        <w:w w:val="107"/>
        <w:sz w:val="20"/>
        <w:szCs w:val="20"/>
      </w:rPr>
    </w:lvl>
    <w:lvl w:ilvl="1">
      <w:numFmt w:val="bullet"/>
      <w:lvlText w:val="•"/>
      <w:lvlJc w:val="left"/>
      <w:pPr>
        <w:ind w:left="1781" w:hanging="699"/>
      </w:pPr>
    </w:lvl>
    <w:lvl w:ilvl="2">
      <w:numFmt w:val="bullet"/>
      <w:lvlText w:val="•"/>
      <w:lvlJc w:val="left"/>
      <w:pPr>
        <w:ind w:left="2685" w:hanging="699"/>
      </w:pPr>
    </w:lvl>
    <w:lvl w:ilvl="3">
      <w:numFmt w:val="bullet"/>
      <w:lvlText w:val="•"/>
      <w:lvlJc w:val="left"/>
      <w:pPr>
        <w:ind w:left="3589" w:hanging="699"/>
      </w:pPr>
    </w:lvl>
    <w:lvl w:ilvl="4">
      <w:numFmt w:val="bullet"/>
      <w:lvlText w:val="•"/>
      <w:lvlJc w:val="left"/>
      <w:pPr>
        <w:ind w:left="4494" w:hanging="699"/>
      </w:pPr>
    </w:lvl>
    <w:lvl w:ilvl="5">
      <w:numFmt w:val="bullet"/>
      <w:lvlText w:val="•"/>
      <w:lvlJc w:val="left"/>
      <w:pPr>
        <w:ind w:left="5398" w:hanging="699"/>
      </w:pPr>
    </w:lvl>
    <w:lvl w:ilvl="6">
      <w:numFmt w:val="bullet"/>
      <w:lvlText w:val="•"/>
      <w:lvlJc w:val="left"/>
      <w:pPr>
        <w:ind w:left="6302" w:hanging="699"/>
      </w:pPr>
    </w:lvl>
    <w:lvl w:ilvl="7">
      <w:numFmt w:val="bullet"/>
      <w:lvlText w:val="•"/>
      <w:lvlJc w:val="left"/>
      <w:pPr>
        <w:ind w:left="7206" w:hanging="699"/>
      </w:pPr>
    </w:lvl>
    <w:lvl w:ilvl="8">
      <w:numFmt w:val="bullet"/>
      <w:lvlText w:val="•"/>
      <w:lvlJc w:val="left"/>
      <w:pPr>
        <w:ind w:left="8110" w:hanging="699"/>
      </w:pPr>
    </w:lvl>
  </w:abstractNum>
  <w:abstractNum w:abstractNumId="10" w15:restartNumberingAfterBreak="0">
    <w:nsid w:val="020A7967"/>
    <w:multiLevelType w:val="multilevel"/>
    <w:tmpl w:val="42BEF240"/>
    <w:styleLink w:val="CYNumberings"/>
    <w:lvl w:ilvl="0">
      <w:start w:val="1"/>
      <w:numFmt w:val="decimal"/>
      <w:lvlRestart w:val="0"/>
      <w:pStyle w:val="CYNumbering1"/>
      <w:lvlText w:val="%1."/>
      <w:lvlJc w:val="left"/>
      <w:pPr>
        <w:tabs>
          <w:tab w:val="num" w:pos="567"/>
        </w:tabs>
        <w:ind w:left="567" w:hanging="567"/>
      </w:pPr>
      <w:rPr>
        <w:rFonts w:hint="default"/>
      </w:rPr>
    </w:lvl>
    <w:lvl w:ilvl="1">
      <w:start w:val="1"/>
      <w:numFmt w:val="decimal"/>
      <w:pStyle w:val="CYNumbering2"/>
      <w:lvlText w:val="%1.%2"/>
      <w:lvlJc w:val="left"/>
      <w:pPr>
        <w:tabs>
          <w:tab w:val="num" w:pos="1304"/>
        </w:tabs>
        <w:ind w:left="1304" w:hanging="737"/>
      </w:pPr>
      <w:rPr>
        <w:rFonts w:hint="default"/>
      </w:rPr>
    </w:lvl>
    <w:lvl w:ilvl="2">
      <w:start w:val="1"/>
      <w:numFmt w:val="lowerLetter"/>
      <w:pStyle w:val="CYNumbering3"/>
      <w:lvlText w:val="(%3)"/>
      <w:lvlJc w:val="left"/>
      <w:pPr>
        <w:tabs>
          <w:tab w:val="num" w:pos="1871"/>
        </w:tabs>
        <w:ind w:left="1871" w:hanging="567"/>
      </w:pPr>
      <w:rPr>
        <w:rFonts w:hint="default"/>
      </w:rPr>
    </w:lvl>
    <w:lvl w:ilvl="3">
      <w:start w:val="1"/>
      <w:numFmt w:val="lowerRoman"/>
      <w:pStyle w:val="CYNumbering4"/>
      <w:lvlText w:val="(%4)"/>
      <w:lvlJc w:val="left"/>
      <w:pPr>
        <w:tabs>
          <w:tab w:val="num" w:pos="2438"/>
        </w:tabs>
        <w:ind w:left="2438" w:hanging="567"/>
      </w:pPr>
      <w:rPr>
        <w:rFonts w:hint="default"/>
      </w:rPr>
    </w:lvl>
    <w:lvl w:ilvl="4">
      <w:start w:val="1"/>
      <w:numFmt w:val="bullet"/>
      <w:pStyle w:val="CYNumbering5"/>
      <w:lvlText w:val="●"/>
      <w:lvlJc w:val="left"/>
      <w:pPr>
        <w:tabs>
          <w:tab w:val="num" w:pos="2835"/>
        </w:tabs>
        <w:ind w:left="2835" w:hanging="397"/>
      </w:pPr>
      <w:rPr>
        <w:rFonts w:ascii="Arial" w:hAnsi="Arial" w:hint="default"/>
      </w:rPr>
    </w:lvl>
    <w:lvl w:ilvl="5">
      <w:start w:val="1"/>
      <w:numFmt w:val="bullet"/>
      <w:pStyle w:val="CYNumbering6"/>
      <w:lvlText w:val="○"/>
      <w:lvlJc w:val="left"/>
      <w:pPr>
        <w:tabs>
          <w:tab w:val="num" w:pos="3232"/>
        </w:tabs>
        <w:ind w:left="3232" w:hanging="397"/>
      </w:pPr>
      <w:rPr>
        <w:rFonts w:ascii="Arial" w:hAnsi="Arial" w:hint="default"/>
      </w:rPr>
    </w:lvl>
    <w:lvl w:ilvl="6">
      <w:start w:val="1"/>
      <w:numFmt w:val="bullet"/>
      <w:pStyle w:val="CYNumbering7"/>
      <w:lvlText w:val="-"/>
      <w:lvlJc w:val="left"/>
      <w:pPr>
        <w:tabs>
          <w:tab w:val="num" w:pos="3629"/>
        </w:tabs>
        <w:ind w:left="3629" w:hanging="397"/>
      </w:pPr>
      <w:rPr>
        <w:rFonts w:ascii="Arial" w:hAnsi="Arial" w:hint="default"/>
      </w:rPr>
    </w:lvl>
    <w:lvl w:ilvl="7">
      <w:start w:val="1"/>
      <w:numFmt w:val="bullet"/>
      <w:pStyle w:val="CYNumbering8"/>
      <w:lvlText w:val="►"/>
      <w:lvlJc w:val="left"/>
      <w:pPr>
        <w:tabs>
          <w:tab w:val="num" w:pos="4196"/>
        </w:tabs>
        <w:ind w:left="4196" w:hanging="567"/>
      </w:pPr>
      <w:rPr>
        <w:rFonts w:ascii="font391" w:hAnsi="font391" w:hint="default"/>
      </w:rPr>
    </w:lvl>
    <w:lvl w:ilvl="8">
      <w:start w:val="1"/>
      <w:numFmt w:val="bullet"/>
      <w:pStyle w:val="CYNumbering9"/>
      <w:lvlText w:val="■"/>
      <w:lvlJc w:val="left"/>
      <w:pPr>
        <w:tabs>
          <w:tab w:val="num" w:pos="4593"/>
        </w:tabs>
        <w:ind w:left="4593" w:hanging="397"/>
      </w:pPr>
      <w:rPr>
        <w:rFonts w:ascii="font391" w:hAnsi="font391" w:hint="default"/>
      </w:rPr>
    </w:lvl>
  </w:abstractNum>
  <w:abstractNum w:abstractNumId="11" w15:restartNumberingAfterBreak="0">
    <w:nsid w:val="066B670B"/>
    <w:multiLevelType w:val="hybridMultilevel"/>
    <w:tmpl w:val="BEAED0DA"/>
    <w:lvl w:ilvl="0" w:tplc="1C09000F">
      <w:start w:val="1"/>
      <w:numFmt w:val="decimal"/>
      <w:lvlText w:val="%1."/>
      <w:lvlJc w:val="left"/>
      <w:pPr>
        <w:ind w:left="720" w:hanging="360"/>
      </w:pPr>
      <w:rPr>
        <w:rFonts w:hint="default"/>
      </w:rPr>
    </w:lvl>
    <w:lvl w:ilvl="1" w:tplc="B4E42148">
      <w:start w:val="1"/>
      <w:numFmt w:val="lowerLetter"/>
      <w:lvlText w:val="%2."/>
      <w:lvlJc w:val="left"/>
      <w:pPr>
        <w:ind w:left="1440" w:hanging="360"/>
      </w:pPr>
      <w:rPr>
        <w:rFonts w:ascii="Trebuchet MS" w:eastAsiaTheme="minorHAnsi" w:hAnsi="Trebuchet MS" w:cs="Times New Roman" w:hint="default"/>
        <w:sz w:val="24"/>
        <w:szCs w:val="24"/>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7CF46F6"/>
    <w:multiLevelType w:val="hybridMultilevel"/>
    <w:tmpl w:val="D2E65F5C"/>
    <w:lvl w:ilvl="0" w:tplc="5004FFF0">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15:restartNumberingAfterBreak="0">
    <w:nsid w:val="116051AD"/>
    <w:multiLevelType w:val="hybridMultilevel"/>
    <w:tmpl w:val="417EDC7E"/>
    <w:lvl w:ilvl="0" w:tplc="5004FFF0">
      <w:start w:val="1"/>
      <w:numFmt w:val="decimal"/>
      <w:lvlText w:val="%1."/>
      <w:lvlJc w:val="left"/>
      <w:pPr>
        <w:ind w:left="785"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F72C2"/>
    <w:multiLevelType w:val="hybridMultilevel"/>
    <w:tmpl w:val="AC385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74F3748"/>
    <w:multiLevelType w:val="hybridMultilevel"/>
    <w:tmpl w:val="E70E9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F14066"/>
    <w:multiLevelType w:val="hybridMultilevel"/>
    <w:tmpl w:val="8F068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A140DA4"/>
    <w:multiLevelType w:val="hybridMultilevel"/>
    <w:tmpl w:val="8DA0DD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2D87487B"/>
    <w:multiLevelType w:val="hybridMultilevel"/>
    <w:tmpl w:val="BCA82148"/>
    <w:lvl w:ilvl="0" w:tplc="5004FFF0">
      <w:start w:val="1"/>
      <w:numFmt w:val="decimal"/>
      <w:lvlText w:val="%1."/>
      <w:lvlJc w:val="left"/>
      <w:pPr>
        <w:ind w:left="720" w:hanging="360"/>
      </w:pPr>
      <w:rPr>
        <w:b/>
      </w:rPr>
    </w:lvl>
    <w:lvl w:ilvl="1" w:tplc="5004FFF0">
      <w:start w:val="1"/>
      <w:numFmt w:val="decimal"/>
      <w:lvlText w:val="%2."/>
      <w:lvlJc w:val="left"/>
      <w:pPr>
        <w:ind w:left="785" w:hanging="360"/>
      </w:pPr>
      <w:rPr>
        <w:b/>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328F4E04"/>
    <w:multiLevelType w:val="multilevel"/>
    <w:tmpl w:val="DD687290"/>
    <w:lvl w:ilvl="0">
      <w:start w:val="1"/>
      <w:numFmt w:val="decimal"/>
      <w:pStyle w:val="PARA1"/>
      <w:suff w:val="space"/>
      <w:lvlText w:val="%1."/>
      <w:lvlJc w:val="center"/>
      <w:pPr>
        <w:ind w:left="0" w:firstLine="0"/>
      </w:pPr>
      <w:rPr>
        <w:rFonts w:ascii="Univers" w:hAnsi="Univers" w:hint="default"/>
        <w:b w:val="0"/>
        <w:i w:val="0"/>
        <w:sz w:val="24"/>
      </w:rPr>
    </w:lvl>
    <w:lvl w:ilvl="1">
      <w:start w:val="1"/>
      <w:numFmt w:val="decimal"/>
      <w:pStyle w:val="PARA2"/>
      <w:lvlText w:val="%1.%2"/>
      <w:lvlJc w:val="left"/>
      <w:pPr>
        <w:tabs>
          <w:tab w:val="num" w:pos="851"/>
        </w:tabs>
        <w:ind w:left="851" w:hanging="851"/>
      </w:pPr>
    </w:lvl>
    <w:lvl w:ilvl="2">
      <w:start w:val="1"/>
      <w:numFmt w:val="lowerLetter"/>
      <w:pStyle w:val="PARA3"/>
      <w:lvlText w:val="(%3)"/>
      <w:lvlJc w:val="left"/>
      <w:pPr>
        <w:tabs>
          <w:tab w:val="num" w:pos="1701"/>
        </w:tabs>
        <w:ind w:left="1701" w:hanging="850"/>
      </w:pPr>
    </w:lvl>
    <w:lvl w:ilvl="3">
      <w:start w:val="1"/>
      <w:numFmt w:val="lowerRoman"/>
      <w:pStyle w:val="PARA4"/>
      <w:lvlText w:val="(%4)"/>
      <w:lvlJc w:val="left"/>
      <w:pPr>
        <w:tabs>
          <w:tab w:val="num" w:pos="2552"/>
        </w:tabs>
        <w:ind w:left="2552" w:hanging="851"/>
      </w:pPr>
    </w:lvl>
    <w:lvl w:ilvl="4">
      <w:start w:val="1"/>
      <w:numFmt w:val="decimal"/>
      <w:lvlText w:val="%5."/>
      <w:lvlJc w:val="left"/>
      <w:pPr>
        <w:tabs>
          <w:tab w:val="num" w:pos="851"/>
        </w:tabs>
        <w:ind w:left="851" w:hanging="851"/>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0" w15:restartNumberingAfterBreak="0">
    <w:nsid w:val="3FE60BD4"/>
    <w:multiLevelType w:val="multilevel"/>
    <w:tmpl w:val="512ECBD6"/>
    <w:lvl w:ilvl="0">
      <w:start w:val="1"/>
      <w:numFmt w:val="decimal"/>
      <w:pStyle w:val="COX5"/>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decimal"/>
      <w:lvlText w:val="%5."/>
      <w:lvlJc w:val="left"/>
      <w:pPr>
        <w:tabs>
          <w:tab w:val="num" w:pos="851"/>
        </w:tabs>
        <w:ind w:left="851" w:hanging="851"/>
      </w:pPr>
    </w:lvl>
    <w:lvl w:ilvl="5">
      <w:start w:val="1"/>
      <w:numFmt w:val="none"/>
      <w:lvlText w:val="%1"/>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1" w15:restartNumberingAfterBreak="0">
    <w:nsid w:val="516009CF"/>
    <w:multiLevelType w:val="hybridMultilevel"/>
    <w:tmpl w:val="4850A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95F4F55"/>
    <w:multiLevelType w:val="hybridMultilevel"/>
    <w:tmpl w:val="54B052D2"/>
    <w:lvl w:ilvl="0" w:tplc="5004FFF0">
      <w:start w:val="1"/>
      <w:numFmt w:val="decimal"/>
      <w:lvlText w:val="%1."/>
      <w:lvlJc w:val="left"/>
      <w:pPr>
        <w:ind w:left="840" w:hanging="360"/>
      </w:pPr>
      <w:rPr>
        <w:b/>
      </w:rPr>
    </w:lvl>
    <w:lvl w:ilvl="1" w:tplc="1C090019">
      <w:start w:val="1"/>
      <w:numFmt w:val="lowerLetter"/>
      <w:lvlText w:val="%2."/>
      <w:lvlJc w:val="left"/>
      <w:pPr>
        <w:ind w:left="1560" w:hanging="360"/>
      </w:p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abstractNum w:abstractNumId="23" w15:restartNumberingAfterBreak="0">
    <w:nsid w:val="5A250E79"/>
    <w:multiLevelType w:val="hybridMultilevel"/>
    <w:tmpl w:val="FA5889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69E709C8"/>
    <w:multiLevelType w:val="multilevel"/>
    <w:tmpl w:val="E79E41F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EDD51BA"/>
    <w:multiLevelType w:val="hybridMultilevel"/>
    <w:tmpl w:val="2AAA2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C517476"/>
    <w:multiLevelType w:val="hybridMultilevel"/>
    <w:tmpl w:val="13642254"/>
    <w:lvl w:ilvl="0" w:tplc="7BA62878">
      <w:start w:val="1"/>
      <w:numFmt w:val="decimal"/>
      <w:lvlText w:val="%1."/>
      <w:lvlJc w:val="left"/>
      <w:pPr>
        <w:ind w:left="360" w:hanging="360"/>
      </w:pPr>
      <w:rPr>
        <w:b/>
        <w:bCs/>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9"/>
  </w:num>
  <w:num w:numId="2">
    <w:abstractNumId w:val="19"/>
  </w:num>
  <w:num w:numId="3">
    <w:abstractNumId w:val="19"/>
  </w:num>
  <w:num w:numId="4">
    <w:abstractNumId w:val="19"/>
  </w:num>
  <w:num w:numId="5">
    <w:abstractNumId w:val="20"/>
  </w:num>
  <w:num w:numId="6">
    <w:abstractNumId w:val="10"/>
  </w:num>
  <w:num w:numId="7">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0"/>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21"/>
  </w:num>
  <w:num w:numId="28">
    <w:abstractNumId w:val="16"/>
  </w:num>
  <w:num w:numId="29">
    <w:abstractNumId w:val="25"/>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zA3MDUzMjGyMDRW0lEKTi0uzszPAykwrAUA7O7pbSwAAAA="/>
  </w:docVars>
  <w:rsids>
    <w:rsidRoot w:val="00A177A5"/>
    <w:rsid w:val="00002E81"/>
    <w:rsid w:val="00012FB2"/>
    <w:rsid w:val="0001425D"/>
    <w:rsid w:val="00015764"/>
    <w:rsid w:val="00026153"/>
    <w:rsid w:val="00035168"/>
    <w:rsid w:val="00067273"/>
    <w:rsid w:val="000746EC"/>
    <w:rsid w:val="00081A05"/>
    <w:rsid w:val="000872DA"/>
    <w:rsid w:val="00092C8F"/>
    <w:rsid w:val="0009367D"/>
    <w:rsid w:val="00093DB4"/>
    <w:rsid w:val="000A677F"/>
    <w:rsid w:val="000B6B60"/>
    <w:rsid w:val="000C36DE"/>
    <w:rsid w:val="000D68A5"/>
    <w:rsid w:val="000E41EE"/>
    <w:rsid w:val="000F32EA"/>
    <w:rsid w:val="000F4DBA"/>
    <w:rsid w:val="00111D29"/>
    <w:rsid w:val="00120613"/>
    <w:rsid w:val="001327A1"/>
    <w:rsid w:val="001421CF"/>
    <w:rsid w:val="0016292D"/>
    <w:rsid w:val="00164A39"/>
    <w:rsid w:val="0017238D"/>
    <w:rsid w:val="001A14B2"/>
    <w:rsid w:val="001A2168"/>
    <w:rsid w:val="001B6BA9"/>
    <w:rsid w:val="001D1BE3"/>
    <w:rsid w:val="001D512F"/>
    <w:rsid w:val="001D7BC8"/>
    <w:rsid w:val="001F6066"/>
    <w:rsid w:val="001F6955"/>
    <w:rsid w:val="0021680C"/>
    <w:rsid w:val="002341EA"/>
    <w:rsid w:val="00234334"/>
    <w:rsid w:val="00254E4E"/>
    <w:rsid w:val="002660B4"/>
    <w:rsid w:val="00274F23"/>
    <w:rsid w:val="0028062A"/>
    <w:rsid w:val="00286838"/>
    <w:rsid w:val="00292631"/>
    <w:rsid w:val="00292C08"/>
    <w:rsid w:val="002A1F7E"/>
    <w:rsid w:val="002C144F"/>
    <w:rsid w:val="002C5FA2"/>
    <w:rsid w:val="002D77BB"/>
    <w:rsid w:val="002F205F"/>
    <w:rsid w:val="002F7629"/>
    <w:rsid w:val="00316DE2"/>
    <w:rsid w:val="00322AB9"/>
    <w:rsid w:val="003332C3"/>
    <w:rsid w:val="003443EE"/>
    <w:rsid w:val="00351779"/>
    <w:rsid w:val="003555DF"/>
    <w:rsid w:val="0036085C"/>
    <w:rsid w:val="003657E0"/>
    <w:rsid w:val="00386AAB"/>
    <w:rsid w:val="003A26FB"/>
    <w:rsid w:val="003A37FD"/>
    <w:rsid w:val="003A4341"/>
    <w:rsid w:val="003B5B5A"/>
    <w:rsid w:val="003D11BC"/>
    <w:rsid w:val="003D4B60"/>
    <w:rsid w:val="003E2ED2"/>
    <w:rsid w:val="00417909"/>
    <w:rsid w:val="00425C3C"/>
    <w:rsid w:val="00451A30"/>
    <w:rsid w:val="004567C0"/>
    <w:rsid w:val="004632C2"/>
    <w:rsid w:val="004772CD"/>
    <w:rsid w:val="0048166D"/>
    <w:rsid w:val="00497B84"/>
    <w:rsid w:val="004A14C7"/>
    <w:rsid w:val="004A1CD0"/>
    <w:rsid w:val="004A6A0C"/>
    <w:rsid w:val="004B0FD9"/>
    <w:rsid w:val="004C0F98"/>
    <w:rsid w:val="004C1392"/>
    <w:rsid w:val="004C7EC5"/>
    <w:rsid w:val="004D3FD5"/>
    <w:rsid w:val="004D47C1"/>
    <w:rsid w:val="004E6363"/>
    <w:rsid w:val="004F0DEB"/>
    <w:rsid w:val="004F53F8"/>
    <w:rsid w:val="00511B96"/>
    <w:rsid w:val="00532951"/>
    <w:rsid w:val="005664FD"/>
    <w:rsid w:val="005673D7"/>
    <w:rsid w:val="00586EF8"/>
    <w:rsid w:val="00590314"/>
    <w:rsid w:val="0059481B"/>
    <w:rsid w:val="00597EBE"/>
    <w:rsid w:val="005B5238"/>
    <w:rsid w:val="005D346C"/>
    <w:rsid w:val="005E2D77"/>
    <w:rsid w:val="005E6CD9"/>
    <w:rsid w:val="006201AF"/>
    <w:rsid w:val="00624122"/>
    <w:rsid w:val="00661EEF"/>
    <w:rsid w:val="00664F82"/>
    <w:rsid w:val="00673820"/>
    <w:rsid w:val="0069243B"/>
    <w:rsid w:val="006A2211"/>
    <w:rsid w:val="006C782A"/>
    <w:rsid w:val="006E5FD7"/>
    <w:rsid w:val="006E7584"/>
    <w:rsid w:val="00706F4A"/>
    <w:rsid w:val="007315BD"/>
    <w:rsid w:val="0074048B"/>
    <w:rsid w:val="00741B79"/>
    <w:rsid w:val="00745B59"/>
    <w:rsid w:val="0075219E"/>
    <w:rsid w:val="00765C3B"/>
    <w:rsid w:val="007740FB"/>
    <w:rsid w:val="00776029"/>
    <w:rsid w:val="0078544C"/>
    <w:rsid w:val="007A50FD"/>
    <w:rsid w:val="007B0CA8"/>
    <w:rsid w:val="007D1EC1"/>
    <w:rsid w:val="007D2E66"/>
    <w:rsid w:val="007D7BCB"/>
    <w:rsid w:val="007F5130"/>
    <w:rsid w:val="0080039A"/>
    <w:rsid w:val="00811349"/>
    <w:rsid w:val="00811FDA"/>
    <w:rsid w:val="00821D68"/>
    <w:rsid w:val="00837A85"/>
    <w:rsid w:val="00847A46"/>
    <w:rsid w:val="00875559"/>
    <w:rsid w:val="00881A77"/>
    <w:rsid w:val="008A4D57"/>
    <w:rsid w:val="008A7C7F"/>
    <w:rsid w:val="008C4606"/>
    <w:rsid w:val="008D007A"/>
    <w:rsid w:val="008D0999"/>
    <w:rsid w:val="008D39AD"/>
    <w:rsid w:val="008E78D0"/>
    <w:rsid w:val="008F34ED"/>
    <w:rsid w:val="00905C19"/>
    <w:rsid w:val="009067BB"/>
    <w:rsid w:val="00915503"/>
    <w:rsid w:val="009330DD"/>
    <w:rsid w:val="00934FBE"/>
    <w:rsid w:val="0094459B"/>
    <w:rsid w:val="00966393"/>
    <w:rsid w:val="009B3679"/>
    <w:rsid w:val="009B5ABB"/>
    <w:rsid w:val="009C4BD9"/>
    <w:rsid w:val="009C575B"/>
    <w:rsid w:val="009C5789"/>
    <w:rsid w:val="009E117D"/>
    <w:rsid w:val="009F1B3E"/>
    <w:rsid w:val="009F4D38"/>
    <w:rsid w:val="00A00634"/>
    <w:rsid w:val="00A0445C"/>
    <w:rsid w:val="00A16D3C"/>
    <w:rsid w:val="00A177A5"/>
    <w:rsid w:val="00A22277"/>
    <w:rsid w:val="00A35805"/>
    <w:rsid w:val="00A42D86"/>
    <w:rsid w:val="00A43522"/>
    <w:rsid w:val="00A61CED"/>
    <w:rsid w:val="00A8760D"/>
    <w:rsid w:val="00A92D37"/>
    <w:rsid w:val="00A95A9A"/>
    <w:rsid w:val="00AB7AD0"/>
    <w:rsid w:val="00AC23C4"/>
    <w:rsid w:val="00AF37F4"/>
    <w:rsid w:val="00AF5582"/>
    <w:rsid w:val="00AF7668"/>
    <w:rsid w:val="00B01706"/>
    <w:rsid w:val="00B23709"/>
    <w:rsid w:val="00B2776E"/>
    <w:rsid w:val="00B30D53"/>
    <w:rsid w:val="00B36122"/>
    <w:rsid w:val="00B4159A"/>
    <w:rsid w:val="00B612CC"/>
    <w:rsid w:val="00B700C2"/>
    <w:rsid w:val="00B80EFB"/>
    <w:rsid w:val="00B8117A"/>
    <w:rsid w:val="00B83F93"/>
    <w:rsid w:val="00B84AA3"/>
    <w:rsid w:val="00B85727"/>
    <w:rsid w:val="00B878D3"/>
    <w:rsid w:val="00B87F7F"/>
    <w:rsid w:val="00B92C29"/>
    <w:rsid w:val="00BA2BDE"/>
    <w:rsid w:val="00C3708E"/>
    <w:rsid w:val="00C43127"/>
    <w:rsid w:val="00C46A39"/>
    <w:rsid w:val="00C50C3B"/>
    <w:rsid w:val="00C63FAF"/>
    <w:rsid w:val="00C75EA0"/>
    <w:rsid w:val="00C8670C"/>
    <w:rsid w:val="00C96DDB"/>
    <w:rsid w:val="00CA54DE"/>
    <w:rsid w:val="00CD43EA"/>
    <w:rsid w:val="00CE6CBA"/>
    <w:rsid w:val="00CF0F66"/>
    <w:rsid w:val="00D110CE"/>
    <w:rsid w:val="00D155A2"/>
    <w:rsid w:val="00D17F31"/>
    <w:rsid w:val="00D21422"/>
    <w:rsid w:val="00D227CF"/>
    <w:rsid w:val="00D23B03"/>
    <w:rsid w:val="00D56520"/>
    <w:rsid w:val="00D71A27"/>
    <w:rsid w:val="00D80378"/>
    <w:rsid w:val="00D82B4A"/>
    <w:rsid w:val="00D9525A"/>
    <w:rsid w:val="00D96DC2"/>
    <w:rsid w:val="00D97EFD"/>
    <w:rsid w:val="00DA7231"/>
    <w:rsid w:val="00DC1F3C"/>
    <w:rsid w:val="00DC4E2F"/>
    <w:rsid w:val="00DD45A2"/>
    <w:rsid w:val="00DD4C1C"/>
    <w:rsid w:val="00DF0981"/>
    <w:rsid w:val="00DF4B1B"/>
    <w:rsid w:val="00DF740F"/>
    <w:rsid w:val="00DF7DA3"/>
    <w:rsid w:val="00E04AA7"/>
    <w:rsid w:val="00E05A30"/>
    <w:rsid w:val="00E11846"/>
    <w:rsid w:val="00E60337"/>
    <w:rsid w:val="00E6648C"/>
    <w:rsid w:val="00E86997"/>
    <w:rsid w:val="00E90AB3"/>
    <w:rsid w:val="00EA022B"/>
    <w:rsid w:val="00EB27E2"/>
    <w:rsid w:val="00EB62B9"/>
    <w:rsid w:val="00EC7F91"/>
    <w:rsid w:val="00ED37C1"/>
    <w:rsid w:val="00F2221A"/>
    <w:rsid w:val="00F24911"/>
    <w:rsid w:val="00F56B96"/>
    <w:rsid w:val="00F57458"/>
    <w:rsid w:val="00F64836"/>
    <w:rsid w:val="00F64ABC"/>
    <w:rsid w:val="00F656CD"/>
    <w:rsid w:val="00F700F9"/>
    <w:rsid w:val="00F7197D"/>
    <w:rsid w:val="00F744E7"/>
    <w:rsid w:val="00FA0428"/>
    <w:rsid w:val="00FA5170"/>
    <w:rsid w:val="00FB2A06"/>
    <w:rsid w:val="00FC1160"/>
    <w:rsid w:val="00FC2642"/>
    <w:rsid w:val="00FC3218"/>
    <w:rsid w:val="00FC459A"/>
    <w:rsid w:val="00FC63BC"/>
    <w:rsid w:val="00FD5F9A"/>
    <w:rsid w:val="00FD69F7"/>
    <w:rsid w:val="00FE3026"/>
    <w:rsid w:val="00FE40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9BC07"/>
  <w15:chartTrackingRefBased/>
  <w15:docId w15:val="{D86F635C-0C85-4A6E-BCAF-A58276E2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Z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5B"/>
    <w:pPr>
      <w:tabs>
        <w:tab w:val="left" w:pos="851"/>
        <w:tab w:val="left" w:pos="1701"/>
        <w:tab w:val="left" w:pos="2552"/>
        <w:tab w:val="right" w:pos="8505"/>
      </w:tabs>
    </w:pPr>
  </w:style>
  <w:style w:type="paragraph" w:styleId="Heading1">
    <w:name w:val="heading 1"/>
    <w:basedOn w:val="Normal"/>
    <w:next w:val="Normal"/>
    <w:link w:val="Heading1Char"/>
    <w:uiPriority w:val="9"/>
    <w:qFormat/>
    <w:rsid w:val="00FE40AC"/>
    <w:pPr>
      <w:keepNext/>
      <w:keepLines/>
      <w:tabs>
        <w:tab w:val="clear" w:pos="851"/>
        <w:tab w:val="clear" w:pos="1701"/>
        <w:tab w:val="clear" w:pos="2552"/>
        <w:tab w:val="clear" w:pos="8505"/>
      </w:tab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8F34ED"/>
  </w:style>
  <w:style w:type="numbering" w:customStyle="1" w:styleId="ListNo45">
    <w:name w:val="List No45"/>
    <w:uiPriority w:val="99"/>
    <w:semiHidden/>
    <w:unhideWhenUsed/>
    <w:rsid w:val="00316DE2"/>
  </w:style>
  <w:style w:type="numbering" w:customStyle="1" w:styleId="ListNo44">
    <w:name w:val="List No44"/>
    <w:uiPriority w:val="99"/>
    <w:semiHidden/>
    <w:unhideWhenUsed/>
    <w:rsid w:val="001D512F"/>
  </w:style>
  <w:style w:type="numbering" w:customStyle="1" w:styleId="ListNo43">
    <w:name w:val="List No43"/>
    <w:uiPriority w:val="99"/>
    <w:semiHidden/>
    <w:unhideWhenUsed/>
    <w:rsid w:val="00425C3C"/>
  </w:style>
  <w:style w:type="numbering" w:customStyle="1" w:styleId="ListNo42">
    <w:name w:val="List No42"/>
    <w:uiPriority w:val="99"/>
    <w:semiHidden/>
    <w:unhideWhenUsed/>
    <w:rsid w:val="00E11846"/>
  </w:style>
  <w:style w:type="numbering" w:customStyle="1" w:styleId="ListNo41">
    <w:name w:val="List No41"/>
    <w:uiPriority w:val="99"/>
    <w:semiHidden/>
    <w:unhideWhenUsed/>
    <w:rsid w:val="008D007A"/>
  </w:style>
  <w:style w:type="numbering" w:customStyle="1" w:styleId="ListNo40">
    <w:name w:val="List No40"/>
    <w:uiPriority w:val="99"/>
    <w:semiHidden/>
    <w:unhideWhenUsed/>
    <w:rsid w:val="00765C3B"/>
  </w:style>
  <w:style w:type="numbering" w:customStyle="1" w:styleId="ListNo39">
    <w:name w:val="List No39"/>
    <w:uiPriority w:val="99"/>
    <w:semiHidden/>
    <w:unhideWhenUsed/>
    <w:rsid w:val="00661EEF"/>
  </w:style>
  <w:style w:type="numbering" w:customStyle="1" w:styleId="ListNo38">
    <w:name w:val="List No38"/>
    <w:uiPriority w:val="99"/>
    <w:semiHidden/>
    <w:unhideWhenUsed/>
    <w:rsid w:val="00673820"/>
  </w:style>
  <w:style w:type="numbering" w:customStyle="1" w:styleId="ListNo37">
    <w:name w:val="List No37"/>
    <w:uiPriority w:val="99"/>
    <w:semiHidden/>
    <w:unhideWhenUsed/>
    <w:rsid w:val="008E78D0"/>
  </w:style>
  <w:style w:type="numbering" w:customStyle="1" w:styleId="ListNo36">
    <w:name w:val="List No36"/>
    <w:uiPriority w:val="99"/>
    <w:semiHidden/>
    <w:unhideWhenUsed/>
    <w:rsid w:val="000B6B60"/>
  </w:style>
  <w:style w:type="numbering" w:customStyle="1" w:styleId="ListNo35">
    <w:name w:val="List No35"/>
    <w:uiPriority w:val="99"/>
    <w:semiHidden/>
    <w:unhideWhenUsed/>
    <w:rsid w:val="0009367D"/>
  </w:style>
  <w:style w:type="numbering" w:customStyle="1" w:styleId="ListNo34">
    <w:name w:val="List No34"/>
    <w:uiPriority w:val="99"/>
    <w:semiHidden/>
    <w:unhideWhenUsed/>
    <w:rsid w:val="00624122"/>
  </w:style>
  <w:style w:type="numbering" w:customStyle="1" w:styleId="ListNo33">
    <w:name w:val="List No33"/>
    <w:uiPriority w:val="99"/>
    <w:semiHidden/>
    <w:unhideWhenUsed/>
    <w:rsid w:val="00DC4E2F"/>
  </w:style>
  <w:style w:type="numbering" w:customStyle="1" w:styleId="ListNo32">
    <w:name w:val="List No32"/>
    <w:uiPriority w:val="99"/>
    <w:semiHidden/>
    <w:unhideWhenUsed/>
    <w:rsid w:val="00D96DC2"/>
  </w:style>
  <w:style w:type="numbering" w:customStyle="1" w:styleId="ListNo31">
    <w:name w:val="List No31"/>
    <w:uiPriority w:val="99"/>
    <w:semiHidden/>
    <w:unhideWhenUsed/>
    <w:rsid w:val="00E86997"/>
  </w:style>
  <w:style w:type="numbering" w:customStyle="1" w:styleId="ListNo30">
    <w:name w:val="List No30"/>
    <w:uiPriority w:val="99"/>
    <w:semiHidden/>
    <w:unhideWhenUsed/>
    <w:rsid w:val="00511B96"/>
  </w:style>
  <w:style w:type="numbering" w:customStyle="1" w:styleId="ListNo29">
    <w:name w:val="List No29"/>
    <w:uiPriority w:val="99"/>
    <w:semiHidden/>
    <w:unhideWhenUsed/>
    <w:rsid w:val="0021680C"/>
  </w:style>
  <w:style w:type="numbering" w:customStyle="1" w:styleId="ListNo28">
    <w:name w:val="List No28"/>
    <w:uiPriority w:val="99"/>
    <w:semiHidden/>
    <w:unhideWhenUsed/>
    <w:rsid w:val="000746EC"/>
  </w:style>
  <w:style w:type="numbering" w:customStyle="1" w:styleId="ListNo27">
    <w:name w:val="List No27"/>
    <w:uiPriority w:val="99"/>
    <w:semiHidden/>
    <w:unhideWhenUsed/>
    <w:rsid w:val="009B5ABB"/>
  </w:style>
  <w:style w:type="numbering" w:customStyle="1" w:styleId="ListNo26">
    <w:name w:val="List No26"/>
    <w:uiPriority w:val="99"/>
    <w:semiHidden/>
    <w:unhideWhenUsed/>
    <w:rsid w:val="00532951"/>
  </w:style>
  <w:style w:type="numbering" w:customStyle="1" w:styleId="ListNo25">
    <w:name w:val="List No25"/>
    <w:uiPriority w:val="99"/>
    <w:semiHidden/>
    <w:unhideWhenUsed/>
    <w:rsid w:val="00D82B4A"/>
  </w:style>
  <w:style w:type="numbering" w:customStyle="1" w:styleId="ListNo24">
    <w:name w:val="List No24"/>
    <w:uiPriority w:val="99"/>
    <w:semiHidden/>
    <w:unhideWhenUsed/>
    <w:rsid w:val="00B92C29"/>
  </w:style>
  <w:style w:type="numbering" w:customStyle="1" w:styleId="ListNo23">
    <w:name w:val="List No23"/>
    <w:uiPriority w:val="99"/>
    <w:semiHidden/>
    <w:unhideWhenUsed/>
    <w:rsid w:val="00FC2642"/>
  </w:style>
  <w:style w:type="numbering" w:customStyle="1" w:styleId="ListNo22">
    <w:name w:val="List No22"/>
    <w:uiPriority w:val="99"/>
    <w:semiHidden/>
    <w:unhideWhenUsed/>
    <w:rsid w:val="009E117D"/>
  </w:style>
  <w:style w:type="numbering" w:customStyle="1" w:styleId="ListNo21">
    <w:name w:val="List No21"/>
    <w:uiPriority w:val="99"/>
    <w:semiHidden/>
    <w:unhideWhenUsed/>
    <w:rsid w:val="00AF7668"/>
  </w:style>
  <w:style w:type="numbering" w:customStyle="1" w:styleId="ListNo20">
    <w:name w:val="List No20"/>
    <w:uiPriority w:val="99"/>
    <w:semiHidden/>
    <w:unhideWhenUsed/>
    <w:rsid w:val="00905C19"/>
  </w:style>
  <w:style w:type="numbering" w:customStyle="1" w:styleId="ListNo19">
    <w:name w:val="List No19"/>
    <w:uiPriority w:val="99"/>
    <w:semiHidden/>
    <w:unhideWhenUsed/>
    <w:rsid w:val="00322AB9"/>
  </w:style>
  <w:style w:type="numbering" w:customStyle="1" w:styleId="ListNo18">
    <w:name w:val="List No18"/>
    <w:uiPriority w:val="99"/>
    <w:semiHidden/>
    <w:unhideWhenUsed/>
    <w:rsid w:val="00093DB4"/>
  </w:style>
  <w:style w:type="numbering" w:customStyle="1" w:styleId="ListNo17">
    <w:name w:val="List No17"/>
    <w:uiPriority w:val="99"/>
    <w:semiHidden/>
    <w:unhideWhenUsed/>
    <w:rsid w:val="00015764"/>
  </w:style>
  <w:style w:type="numbering" w:customStyle="1" w:styleId="ListNo16">
    <w:name w:val="List No16"/>
    <w:uiPriority w:val="99"/>
    <w:semiHidden/>
    <w:unhideWhenUsed/>
    <w:rsid w:val="00ED37C1"/>
  </w:style>
  <w:style w:type="numbering" w:customStyle="1" w:styleId="ListNo15">
    <w:name w:val="List No15"/>
    <w:uiPriority w:val="99"/>
    <w:semiHidden/>
    <w:unhideWhenUsed/>
    <w:rsid w:val="0080039A"/>
  </w:style>
  <w:style w:type="numbering" w:customStyle="1" w:styleId="ListNo14">
    <w:name w:val="List No14"/>
    <w:uiPriority w:val="99"/>
    <w:semiHidden/>
    <w:unhideWhenUsed/>
    <w:rsid w:val="007D2E66"/>
  </w:style>
  <w:style w:type="numbering" w:customStyle="1" w:styleId="ListNo13">
    <w:name w:val="List No13"/>
    <w:uiPriority w:val="99"/>
    <w:semiHidden/>
    <w:unhideWhenUsed/>
    <w:rsid w:val="00FA0428"/>
  </w:style>
  <w:style w:type="numbering" w:customStyle="1" w:styleId="ListNo12">
    <w:name w:val="List No12"/>
    <w:uiPriority w:val="99"/>
    <w:semiHidden/>
    <w:unhideWhenUsed/>
    <w:rsid w:val="007315BD"/>
  </w:style>
  <w:style w:type="numbering" w:customStyle="1" w:styleId="ListNo11">
    <w:name w:val="List No11"/>
    <w:uiPriority w:val="99"/>
    <w:semiHidden/>
    <w:unhideWhenUsed/>
    <w:rsid w:val="007F5130"/>
  </w:style>
  <w:style w:type="numbering" w:customStyle="1" w:styleId="ListNo10">
    <w:name w:val="List No10"/>
    <w:uiPriority w:val="99"/>
    <w:semiHidden/>
    <w:unhideWhenUsed/>
    <w:rsid w:val="0036085C"/>
  </w:style>
  <w:style w:type="numbering" w:customStyle="1" w:styleId="ListNo9">
    <w:name w:val="List No9"/>
    <w:uiPriority w:val="99"/>
    <w:semiHidden/>
    <w:unhideWhenUsed/>
    <w:rsid w:val="001F6955"/>
  </w:style>
  <w:style w:type="numbering" w:customStyle="1" w:styleId="ListNo8">
    <w:name w:val="List No8"/>
    <w:uiPriority w:val="99"/>
    <w:semiHidden/>
    <w:unhideWhenUsed/>
    <w:rsid w:val="00E05A30"/>
  </w:style>
  <w:style w:type="numbering" w:customStyle="1" w:styleId="ListNo7">
    <w:name w:val="List No7"/>
    <w:uiPriority w:val="99"/>
    <w:semiHidden/>
    <w:unhideWhenUsed/>
    <w:rsid w:val="00EB27E2"/>
  </w:style>
  <w:style w:type="numbering" w:customStyle="1" w:styleId="ListNo6">
    <w:name w:val="List No6"/>
    <w:uiPriority w:val="99"/>
    <w:semiHidden/>
    <w:unhideWhenUsed/>
    <w:rsid w:val="00E90AB3"/>
  </w:style>
  <w:style w:type="numbering" w:customStyle="1" w:styleId="ListNo5">
    <w:name w:val="List No5"/>
    <w:uiPriority w:val="99"/>
    <w:semiHidden/>
    <w:unhideWhenUsed/>
    <w:rsid w:val="00292631"/>
  </w:style>
  <w:style w:type="numbering" w:customStyle="1" w:styleId="ListNo4">
    <w:name w:val="List No4"/>
    <w:uiPriority w:val="99"/>
    <w:semiHidden/>
    <w:unhideWhenUsed/>
    <w:rsid w:val="00092C8F"/>
  </w:style>
  <w:style w:type="numbering" w:customStyle="1" w:styleId="ListNo3">
    <w:name w:val="List No3"/>
    <w:uiPriority w:val="99"/>
    <w:semiHidden/>
    <w:unhideWhenUsed/>
    <w:rsid w:val="009F1B3E"/>
  </w:style>
  <w:style w:type="numbering" w:customStyle="1" w:styleId="ListNo2">
    <w:name w:val="List No2"/>
    <w:uiPriority w:val="99"/>
    <w:semiHidden/>
    <w:unhideWhenUsed/>
    <w:rsid w:val="00664F82"/>
  </w:style>
  <w:style w:type="numbering" w:customStyle="1" w:styleId="ListNo1">
    <w:name w:val="List No1"/>
    <w:uiPriority w:val="99"/>
    <w:semiHidden/>
    <w:unhideWhenUsed/>
    <w:rsid w:val="002D77BB"/>
  </w:style>
  <w:style w:type="paragraph" w:styleId="FootnoteText">
    <w:name w:val="footnote text"/>
    <w:basedOn w:val="Normal"/>
    <w:link w:val="FootnoteTextChar"/>
    <w:uiPriority w:val="99"/>
    <w:semiHidden/>
    <w:unhideWhenUsed/>
    <w:rsid w:val="00035168"/>
    <w:rPr>
      <w:sz w:val="20"/>
      <w:szCs w:val="20"/>
    </w:rPr>
  </w:style>
  <w:style w:type="character" w:customStyle="1" w:styleId="FootnoteTextChar">
    <w:name w:val="Footnote Text Char"/>
    <w:basedOn w:val="DefaultParagraphFont"/>
    <w:link w:val="FootnoteText"/>
    <w:uiPriority w:val="99"/>
    <w:semiHidden/>
    <w:rsid w:val="00035168"/>
    <w:rPr>
      <w:sz w:val="20"/>
      <w:szCs w:val="20"/>
    </w:rPr>
  </w:style>
  <w:style w:type="character" w:styleId="FootnoteReference">
    <w:name w:val="footnote reference"/>
    <w:basedOn w:val="DefaultParagraphFont"/>
    <w:uiPriority w:val="99"/>
    <w:semiHidden/>
    <w:unhideWhenUsed/>
    <w:rsid w:val="00035168"/>
    <w:rPr>
      <w:vertAlign w:val="superscript"/>
    </w:rPr>
  </w:style>
  <w:style w:type="paragraph" w:styleId="Index1">
    <w:name w:val="index 1"/>
    <w:basedOn w:val="Normal"/>
    <w:next w:val="Normal"/>
    <w:autoRedefine/>
    <w:uiPriority w:val="99"/>
    <w:semiHidden/>
    <w:unhideWhenUsed/>
    <w:rsid w:val="00DC1F3C"/>
    <w:pPr>
      <w:ind w:left="220" w:hanging="220"/>
    </w:pPr>
  </w:style>
  <w:style w:type="paragraph" w:styleId="TOC1">
    <w:name w:val="toc 1"/>
    <w:basedOn w:val="Normal"/>
    <w:next w:val="Normal"/>
    <w:autoRedefine/>
    <w:uiPriority w:val="39"/>
    <w:semiHidden/>
    <w:unhideWhenUsed/>
    <w:rsid w:val="00DC1F3C"/>
    <w:pPr>
      <w:spacing w:after="100"/>
    </w:pPr>
  </w:style>
  <w:style w:type="paragraph" w:customStyle="1" w:styleId="COX6">
    <w:name w:val="COX6"/>
    <w:basedOn w:val="Normal"/>
    <w:next w:val="Normal"/>
    <w:autoRedefine/>
    <w:rsid w:val="00EA022B"/>
    <w:pPr>
      <w:keepNext/>
    </w:pPr>
    <w:rPr>
      <w:rFonts w:eastAsia="Times New Roman" w:cs="Times New Roman"/>
      <w:b/>
      <w:szCs w:val="20"/>
      <w:u w:val="single"/>
      <w:lang w:eastAsia="en-GB"/>
    </w:rPr>
  </w:style>
  <w:style w:type="paragraph" w:customStyle="1" w:styleId="PARA1">
    <w:name w:val="PARA1"/>
    <w:basedOn w:val="Normal"/>
    <w:next w:val="Normal"/>
    <w:autoRedefine/>
    <w:rsid w:val="00EA022B"/>
    <w:pPr>
      <w:keepNext/>
      <w:numPr>
        <w:numId w:val="4"/>
      </w:numPr>
      <w:jc w:val="center"/>
      <w:outlineLvl w:val="0"/>
    </w:pPr>
    <w:rPr>
      <w:rFonts w:eastAsia="Times New Roman" w:cs="Times New Roman"/>
      <w:szCs w:val="20"/>
      <w:lang w:eastAsia="en-GB"/>
    </w:rPr>
  </w:style>
  <w:style w:type="paragraph" w:customStyle="1" w:styleId="PARA2">
    <w:name w:val="PARA2"/>
    <w:basedOn w:val="Normal"/>
    <w:next w:val="Normal"/>
    <w:autoRedefine/>
    <w:rsid w:val="00EA022B"/>
    <w:pPr>
      <w:numPr>
        <w:ilvl w:val="1"/>
        <w:numId w:val="4"/>
      </w:numPr>
      <w:outlineLvl w:val="1"/>
    </w:pPr>
    <w:rPr>
      <w:rFonts w:eastAsia="Times New Roman" w:cs="Times New Roman"/>
      <w:szCs w:val="20"/>
      <w:lang w:eastAsia="en-GB"/>
    </w:rPr>
  </w:style>
  <w:style w:type="paragraph" w:customStyle="1" w:styleId="PARA3">
    <w:name w:val="PARA3"/>
    <w:basedOn w:val="Normal"/>
    <w:next w:val="Normal"/>
    <w:autoRedefine/>
    <w:rsid w:val="00EA022B"/>
    <w:pPr>
      <w:numPr>
        <w:ilvl w:val="2"/>
        <w:numId w:val="4"/>
      </w:numPr>
      <w:outlineLvl w:val="2"/>
    </w:pPr>
    <w:rPr>
      <w:rFonts w:eastAsia="Times New Roman" w:cs="Times New Roman"/>
      <w:szCs w:val="20"/>
      <w:lang w:eastAsia="en-GB"/>
    </w:rPr>
  </w:style>
  <w:style w:type="paragraph" w:customStyle="1" w:styleId="PARA4">
    <w:name w:val="PARA4"/>
    <w:basedOn w:val="Normal"/>
    <w:next w:val="Normal"/>
    <w:autoRedefine/>
    <w:rsid w:val="00EA022B"/>
    <w:pPr>
      <w:numPr>
        <w:ilvl w:val="3"/>
        <w:numId w:val="4"/>
      </w:numPr>
      <w:outlineLvl w:val="3"/>
    </w:pPr>
    <w:rPr>
      <w:rFonts w:eastAsia="Times New Roman" w:cs="Times New Roman"/>
      <w:szCs w:val="20"/>
      <w:lang w:eastAsia="en-GB"/>
    </w:rPr>
  </w:style>
  <w:style w:type="paragraph" w:customStyle="1" w:styleId="COX5">
    <w:name w:val="COX5"/>
    <w:basedOn w:val="Normal"/>
    <w:next w:val="Normal"/>
    <w:rsid w:val="00B4159A"/>
    <w:pPr>
      <w:numPr>
        <w:numId w:val="5"/>
      </w:numPr>
    </w:pPr>
    <w:rPr>
      <w:rFonts w:eastAsia="Times New Roman" w:cs="Times New Roman"/>
      <w:szCs w:val="20"/>
      <w:lang w:eastAsia="en-GB"/>
    </w:rPr>
  </w:style>
  <w:style w:type="paragraph" w:styleId="Header">
    <w:name w:val="header"/>
    <w:basedOn w:val="Normal"/>
    <w:link w:val="HeaderChar"/>
    <w:uiPriority w:val="99"/>
    <w:rsid w:val="00274F23"/>
    <w:pPr>
      <w:widowControl w:val="0"/>
      <w:tabs>
        <w:tab w:val="center" w:pos="4320"/>
        <w:tab w:val="right" w:pos="8640"/>
        <w:tab w:val="right" w:pos="9923"/>
      </w:tabs>
    </w:pPr>
    <w:rPr>
      <w:rFonts w:eastAsia="Times New Roman" w:cs="Times New Roman"/>
      <w:sz w:val="22"/>
      <w:szCs w:val="20"/>
      <w:lang w:eastAsia="en-GB"/>
    </w:rPr>
  </w:style>
  <w:style w:type="character" w:customStyle="1" w:styleId="HeaderChar">
    <w:name w:val="Header Char"/>
    <w:basedOn w:val="DefaultParagraphFont"/>
    <w:link w:val="Header"/>
    <w:uiPriority w:val="99"/>
    <w:rsid w:val="00274F23"/>
    <w:rPr>
      <w:rFonts w:eastAsia="Times New Roman" w:cs="Times New Roman"/>
      <w:sz w:val="22"/>
      <w:szCs w:val="20"/>
      <w:lang w:eastAsia="en-GB"/>
    </w:rPr>
  </w:style>
  <w:style w:type="character" w:styleId="PageNumber">
    <w:name w:val="page number"/>
    <w:basedOn w:val="DefaultParagraphFont"/>
    <w:rsid w:val="00274F23"/>
  </w:style>
  <w:style w:type="paragraph" w:customStyle="1" w:styleId="Letterhead">
    <w:name w:val="Letterhead"/>
    <w:rsid w:val="00274F23"/>
    <w:pPr>
      <w:tabs>
        <w:tab w:val="left" w:pos="1134"/>
        <w:tab w:val="right" w:pos="9923"/>
      </w:tabs>
    </w:pPr>
    <w:rPr>
      <w:rFonts w:eastAsia="Times New Roman" w:cs="Times New Roman"/>
      <w:sz w:val="16"/>
      <w:szCs w:val="20"/>
      <w:lang w:eastAsia="en-GB"/>
    </w:rPr>
  </w:style>
  <w:style w:type="paragraph" w:styleId="Footer">
    <w:name w:val="footer"/>
    <w:basedOn w:val="Normal"/>
    <w:link w:val="FooterChar"/>
    <w:uiPriority w:val="99"/>
    <w:rsid w:val="00274F23"/>
    <w:pPr>
      <w:widowControl w:val="0"/>
      <w:tabs>
        <w:tab w:val="center" w:pos="4153"/>
        <w:tab w:val="right" w:pos="8306"/>
        <w:tab w:val="right" w:pos="9923"/>
      </w:tabs>
    </w:pPr>
    <w:rPr>
      <w:rFonts w:eastAsia="Times New Roman" w:cs="Times New Roman"/>
      <w:sz w:val="22"/>
      <w:szCs w:val="20"/>
      <w:lang w:eastAsia="en-GB"/>
    </w:rPr>
  </w:style>
  <w:style w:type="character" w:customStyle="1" w:styleId="FooterChar">
    <w:name w:val="Footer Char"/>
    <w:basedOn w:val="DefaultParagraphFont"/>
    <w:link w:val="Footer"/>
    <w:uiPriority w:val="99"/>
    <w:rsid w:val="00274F23"/>
    <w:rPr>
      <w:rFonts w:eastAsia="Times New Roman" w:cs="Times New Roman"/>
      <w:sz w:val="22"/>
      <w:szCs w:val="20"/>
      <w:lang w:eastAsia="en-GB"/>
    </w:rPr>
  </w:style>
  <w:style w:type="paragraph" w:styleId="BalloonText">
    <w:name w:val="Balloon Text"/>
    <w:basedOn w:val="Normal"/>
    <w:link w:val="BalloonTextChar"/>
    <w:uiPriority w:val="99"/>
    <w:semiHidden/>
    <w:unhideWhenUsed/>
    <w:rsid w:val="00D23B03"/>
    <w:rPr>
      <w:rFonts w:ascii="Tahoma" w:hAnsi="Tahoma" w:cs="Tahoma"/>
      <w:sz w:val="16"/>
      <w:szCs w:val="16"/>
    </w:rPr>
  </w:style>
  <w:style w:type="character" w:customStyle="1" w:styleId="BalloonTextChar">
    <w:name w:val="Balloon Text Char"/>
    <w:basedOn w:val="DefaultParagraphFont"/>
    <w:link w:val="BalloonText"/>
    <w:uiPriority w:val="99"/>
    <w:semiHidden/>
    <w:rsid w:val="00D23B03"/>
    <w:rPr>
      <w:rFonts w:ascii="Tahoma" w:hAnsi="Tahoma" w:cs="Tahoma"/>
      <w:sz w:val="16"/>
      <w:szCs w:val="16"/>
    </w:rPr>
  </w:style>
  <w:style w:type="character" w:styleId="Hyperlink">
    <w:name w:val="Hyperlink"/>
    <w:basedOn w:val="DefaultParagraphFont"/>
    <w:uiPriority w:val="99"/>
    <w:unhideWhenUsed/>
    <w:rsid w:val="00A177A5"/>
    <w:rPr>
      <w:color w:val="0000FF" w:themeColor="hyperlink"/>
      <w:u w:val="single"/>
    </w:rPr>
  </w:style>
  <w:style w:type="paragraph" w:customStyle="1" w:styleId="CYStandard">
    <w:name w:val="C|Y_Standard"/>
    <w:rsid w:val="00A177A5"/>
    <w:rPr>
      <w:rFonts w:eastAsia="Calibri" w:cs="Times New Roman"/>
      <w:sz w:val="22"/>
      <w:szCs w:val="22"/>
    </w:rPr>
  </w:style>
  <w:style w:type="paragraph" w:customStyle="1" w:styleId="CYNumbering1">
    <w:name w:val="C|Y_Numbering1"/>
    <w:next w:val="CYStandard"/>
    <w:rsid w:val="00A177A5"/>
    <w:pPr>
      <w:numPr>
        <w:numId w:val="6"/>
      </w:numPr>
    </w:pPr>
    <w:rPr>
      <w:rFonts w:eastAsia="Calibri" w:cs="Times New Roman"/>
      <w:sz w:val="22"/>
      <w:szCs w:val="22"/>
    </w:rPr>
  </w:style>
  <w:style w:type="paragraph" w:customStyle="1" w:styleId="CYNumbering2">
    <w:name w:val="C|Y_Numbering2"/>
    <w:basedOn w:val="CYNumbering1"/>
    <w:next w:val="CYStandard"/>
    <w:rsid w:val="00A177A5"/>
    <w:pPr>
      <w:numPr>
        <w:ilvl w:val="1"/>
      </w:numPr>
    </w:pPr>
  </w:style>
  <w:style w:type="paragraph" w:customStyle="1" w:styleId="CYNumbering3">
    <w:name w:val="C|Y_Numbering3"/>
    <w:basedOn w:val="CYNumbering2"/>
    <w:next w:val="CYStandard"/>
    <w:rsid w:val="00A177A5"/>
    <w:pPr>
      <w:numPr>
        <w:ilvl w:val="2"/>
      </w:numPr>
    </w:pPr>
  </w:style>
  <w:style w:type="paragraph" w:customStyle="1" w:styleId="CYNumbering4">
    <w:name w:val="C|Y_Numbering4"/>
    <w:basedOn w:val="CYNumbering3"/>
    <w:next w:val="CYStandard"/>
    <w:rsid w:val="00A177A5"/>
    <w:pPr>
      <w:numPr>
        <w:ilvl w:val="3"/>
      </w:numPr>
    </w:pPr>
  </w:style>
  <w:style w:type="paragraph" w:customStyle="1" w:styleId="CYNumbering5">
    <w:name w:val="C|Y_Numbering5"/>
    <w:basedOn w:val="CYNumbering4"/>
    <w:next w:val="CYStandard"/>
    <w:rsid w:val="00A177A5"/>
    <w:pPr>
      <w:numPr>
        <w:ilvl w:val="4"/>
      </w:numPr>
    </w:pPr>
  </w:style>
  <w:style w:type="paragraph" w:customStyle="1" w:styleId="CYNumbering6">
    <w:name w:val="C|Y_Numbering6"/>
    <w:basedOn w:val="CYNumbering5"/>
    <w:next w:val="CYStandard"/>
    <w:rsid w:val="00A177A5"/>
    <w:pPr>
      <w:numPr>
        <w:ilvl w:val="5"/>
      </w:numPr>
    </w:pPr>
  </w:style>
  <w:style w:type="paragraph" w:customStyle="1" w:styleId="CYNumbering7">
    <w:name w:val="C|Y_Numbering7"/>
    <w:basedOn w:val="CYNumbering6"/>
    <w:next w:val="CYStandard"/>
    <w:rsid w:val="00A177A5"/>
    <w:pPr>
      <w:numPr>
        <w:ilvl w:val="6"/>
      </w:numPr>
    </w:pPr>
  </w:style>
  <w:style w:type="paragraph" w:customStyle="1" w:styleId="CYNumbering8">
    <w:name w:val="C|Y_Numbering8"/>
    <w:basedOn w:val="CYNumbering7"/>
    <w:next w:val="CYStandard"/>
    <w:rsid w:val="00A177A5"/>
    <w:pPr>
      <w:numPr>
        <w:ilvl w:val="7"/>
      </w:numPr>
    </w:pPr>
  </w:style>
  <w:style w:type="paragraph" w:customStyle="1" w:styleId="CYNumbering9">
    <w:name w:val="C|Y_Numbering9"/>
    <w:basedOn w:val="CYNumbering8"/>
    <w:next w:val="CYStandard"/>
    <w:rsid w:val="00A177A5"/>
    <w:pPr>
      <w:numPr>
        <w:ilvl w:val="8"/>
      </w:numPr>
    </w:pPr>
  </w:style>
  <w:style w:type="numbering" w:customStyle="1" w:styleId="CYNumberings">
    <w:name w:val="C|Y_Numberings"/>
    <w:uiPriority w:val="99"/>
    <w:rsid w:val="00A177A5"/>
    <w:pPr>
      <w:numPr>
        <w:numId w:val="6"/>
      </w:numPr>
    </w:pPr>
  </w:style>
  <w:style w:type="paragraph" w:customStyle="1" w:styleId="xmsolistparagraph">
    <w:name w:val="x_msolistparagraph"/>
    <w:basedOn w:val="Normal"/>
    <w:rsid w:val="00B30D53"/>
    <w:pPr>
      <w:tabs>
        <w:tab w:val="clear" w:pos="851"/>
        <w:tab w:val="clear" w:pos="1701"/>
        <w:tab w:val="clear" w:pos="2552"/>
        <w:tab w:val="clear" w:pos="8505"/>
      </w:tabs>
      <w:ind w:left="720"/>
      <w:jc w:val="left"/>
    </w:pPr>
    <w:rPr>
      <w:rFonts w:ascii="Calibri" w:hAnsi="Calibri" w:cs="Calibri"/>
      <w:sz w:val="22"/>
      <w:szCs w:val="22"/>
      <w:lang w:val="en-US"/>
    </w:rPr>
  </w:style>
  <w:style w:type="paragraph" w:customStyle="1" w:styleId="xcynumbering1">
    <w:name w:val="x_cynumbering1"/>
    <w:basedOn w:val="Normal"/>
    <w:rsid w:val="00B30D53"/>
    <w:pPr>
      <w:tabs>
        <w:tab w:val="clear" w:pos="851"/>
        <w:tab w:val="clear" w:pos="1701"/>
        <w:tab w:val="clear" w:pos="2552"/>
        <w:tab w:val="clear" w:pos="8505"/>
      </w:tabs>
      <w:spacing w:before="100" w:beforeAutospacing="1" w:after="100" w:afterAutospacing="1"/>
      <w:jc w:val="left"/>
    </w:pPr>
    <w:rPr>
      <w:rFonts w:ascii="Calibri" w:hAnsi="Calibri" w:cs="Calibri"/>
      <w:sz w:val="22"/>
      <w:szCs w:val="22"/>
      <w:lang w:val="en-US"/>
    </w:rPr>
  </w:style>
  <w:style w:type="paragraph" w:styleId="ListParagraph">
    <w:name w:val="List Paragraph"/>
    <w:basedOn w:val="Normal"/>
    <w:uiPriority w:val="34"/>
    <w:qFormat/>
    <w:rsid w:val="00FC459A"/>
    <w:pPr>
      <w:tabs>
        <w:tab w:val="clear" w:pos="851"/>
        <w:tab w:val="clear" w:pos="1701"/>
        <w:tab w:val="clear" w:pos="2552"/>
        <w:tab w:val="clear" w:pos="8505"/>
      </w:tabs>
      <w:ind w:left="720"/>
      <w:jc w:val="left"/>
    </w:pPr>
    <w:rPr>
      <w:rFonts w:ascii="Calibri" w:hAnsi="Calibri" w:cs="Calibri"/>
      <w:sz w:val="22"/>
      <w:szCs w:val="22"/>
      <w:lang w:val="en-US"/>
    </w:rPr>
  </w:style>
  <w:style w:type="paragraph" w:styleId="BodyText">
    <w:name w:val="Body Text"/>
    <w:basedOn w:val="Normal"/>
    <w:link w:val="BodyTextChar"/>
    <w:uiPriority w:val="1"/>
    <w:qFormat/>
    <w:rsid w:val="004E6363"/>
    <w:pPr>
      <w:widowControl w:val="0"/>
      <w:tabs>
        <w:tab w:val="clear" w:pos="851"/>
        <w:tab w:val="clear" w:pos="1701"/>
        <w:tab w:val="clear" w:pos="2552"/>
        <w:tab w:val="clear" w:pos="8505"/>
      </w:tabs>
      <w:autoSpaceDE w:val="0"/>
      <w:autoSpaceDN w:val="0"/>
      <w:adjustRightInd w:val="0"/>
      <w:ind w:left="157"/>
      <w:jc w:val="left"/>
    </w:pPr>
    <w:rPr>
      <w:rFonts w:eastAsiaTheme="minorEastAsia"/>
      <w:sz w:val="20"/>
      <w:szCs w:val="20"/>
      <w:lang w:val="en-US"/>
    </w:rPr>
  </w:style>
  <w:style w:type="character" w:customStyle="1" w:styleId="BodyTextChar">
    <w:name w:val="Body Text Char"/>
    <w:basedOn w:val="DefaultParagraphFont"/>
    <w:link w:val="BodyText"/>
    <w:uiPriority w:val="1"/>
    <w:rsid w:val="004E6363"/>
    <w:rPr>
      <w:rFonts w:eastAsiaTheme="minorEastAsia"/>
      <w:sz w:val="20"/>
      <w:szCs w:val="20"/>
      <w:lang w:val="en-US"/>
    </w:rPr>
  </w:style>
  <w:style w:type="paragraph" w:customStyle="1" w:styleId="TableParagraph">
    <w:name w:val="Table Paragraph"/>
    <w:basedOn w:val="Normal"/>
    <w:uiPriority w:val="1"/>
    <w:qFormat/>
    <w:rsid w:val="004E6363"/>
    <w:pPr>
      <w:widowControl w:val="0"/>
      <w:tabs>
        <w:tab w:val="clear" w:pos="851"/>
        <w:tab w:val="clear" w:pos="1701"/>
        <w:tab w:val="clear" w:pos="2552"/>
        <w:tab w:val="clear" w:pos="8505"/>
      </w:tabs>
      <w:autoSpaceDE w:val="0"/>
      <w:autoSpaceDN w:val="0"/>
      <w:adjustRightInd w:val="0"/>
      <w:jc w:val="left"/>
    </w:pPr>
    <w:rPr>
      <w:rFonts w:ascii="Times New Roman" w:eastAsiaTheme="minorEastAsia" w:hAnsi="Times New Roman" w:cs="Times New Roman"/>
      <w:lang w:val="en-US"/>
    </w:rPr>
  </w:style>
  <w:style w:type="character" w:styleId="Strong">
    <w:name w:val="Strong"/>
    <w:basedOn w:val="DefaultParagraphFont"/>
    <w:uiPriority w:val="22"/>
    <w:qFormat/>
    <w:rsid w:val="004E6363"/>
    <w:rPr>
      <w:b/>
      <w:bCs/>
    </w:rPr>
  </w:style>
  <w:style w:type="character" w:styleId="CommentReference">
    <w:name w:val="annotation reference"/>
    <w:basedOn w:val="DefaultParagraphFont"/>
    <w:uiPriority w:val="99"/>
    <w:semiHidden/>
    <w:unhideWhenUsed/>
    <w:rsid w:val="00FD5F9A"/>
    <w:rPr>
      <w:sz w:val="16"/>
      <w:szCs w:val="16"/>
    </w:rPr>
  </w:style>
  <w:style w:type="paragraph" w:styleId="CommentText">
    <w:name w:val="annotation text"/>
    <w:basedOn w:val="Normal"/>
    <w:link w:val="CommentTextChar"/>
    <w:uiPriority w:val="99"/>
    <w:semiHidden/>
    <w:unhideWhenUsed/>
    <w:rsid w:val="00FD5F9A"/>
    <w:rPr>
      <w:sz w:val="20"/>
      <w:szCs w:val="20"/>
    </w:rPr>
  </w:style>
  <w:style w:type="character" w:customStyle="1" w:styleId="CommentTextChar">
    <w:name w:val="Comment Text Char"/>
    <w:basedOn w:val="DefaultParagraphFont"/>
    <w:link w:val="CommentText"/>
    <w:uiPriority w:val="99"/>
    <w:semiHidden/>
    <w:rsid w:val="00FD5F9A"/>
    <w:rPr>
      <w:sz w:val="20"/>
      <w:szCs w:val="20"/>
    </w:rPr>
  </w:style>
  <w:style w:type="paragraph" w:styleId="CommentSubject">
    <w:name w:val="annotation subject"/>
    <w:basedOn w:val="CommentText"/>
    <w:next w:val="CommentText"/>
    <w:link w:val="CommentSubjectChar"/>
    <w:uiPriority w:val="99"/>
    <w:semiHidden/>
    <w:unhideWhenUsed/>
    <w:rsid w:val="00FD5F9A"/>
    <w:rPr>
      <w:b/>
      <w:bCs/>
    </w:rPr>
  </w:style>
  <w:style w:type="character" w:customStyle="1" w:styleId="CommentSubjectChar">
    <w:name w:val="Comment Subject Char"/>
    <w:basedOn w:val="CommentTextChar"/>
    <w:link w:val="CommentSubject"/>
    <w:uiPriority w:val="99"/>
    <w:semiHidden/>
    <w:rsid w:val="00FD5F9A"/>
    <w:rPr>
      <w:b/>
      <w:bCs/>
      <w:sz w:val="20"/>
      <w:szCs w:val="20"/>
    </w:rPr>
  </w:style>
  <w:style w:type="paragraph" w:styleId="Revision">
    <w:name w:val="Revision"/>
    <w:hidden/>
    <w:uiPriority w:val="99"/>
    <w:semiHidden/>
    <w:rsid w:val="00A95A9A"/>
    <w:pPr>
      <w:jc w:val="left"/>
    </w:pPr>
  </w:style>
  <w:style w:type="table" w:styleId="TableGrid">
    <w:name w:val="Table Grid"/>
    <w:basedOn w:val="TableNormal"/>
    <w:uiPriority w:val="59"/>
    <w:rsid w:val="00D1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0F66"/>
    <w:pPr>
      <w:tabs>
        <w:tab w:val="clear" w:pos="851"/>
        <w:tab w:val="clear" w:pos="1701"/>
        <w:tab w:val="clear" w:pos="2552"/>
        <w:tab w:val="clear" w:pos="8505"/>
      </w:tabs>
      <w:autoSpaceDE w:val="0"/>
      <w:autoSpaceDN w:val="0"/>
      <w:jc w:val="left"/>
    </w:pPr>
    <w:rPr>
      <w:rFonts w:ascii="Times New Roman" w:hAnsi="Times New Roman" w:cs="Times New Roman"/>
      <w:color w:val="000000"/>
    </w:rPr>
  </w:style>
  <w:style w:type="paragraph" w:styleId="NormalWeb">
    <w:name w:val="Normal (Web)"/>
    <w:basedOn w:val="Normal"/>
    <w:uiPriority w:val="99"/>
    <w:unhideWhenUsed/>
    <w:rsid w:val="00CF0F66"/>
    <w:pPr>
      <w:tabs>
        <w:tab w:val="clear" w:pos="851"/>
        <w:tab w:val="clear" w:pos="1701"/>
        <w:tab w:val="clear" w:pos="2552"/>
        <w:tab w:val="clear" w:pos="8505"/>
      </w:tabs>
      <w:spacing w:before="100" w:beforeAutospacing="1" w:after="100" w:afterAutospacing="1"/>
      <w:jc w:val="left"/>
    </w:pPr>
    <w:rPr>
      <w:rFonts w:ascii="Calibri" w:hAnsi="Calibri" w:cs="Calibri"/>
      <w:sz w:val="22"/>
      <w:szCs w:val="22"/>
      <w:lang w:val="en-US"/>
    </w:rPr>
  </w:style>
  <w:style w:type="character" w:customStyle="1" w:styleId="Heading1Char">
    <w:name w:val="Heading 1 Char"/>
    <w:basedOn w:val="DefaultParagraphFont"/>
    <w:link w:val="Heading1"/>
    <w:uiPriority w:val="9"/>
    <w:rsid w:val="00FE40AC"/>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69243B"/>
    <w:pPr>
      <w:tabs>
        <w:tab w:val="clear" w:pos="851"/>
        <w:tab w:val="clear" w:pos="1701"/>
        <w:tab w:val="clear" w:pos="2552"/>
        <w:tab w:val="clear" w:pos="8505"/>
      </w:tabs>
      <w:jc w:val="left"/>
    </w:pPr>
    <w:rPr>
      <w:rFonts w:ascii="Calibri" w:hAnsi="Calibri" w:cs="Calibri"/>
      <w:sz w:val="22"/>
      <w:szCs w:val="22"/>
      <w:lang w:val="en-GB"/>
    </w:rPr>
  </w:style>
  <w:style w:type="character" w:customStyle="1" w:styleId="PlainTextChar">
    <w:name w:val="Plain Text Char"/>
    <w:basedOn w:val="DefaultParagraphFont"/>
    <w:link w:val="PlainText"/>
    <w:uiPriority w:val="99"/>
    <w:rsid w:val="0069243B"/>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9896">
      <w:bodyDiv w:val="1"/>
      <w:marLeft w:val="0"/>
      <w:marRight w:val="0"/>
      <w:marTop w:val="0"/>
      <w:marBottom w:val="0"/>
      <w:divBdr>
        <w:top w:val="none" w:sz="0" w:space="0" w:color="auto"/>
        <w:left w:val="none" w:sz="0" w:space="0" w:color="auto"/>
        <w:bottom w:val="none" w:sz="0" w:space="0" w:color="auto"/>
        <w:right w:val="none" w:sz="0" w:space="0" w:color="auto"/>
      </w:divBdr>
    </w:div>
    <w:div w:id="218829535">
      <w:bodyDiv w:val="1"/>
      <w:marLeft w:val="0"/>
      <w:marRight w:val="0"/>
      <w:marTop w:val="0"/>
      <w:marBottom w:val="0"/>
      <w:divBdr>
        <w:top w:val="none" w:sz="0" w:space="0" w:color="auto"/>
        <w:left w:val="none" w:sz="0" w:space="0" w:color="auto"/>
        <w:bottom w:val="none" w:sz="0" w:space="0" w:color="auto"/>
        <w:right w:val="none" w:sz="0" w:space="0" w:color="auto"/>
      </w:divBdr>
    </w:div>
    <w:div w:id="637032598">
      <w:bodyDiv w:val="1"/>
      <w:marLeft w:val="0"/>
      <w:marRight w:val="0"/>
      <w:marTop w:val="0"/>
      <w:marBottom w:val="0"/>
      <w:divBdr>
        <w:top w:val="none" w:sz="0" w:space="0" w:color="auto"/>
        <w:left w:val="none" w:sz="0" w:space="0" w:color="auto"/>
        <w:bottom w:val="none" w:sz="0" w:space="0" w:color="auto"/>
        <w:right w:val="none" w:sz="0" w:space="0" w:color="auto"/>
      </w:divBdr>
    </w:div>
    <w:div w:id="967009767">
      <w:bodyDiv w:val="1"/>
      <w:marLeft w:val="0"/>
      <w:marRight w:val="0"/>
      <w:marTop w:val="0"/>
      <w:marBottom w:val="0"/>
      <w:divBdr>
        <w:top w:val="none" w:sz="0" w:space="0" w:color="auto"/>
        <w:left w:val="none" w:sz="0" w:space="0" w:color="auto"/>
        <w:bottom w:val="none" w:sz="0" w:space="0" w:color="auto"/>
        <w:right w:val="none" w:sz="0" w:space="0" w:color="auto"/>
      </w:divBdr>
    </w:div>
    <w:div w:id="1207568436">
      <w:bodyDiv w:val="1"/>
      <w:marLeft w:val="0"/>
      <w:marRight w:val="0"/>
      <w:marTop w:val="0"/>
      <w:marBottom w:val="0"/>
      <w:divBdr>
        <w:top w:val="none" w:sz="0" w:space="0" w:color="auto"/>
        <w:left w:val="none" w:sz="0" w:space="0" w:color="auto"/>
        <w:bottom w:val="none" w:sz="0" w:space="0" w:color="auto"/>
        <w:right w:val="none" w:sz="0" w:space="0" w:color="auto"/>
      </w:divBdr>
    </w:div>
    <w:div w:id="1245342052">
      <w:bodyDiv w:val="1"/>
      <w:marLeft w:val="0"/>
      <w:marRight w:val="0"/>
      <w:marTop w:val="0"/>
      <w:marBottom w:val="0"/>
      <w:divBdr>
        <w:top w:val="none" w:sz="0" w:space="0" w:color="auto"/>
        <w:left w:val="none" w:sz="0" w:space="0" w:color="auto"/>
        <w:bottom w:val="none" w:sz="0" w:space="0" w:color="auto"/>
        <w:right w:val="none" w:sz="0" w:space="0" w:color="auto"/>
      </w:divBdr>
    </w:div>
    <w:div w:id="1411001195">
      <w:bodyDiv w:val="1"/>
      <w:marLeft w:val="0"/>
      <w:marRight w:val="0"/>
      <w:marTop w:val="0"/>
      <w:marBottom w:val="0"/>
      <w:divBdr>
        <w:top w:val="none" w:sz="0" w:space="0" w:color="auto"/>
        <w:left w:val="none" w:sz="0" w:space="0" w:color="auto"/>
        <w:bottom w:val="none" w:sz="0" w:space="0" w:color="auto"/>
        <w:right w:val="none" w:sz="0" w:space="0" w:color="auto"/>
      </w:divBdr>
    </w:div>
    <w:div w:id="1436174307">
      <w:bodyDiv w:val="1"/>
      <w:marLeft w:val="0"/>
      <w:marRight w:val="0"/>
      <w:marTop w:val="0"/>
      <w:marBottom w:val="0"/>
      <w:divBdr>
        <w:top w:val="none" w:sz="0" w:space="0" w:color="auto"/>
        <w:left w:val="none" w:sz="0" w:space="0" w:color="auto"/>
        <w:bottom w:val="none" w:sz="0" w:space="0" w:color="auto"/>
        <w:right w:val="none" w:sz="0" w:space="0" w:color="auto"/>
      </w:divBdr>
    </w:div>
    <w:div w:id="20122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marketingconcepts.co.z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Briers@growthpoint.co.z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0F92880247D4C86C63C076D65B51D" ma:contentTypeVersion="12" ma:contentTypeDescription="Create a new document." ma:contentTypeScope="" ma:versionID="005833aec3096c251fa1f7bd8e468a24">
  <xsd:schema xmlns:xsd="http://www.w3.org/2001/XMLSchema" xmlns:xs="http://www.w3.org/2001/XMLSchema" xmlns:p="http://schemas.microsoft.com/office/2006/metadata/properties" xmlns:ns2="c6e27a8e-be36-46a7-be3f-f5da11d757a6" xmlns:ns3="1d0f2429-9481-49a5-88a5-98bae25842d6" targetNamespace="http://schemas.microsoft.com/office/2006/metadata/properties" ma:root="true" ma:fieldsID="48c2f9267c5a6c31da4d1e348f97ff3f" ns2:_="" ns3:_="">
    <xsd:import namespace="c6e27a8e-be36-46a7-be3f-f5da11d757a6"/>
    <xsd:import namespace="1d0f2429-9481-49a5-88a5-98bae2584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27a8e-be36-46a7-be3f-f5da11d75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f2429-9481-49a5-88a5-98bae2584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31A-B518-48D0-AC41-326CFB088FA3}">
  <ds:schemaRefs>
    <ds:schemaRef ds:uri="http://schemas.microsoft.com/sharepoint/v3/contenttype/forms"/>
  </ds:schemaRefs>
</ds:datastoreItem>
</file>

<file path=customXml/itemProps2.xml><?xml version="1.0" encoding="utf-8"?>
<ds:datastoreItem xmlns:ds="http://schemas.openxmlformats.org/officeDocument/2006/customXml" ds:itemID="{A12F25A1-2CC0-44B1-BC72-47C39B5F2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6ACD2-905D-4B5A-8364-03B246DC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27a8e-be36-46a7-be3f-f5da11d757a6"/>
    <ds:schemaRef ds:uri="1d0f2429-9481-49a5-88a5-98bae2584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1B472-C841-417D-A375-2E5E03FD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Anne Lovell</cp:lastModifiedBy>
  <cp:revision>2</cp:revision>
  <cp:lastPrinted>2020-03-22T05:42:00Z</cp:lastPrinted>
  <dcterms:created xsi:type="dcterms:W3CDTF">2020-04-27T17:52:00Z</dcterms:created>
  <dcterms:modified xsi:type="dcterms:W3CDTF">2020-04-27T17:52:00Z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1761692</vt:lpwstr>
  </property>
  <property fmtid="{D5CDD505-2E9C-101B-9397-08002B2CF9AE}" pid="3" name="ContentTypeId">
    <vt:lpwstr>0x01010029C0F92880247D4C86C63C076D65B51D</vt:lpwstr>
  </property>
</Properties>
</file>