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7C23" w14:textId="27D4AC47" w:rsidR="00805F09" w:rsidRPr="00314714" w:rsidRDefault="00EA59ED">
      <w:pPr>
        <w:pStyle w:val="BodyA"/>
        <w:spacing w:after="120"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Volume de transações desce em período de Covid-19</w:t>
      </w:r>
    </w:p>
    <w:p w14:paraId="72591670" w14:textId="0CE18F1F" w:rsidR="00805F09" w:rsidRPr="00B04C14" w:rsidRDefault="00D03906" w:rsidP="00EA59ED">
      <w:pPr>
        <w:pStyle w:val="BodyA"/>
        <w:widowControl w:val="0"/>
        <w:suppressAutoHyphens/>
        <w:spacing w:after="240" w:line="264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REDUNIQ regista </w:t>
      </w:r>
      <w:r w:rsidR="00C20B65">
        <w:rPr>
          <w:b/>
          <w:bCs/>
          <w:sz w:val="40"/>
          <w:szCs w:val="40"/>
        </w:rPr>
        <w:t xml:space="preserve">aumento exponencial do </w:t>
      </w:r>
      <w:r w:rsidR="00C20B65" w:rsidRPr="00AA2513">
        <w:rPr>
          <w:b/>
          <w:bCs/>
          <w:i/>
          <w:iCs/>
          <w:sz w:val="40"/>
          <w:szCs w:val="40"/>
        </w:rPr>
        <w:t>contactless</w:t>
      </w:r>
      <w:r w:rsidR="00C20B65">
        <w:rPr>
          <w:b/>
          <w:bCs/>
          <w:sz w:val="40"/>
          <w:szCs w:val="40"/>
        </w:rPr>
        <w:t xml:space="preserve"> e</w:t>
      </w:r>
      <w:r>
        <w:rPr>
          <w:b/>
          <w:bCs/>
          <w:sz w:val="40"/>
          <w:szCs w:val="40"/>
        </w:rPr>
        <w:t xml:space="preserve"> </w:t>
      </w:r>
      <w:r w:rsidR="00EA59ED" w:rsidRPr="00EA59ED">
        <w:rPr>
          <w:b/>
          <w:bCs/>
          <w:i/>
          <w:iCs/>
          <w:sz w:val="40"/>
          <w:szCs w:val="40"/>
        </w:rPr>
        <w:t>e</w:t>
      </w:r>
      <w:r w:rsidR="00DB1F51">
        <w:rPr>
          <w:b/>
          <w:bCs/>
          <w:i/>
          <w:iCs/>
          <w:sz w:val="40"/>
          <w:szCs w:val="40"/>
        </w:rPr>
        <w:t>-c</w:t>
      </w:r>
      <w:r w:rsidR="00EA59ED" w:rsidRPr="00EA59ED">
        <w:rPr>
          <w:b/>
          <w:bCs/>
          <w:i/>
          <w:iCs/>
          <w:sz w:val="40"/>
          <w:szCs w:val="40"/>
        </w:rPr>
        <w:t>ommerce</w:t>
      </w:r>
      <w:r w:rsidR="00EA59ED">
        <w:rPr>
          <w:b/>
          <w:bCs/>
          <w:sz w:val="40"/>
          <w:szCs w:val="40"/>
        </w:rPr>
        <w:t xml:space="preserve"> </w:t>
      </w:r>
    </w:p>
    <w:p w14:paraId="5FA58377" w14:textId="57C8081E" w:rsidR="00B9464C" w:rsidRDefault="00EA59ED" w:rsidP="00447E47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b/>
          <w:bCs/>
        </w:rPr>
      </w:pPr>
      <w:r>
        <w:rPr>
          <w:b/>
          <w:bCs/>
        </w:rPr>
        <w:t>Só nos primeiros 13 dias de abril, o número de transações totais decresceu 51% face ao período homólogo;</w:t>
      </w:r>
    </w:p>
    <w:p w14:paraId="215032DA" w14:textId="6846B96D" w:rsidR="00EA59ED" w:rsidRPr="00314714" w:rsidRDefault="00EA59ED" w:rsidP="00447E47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b/>
          <w:bCs/>
        </w:rPr>
      </w:pPr>
      <w:r>
        <w:rPr>
          <w:b/>
          <w:bCs/>
        </w:rPr>
        <w:t xml:space="preserve">Já o </w:t>
      </w:r>
      <w:r w:rsidRPr="00EA59ED">
        <w:rPr>
          <w:b/>
          <w:bCs/>
          <w:i/>
          <w:iCs/>
        </w:rPr>
        <w:t>e</w:t>
      </w:r>
      <w:r w:rsidR="00DB1F51">
        <w:rPr>
          <w:b/>
          <w:bCs/>
          <w:i/>
          <w:iCs/>
        </w:rPr>
        <w:t>-c</w:t>
      </w:r>
      <w:r w:rsidRPr="00EA59ED">
        <w:rPr>
          <w:b/>
          <w:bCs/>
          <w:i/>
          <w:iCs/>
        </w:rPr>
        <w:t>ommerce</w:t>
      </w:r>
      <w:r>
        <w:rPr>
          <w:b/>
          <w:bCs/>
        </w:rPr>
        <w:t xml:space="preserve"> e o </w:t>
      </w:r>
      <w:r w:rsidR="00DB1F51">
        <w:rPr>
          <w:b/>
          <w:bCs/>
        </w:rPr>
        <w:t>c</w:t>
      </w:r>
      <w:r w:rsidRPr="00EA59ED">
        <w:rPr>
          <w:b/>
          <w:bCs/>
          <w:i/>
          <w:iCs/>
        </w:rPr>
        <w:t>ontactless</w:t>
      </w:r>
      <w:r>
        <w:rPr>
          <w:b/>
          <w:bCs/>
        </w:rPr>
        <w:t xml:space="preserve"> registaram aumentos exponenciais quando comparados os primeiros dias de abril de 2019 e 2020: mais 241% para as compras </w:t>
      </w:r>
      <w:r w:rsidRPr="00EA59ED">
        <w:rPr>
          <w:b/>
          <w:bCs/>
          <w:i/>
          <w:iCs/>
        </w:rPr>
        <w:t>online</w:t>
      </w:r>
      <w:r>
        <w:rPr>
          <w:b/>
          <w:bCs/>
        </w:rPr>
        <w:t xml:space="preserve"> no retalho e lojas e mais 103% para os pagamentos através da tecnologia </w:t>
      </w:r>
      <w:r w:rsidRPr="00EA59ED">
        <w:rPr>
          <w:b/>
          <w:bCs/>
          <w:i/>
          <w:iCs/>
        </w:rPr>
        <w:t>contactless</w:t>
      </w:r>
      <w:r>
        <w:rPr>
          <w:b/>
          <w:bCs/>
        </w:rPr>
        <w:t>.</w:t>
      </w:r>
    </w:p>
    <w:p w14:paraId="55AD83EC" w14:textId="2378A7BA" w:rsidR="00805F09" w:rsidRPr="00B9464C" w:rsidRDefault="00805F09" w:rsidP="00B9464C">
      <w:pPr>
        <w:keepNext/>
        <w:widowControl w:val="0"/>
        <w:suppressAutoHyphens/>
        <w:spacing w:after="120"/>
        <w:rPr>
          <w:rFonts w:ascii="Calibri" w:hAnsi="Calibri" w:cs="Calibri"/>
          <w:sz w:val="22"/>
          <w:szCs w:val="22"/>
          <w:lang w:val="pt-PT"/>
        </w:rPr>
      </w:pPr>
    </w:p>
    <w:p w14:paraId="7EB12154" w14:textId="1AC2CF0A" w:rsidR="00314714" w:rsidRDefault="00AA2513" w:rsidP="00314714">
      <w:pPr>
        <w:pStyle w:val="BodyA"/>
        <w:widowControl w:val="0"/>
        <w:suppressAutoHyphens/>
        <w:spacing w:after="240" w:line="288" w:lineRule="auto"/>
      </w:pPr>
      <w:r>
        <w:rPr>
          <w:b/>
          <w:bCs/>
        </w:rPr>
        <w:t>2</w:t>
      </w:r>
      <w:r w:rsidR="005614ED">
        <w:rPr>
          <w:b/>
          <w:bCs/>
        </w:rPr>
        <w:t>8</w:t>
      </w:r>
      <w:r w:rsidR="00FD3498" w:rsidRPr="00484549">
        <w:rPr>
          <w:b/>
          <w:bCs/>
        </w:rPr>
        <w:t xml:space="preserve"> de </w:t>
      </w:r>
      <w:r w:rsidR="00240B98">
        <w:rPr>
          <w:b/>
          <w:bCs/>
        </w:rPr>
        <w:t>abril</w:t>
      </w:r>
      <w:r w:rsidR="00FD3498" w:rsidRPr="00484549">
        <w:rPr>
          <w:b/>
          <w:bCs/>
        </w:rPr>
        <w:t xml:space="preserve"> de 2020 </w:t>
      </w:r>
      <w:r w:rsidR="00484549">
        <w:rPr>
          <w:b/>
          <w:bCs/>
        </w:rPr>
        <w:t>–</w:t>
      </w:r>
      <w:r w:rsidR="00FD3498">
        <w:t xml:space="preserve"> </w:t>
      </w:r>
      <w:r w:rsidR="009C3985">
        <w:t xml:space="preserve">A REDUNIQ, </w:t>
      </w:r>
      <w:r w:rsidR="00E9566F" w:rsidRPr="00E9566F">
        <w:t xml:space="preserve">marca de aceitação de pagamentos para lojas físicas e </w:t>
      </w:r>
      <w:r w:rsidR="00E9566F" w:rsidRPr="007D5A01">
        <w:rPr>
          <w:i/>
          <w:iCs/>
        </w:rPr>
        <w:t>online</w:t>
      </w:r>
      <w:r w:rsidR="00E9566F" w:rsidRPr="00E9566F">
        <w:t xml:space="preserve"> da UNICRE</w:t>
      </w:r>
      <w:r w:rsidR="009C3985">
        <w:t xml:space="preserve">, </w:t>
      </w:r>
      <w:r w:rsidR="00314714">
        <w:t>acaba de divulgar dados que refletem a evolução das transações de cliente nacionais e estrangeiros no período de Covid-19.</w:t>
      </w:r>
    </w:p>
    <w:p w14:paraId="3D424B33" w14:textId="7C447B5D" w:rsidR="00314714" w:rsidRDefault="00314714" w:rsidP="00314714">
      <w:pPr>
        <w:pStyle w:val="BodyA"/>
        <w:widowControl w:val="0"/>
        <w:suppressAutoHyphens/>
        <w:spacing w:after="240" w:line="288" w:lineRule="auto"/>
      </w:pPr>
      <w:r>
        <w:t xml:space="preserve">De acordo com os números apresentados, o mês de março registou uma quebra do número de transações totais de 23,8% em relação ao mesmo período de 2019. Já o total de operações </w:t>
      </w:r>
      <w:r w:rsidR="008C2AEF">
        <w:t>n</w:t>
      </w:r>
      <w:r>
        <w:t xml:space="preserve">os primeiros 13 dias de abril </w:t>
      </w:r>
      <w:r w:rsidR="00693368">
        <w:t xml:space="preserve">teve </w:t>
      </w:r>
      <w:r>
        <w:t>um decréscimo mais expressivo face ao período homólogo (51%).</w:t>
      </w:r>
    </w:p>
    <w:p w14:paraId="69B27DEC" w14:textId="265EB3A8" w:rsidR="00314714" w:rsidRDefault="00314714" w:rsidP="00AA2513">
      <w:pPr>
        <w:pStyle w:val="BodyA"/>
        <w:widowControl w:val="0"/>
        <w:suppressAutoHyphens/>
        <w:spacing w:after="240" w:line="288" w:lineRule="auto"/>
      </w:pPr>
      <w:r>
        <w:t xml:space="preserve">Analisados os valores totais de faturação com clientes nacionais e estrangeiros, </w:t>
      </w:r>
      <w:r w:rsidR="00AA2513">
        <w:t>nota-se uma queda</w:t>
      </w:r>
      <w:r w:rsidR="00AA2513" w:rsidRPr="00AA2513">
        <w:t xml:space="preserve"> </w:t>
      </w:r>
      <w:r w:rsidR="00AA2513">
        <w:t xml:space="preserve">da receita proveniente de cartões nacionais de apenas 16% em março face ao período homólogo, e menos 35% quando comparados os períodos de 1 a 13 de abril de 2019 e 2020. Já relativamente a clientes estrangeiro, a descida foi de </w:t>
      </w:r>
      <w:r w:rsidR="008C2AEF">
        <w:t>49% no mês de março deste ano em comparação com março de 2019, e menos 88% de faturação nos primeiros 13 dias de abril face ao igual intervalo de tempo do ano passado.</w:t>
      </w:r>
      <w:r w:rsidR="00AA2513">
        <w:t xml:space="preserve"> Juntos representaram menos 21,9% de faturação em março e menos 46% nos primeiros 13 dias de abri.</w:t>
      </w:r>
    </w:p>
    <w:p w14:paraId="31B2BDF8" w14:textId="73D39ADC" w:rsidR="008C2AEF" w:rsidRDefault="008C2AEF" w:rsidP="00314714">
      <w:pPr>
        <w:pStyle w:val="BodyA"/>
        <w:widowControl w:val="0"/>
        <w:suppressAutoHyphens/>
        <w:spacing w:after="240" w:line="288" w:lineRule="auto"/>
      </w:pPr>
      <w:r>
        <w:t xml:space="preserve">Para Tiago Oom, Diretor da REDUNIQ, </w:t>
      </w:r>
      <w:r w:rsidRPr="006B7E62">
        <w:rPr>
          <w:i/>
          <w:iCs/>
        </w:rPr>
        <w:t>“esta evolução é o reflexo das medidas de contingência impostas um pouco por todo o mundo e que implicaram quebras nas atividades de setores de atividade sustentad</w:t>
      </w:r>
      <w:r w:rsidR="00EA59ED">
        <w:rPr>
          <w:i/>
          <w:iCs/>
        </w:rPr>
        <w:t>o</w:t>
      </w:r>
      <w:r w:rsidRPr="006B7E62">
        <w:rPr>
          <w:i/>
          <w:iCs/>
        </w:rPr>
        <w:t>s em grande medida pelo consumidor estrangeiro, como o turismo e a avi</w:t>
      </w:r>
      <w:r w:rsidR="006B7E62">
        <w:rPr>
          <w:i/>
          <w:iCs/>
        </w:rPr>
        <w:t>ação</w:t>
      </w:r>
      <w:r w:rsidRPr="006B7E62">
        <w:rPr>
          <w:i/>
          <w:iCs/>
        </w:rPr>
        <w:t>, que por sua vez trouxe</w:t>
      </w:r>
      <w:r w:rsidR="006B7E62">
        <w:rPr>
          <w:i/>
          <w:iCs/>
        </w:rPr>
        <w:t>ram</w:t>
      </w:r>
      <w:r w:rsidRPr="006B7E62">
        <w:rPr>
          <w:i/>
          <w:iCs/>
        </w:rPr>
        <w:t xml:space="preserve"> consequências ao nível do volume de transações estrangeiras em território nacional”</w:t>
      </w:r>
      <w:r>
        <w:t>.</w:t>
      </w:r>
    </w:p>
    <w:p w14:paraId="7349E32A" w14:textId="4EDD1A2D" w:rsidR="00BF607C" w:rsidRDefault="006B7E62" w:rsidP="00314714">
      <w:pPr>
        <w:pStyle w:val="BodyA"/>
        <w:widowControl w:val="0"/>
        <w:suppressAutoHyphens/>
        <w:spacing w:after="240" w:line="288" w:lineRule="auto"/>
      </w:pPr>
      <w:r>
        <w:t xml:space="preserve">Em contrapartida, o mês de março registou um forte aumento do volume de transações no </w:t>
      </w:r>
      <w:r>
        <w:rPr>
          <w:i/>
          <w:iCs/>
        </w:rPr>
        <w:t>e</w:t>
      </w:r>
      <w:r w:rsidR="00DB1F51">
        <w:rPr>
          <w:i/>
          <w:iCs/>
        </w:rPr>
        <w:t>-c</w:t>
      </w:r>
      <w:r>
        <w:rPr>
          <w:i/>
          <w:iCs/>
        </w:rPr>
        <w:t xml:space="preserve">ommerce </w:t>
      </w:r>
      <w:r>
        <w:t xml:space="preserve">para o retalho e lojas de 110% relativamente ao mesmo mês do ano passado. Já abril, até ao momento, </w:t>
      </w:r>
      <w:r w:rsidR="00BF607C">
        <w:t xml:space="preserve">assinalou um crescimento mais significativo (mais 241%) quando comparado com abril de 2019. Tiago Oom explica que </w:t>
      </w:r>
      <w:r w:rsidR="00BF607C" w:rsidRPr="00BF607C">
        <w:rPr>
          <w:i/>
          <w:iCs/>
        </w:rPr>
        <w:t xml:space="preserve">“os números apresentados são a clara evidência do </w:t>
      </w:r>
      <w:r w:rsidR="00BF607C" w:rsidRPr="00BF607C">
        <w:rPr>
          <w:i/>
          <w:iCs/>
        </w:rPr>
        <w:lastRenderedPageBreak/>
        <w:t>papel que o e</w:t>
      </w:r>
      <w:r w:rsidR="00DB1F51">
        <w:rPr>
          <w:i/>
          <w:iCs/>
        </w:rPr>
        <w:t>-c</w:t>
      </w:r>
      <w:r w:rsidR="00BF607C" w:rsidRPr="00BF607C">
        <w:rPr>
          <w:i/>
          <w:iCs/>
        </w:rPr>
        <w:t xml:space="preserve">ommerce está a ganhar na vida dos portugueses, uma vez que consegue responder </w:t>
      </w:r>
      <w:r w:rsidR="00EA59ED">
        <w:rPr>
          <w:i/>
          <w:iCs/>
        </w:rPr>
        <w:t xml:space="preserve">eficazmente </w:t>
      </w:r>
      <w:r w:rsidR="00BF607C" w:rsidRPr="00BF607C">
        <w:rPr>
          <w:i/>
          <w:iCs/>
        </w:rPr>
        <w:t>às necessidades de consumo dos portugueses, ao mesmo tempo que aporta maior simplicidade, conforto e segurança ao processo de pagamento. Não há dúvidas que depois deste período de confinamento, o setor financeiro e os próprios negócios vão ter de olhar para o e</w:t>
      </w:r>
      <w:r w:rsidR="00DB1F51">
        <w:rPr>
          <w:i/>
          <w:iCs/>
        </w:rPr>
        <w:t>-c</w:t>
      </w:r>
      <w:r w:rsidR="00BF607C" w:rsidRPr="00BF607C">
        <w:rPr>
          <w:i/>
          <w:iCs/>
        </w:rPr>
        <w:t>ommerce como uma solução cada vez mais revelante nas nossas vidas a médio-longo prazo”</w:t>
      </w:r>
      <w:r w:rsidR="00BF607C">
        <w:t xml:space="preserve">. </w:t>
      </w:r>
    </w:p>
    <w:p w14:paraId="3D9AB214" w14:textId="400B8635" w:rsidR="00BF607C" w:rsidRDefault="00BF607C" w:rsidP="00314714">
      <w:pPr>
        <w:pStyle w:val="BodyA"/>
        <w:widowControl w:val="0"/>
        <w:suppressAutoHyphens/>
        <w:spacing w:after="240" w:line="288" w:lineRule="auto"/>
      </w:pPr>
      <w:r>
        <w:t>Com a recomendação d</w:t>
      </w:r>
      <w:r w:rsidR="00EA59ED">
        <w:t>e</w:t>
      </w:r>
      <w:r>
        <w:t xml:space="preserve"> distanciamento social e o aumento do limite máximo d</w:t>
      </w:r>
      <w:r w:rsidR="005B1957">
        <w:t>e</w:t>
      </w:r>
      <w:r>
        <w:t xml:space="preserve"> pagamentos por </w:t>
      </w:r>
      <w:r w:rsidR="00DB1F51">
        <w:rPr>
          <w:i/>
          <w:iCs/>
        </w:rPr>
        <w:t>c</w:t>
      </w:r>
      <w:r>
        <w:rPr>
          <w:i/>
          <w:iCs/>
        </w:rPr>
        <w:t xml:space="preserve">ontactless </w:t>
      </w:r>
      <w:r>
        <w:t xml:space="preserve">para 50€, as últimas semanas têm demonstrado um aumento da utilização desta tecnologia </w:t>
      </w:r>
      <w:r w:rsidR="005B1957">
        <w:t xml:space="preserve">junto do consumidor português. No passado mês de março, a REDUNIQ registou um aumento de 113% da faturação do </w:t>
      </w:r>
      <w:r w:rsidR="00DB1F51">
        <w:rPr>
          <w:i/>
          <w:iCs/>
        </w:rPr>
        <w:t>c</w:t>
      </w:r>
      <w:r w:rsidR="005B1957">
        <w:rPr>
          <w:i/>
          <w:iCs/>
        </w:rPr>
        <w:t xml:space="preserve">ontactless </w:t>
      </w:r>
      <w:r w:rsidR="005B1957">
        <w:t xml:space="preserve">face ao período homólogo, enquanto que nos 13 primeiros dias de abril os pagamentos tiveram uma receita de mais 103% em comparação com o mesmo período de 2019. Hoje, os pagamentos por </w:t>
      </w:r>
      <w:r w:rsidR="00DB1F51">
        <w:rPr>
          <w:i/>
          <w:iCs/>
        </w:rPr>
        <w:t>c</w:t>
      </w:r>
      <w:r w:rsidR="005B1957">
        <w:rPr>
          <w:i/>
          <w:iCs/>
        </w:rPr>
        <w:t xml:space="preserve">ontactless </w:t>
      </w:r>
      <w:r w:rsidR="005B1957">
        <w:t>já representam um total de 17,07% da faturação total da marca da UNICRE, enquanto que nos primeiros 13 dias de abril de 2019 esse peso era de apenas 4,61%.</w:t>
      </w:r>
    </w:p>
    <w:p w14:paraId="1C9BB06D" w14:textId="45F8DBB1" w:rsidR="005B1957" w:rsidRPr="005B1957" w:rsidRDefault="005B1957" w:rsidP="00314714">
      <w:pPr>
        <w:pStyle w:val="BodyA"/>
        <w:widowControl w:val="0"/>
        <w:suppressAutoHyphens/>
        <w:spacing w:after="240" w:line="288" w:lineRule="auto"/>
        <w:rPr>
          <w:b/>
          <w:bCs/>
        </w:rPr>
      </w:pPr>
      <w:r w:rsidRPr="005B1957">
        <w:rPr>
          <w:b/>
          <w:bCs/>
        </w:rPr>
        <w:t>REDUNIQ facilita aceitação de pagamentos como medida de apoio aos negócios em Portugal</w:t>
      </w:r>
    </w:p>
    <w:p w14:paraId="3A59A9FE" w14:textId="7E7137FC" w:rsidR="006B7E62" w:rsidRPr="006B7E62" w:rsidRDefault="005B1957" w:rsidP="00314714">
      <w:pPr>
        <w:pStyle w:val="BodyA"/>
        <w:widowControl w:val="0"/>
        <w:suppressAutoHyphens/>
        <w:spacing w:after="240" w:line="288" w:lineRule="auto"/>
      </w:pPr>
      <w:r>
        <w:t xml:space="preserve">Face à quebra </w:t>
      </w:r>
      <w:r w:rsidR="00EA59ED">
        <w:t>n</w:t>
      </w:r>
      <w:r>
        <w:t xml:space="preserve">o volume de transações nacionais e às dificuldades sentidas pelos negócios portugueses de dar continuidade às suas atividades, a REDUNIQ </w:t>
      </w:r>
      <w:r w:rsidR="00EA59ED">
        <w:t xml:space="preserve">anunciou </w:t>
      </w:r>
      <w:r w:rsidRPr="005B1957">
        <w:t>a implementa</w:t>
      </w:r>
      <w:r>
        <w:t>ção de</w:t>
      </w:r>
      <w:r w:rsidRPr="005B1957">
        <w:t xml:space="preserve"> medidas de apoio aos negócios durante o período pandémico</w:t>
      </w:r>
      <w:r>
        <w:t>, nomeadamente ao</w:t>
      </w:r>
      <w:r w:rsidRPr="005B1957">
        <w:t xml:space="preserve"> facilitar o processo de adesão ao seu serviço de pagamentos </w:t>
      </w:r>
      <w:r w:rsidR="00C20B65">
        <w:t xml:space="preserve">por </w:t>
      </w:r>
      <w:r w:rsidR="00C20B65" w:rsidRPr="00AA2513">
        <w:rPr>
          <w:i/>
          <w:iCs/>
        </w:rPr>
        <w:t>link</w:t>
      </w:r>
      <w:r>
        <w:t xml:space="preserve">, o </w:t>
      </w:r>
      <w:r w:rsidRPr="005B1957">
        <w:t>REDUNIQ @Payments</w:t>
      </w:r>
      <w:r>
        <w:t>.</w:t>
      </w:r>
    </w:p>
    <w:p w14:paraId="50AA1357" w14:textId="77777777" w:rsidR="00484549" w:rsidRDefault="00484549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</w:p>
    <w:p w14:paraId="6190B49B" w14:textId="48C1DF8E" w:rsidR="00805F09" w:rsidRDefault="00BA13A0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a UNICRE:</w:t>
      </w:r>
    </w:p>
    <w:p w14:paraId="076D985F" w14:textId="77777777" w:rsidR="00805F09" w:rsidRDefault="00BA13A0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>uma instituição portuguesa que atua no setor financeiro, especialista na gestão, emissã</w:t>
      </w:r>
      <w:r>
        <w:rPr>
          <w:rStyle w:val="None"/>
          <w:sz w:val="20"/>
          <w:szCs w:val="20"/>
          <w:lang w:val="it-IT"/>
        </w:rPr>
        <w:t>o e disponibiliza</w:t>
      </w:r>
      <w:r>
        <w:rPr>
          <w:rStyle w:val="None"/>
          <w:sz w:val="20"/>
          <w:szCs w:val="20"/>
        </w:rPr>
        <w:t>ção de soluções de pagamento, cartões de pagamento e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ao consumo. Com uma experiência de 45 anos, det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m a marca UNIBANCO, responsável pela emissão de cartõ</w:t>
      </w:r>
      <w:r>
        <w:rPr>
          <w:rStyle w:val="None"/>
          <w:sz w:val="20"/>
          <w:szCs w:val="20"/>
          <w:lang w:val="fr-FR"/>
        </w:rPr>
        <w:t>es de cré</w:t>
      </w:r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>-pagos, cartões refeiçã</w:t>
      </w:r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pessoal e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consolidado, e a marca REDUNIQ,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rcio </w:t>
      </w:r>
      <w:r>
        <w:rPr>
          <w:rStyle w:val="None"/>
          <w:i/>
          <w:iCs/>
          <w:sz w:val="20"/>
          <w:szCs w:val="20"/>
        </w:rPr>
        <w:t xml:space="preserve">online. </w:t>
      </w:r>
    </w:p>
    <w:p w14:paraId="127B23DF" w14:textId="77777777" w:rsidR="00805F09" w:rsidRPr="00484549" w:rsidRDefault="00805F09">
      <w:pPr>
        <w:pStyle w:val="BodyA"/>
        <w:rPr>
          <w:rStyle w:val="None"/>
          <w:sz w:val="20"/>
          <w:szCs w:val="20"/>
        </w:rPr>
      </w:pPr>
    </w:p>
    <w:p w14:paraId="191BCDB3" w14:textId="7F958104" w:rsidR="00805F09" w:rsidRDefault="00BA13A0">
      <w:pPr>
        <w:pStyle w:val="Rodap"/>
        <w:tabs>
          <w:tab w:val="clear" w:pos="8504"/>
          <w:tab w:val="right" w:pos="8478"/>
        </w:tabs>
        <w:spacing w:after="8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Para mais informações, contacte:</w:t>
      </w:r>
    </w:p>
    <w:p w14:paraId="5AAEFB88" w14:textId="77777777" w:rsidR="00805F09" w:rsidRDefault="00BA13A0" w:rsidP="00FC74A9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  <w:u w:val="single"/>
        </w:rPr>
      </w:pPr>
      <w:r>
        <w:rPr>
          <w:rStyle w:val="None"/>
          <w:sz w:val="20"/>
          <w:szCs w:val="20"/>
          <w:u w:val="single"/>
        </w:rPr>
        <w:t>Lift Consulting</w:t>
      </w:r>
    </w:p>
    <w:p w14:paraId="05F47065" w14:textId="0E1CE6C7" w:rsidR="00805F09" w:rsidRDefault="00240B98" w:rsidP="00FC74A9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André Saramago</w:t>
      </w:r>
      <w:r w:rsidR="00BA13A0">
        <w:rPr>
          <w:rStyle w:val="None"/>
          <w:sz w:val="20"/>
          <w:szCs w:val="20"/>
        </w:rPr>
        <w:t xml:space="preserve"> | </w:t>
      </w:r>
      <w:r>
        <w:rPr>
          <w:rStyle w:val="None"/>
          <w:sz w:val="20"/>
          <w:szCs w:val="20"/>
        </w:rPr>
        <w:t>andre.saramago</w:t>
      </w:r>
      <w:r w:rsidR="00BA13A0">
        <w:rPr>
          <w:rStyle w:val="None"/>
          <w:sz w:val="20"/>
          <w:szCs w:val="20"/>
        </w:rPr>
        <w:t xml:space="preserve">@lift.com.pt | </w:t>
      </w:r>
      <w:r w:rsidRPr="00240B98">
        <w:rPr>
          <w:rStyle w:val="None"/>
          <w:sz w:val="20"/>
          <w:szCs w:val="20"/>
        </w:rPr>
        <w:t>912 896 471</w:t>
      </w:r>
    </w:p>
    <w:p w14:paraId="47BB665F" w14:textId="4191F91D" w:rsidR="00805F09" w:rsidRDefault="00BA13A0" w:rsidP="00FC74A9">
      <w:pPr>
        <w:pStyle w:val="Rodap"/>
        <w:widowControl w:val="0"/>
        <w:tabs>
          <w:tab w:val="clear" w:pos="8504"/>
          <w:tab w:val="right" w:pos="8478"/>
        </w:tabs>
        <w:jc w:val="left"/>
      </w:pPr>
      <w:r>
        <w:rPr>
          <w:rStyle w:val="None"/>
          <w:sz w:val="20"/>
          <w:szCs w:val="20"/>
        </w:rPr>
        <w:t>Fábio Duarte | fabio.duarte@lift.com.pt | 911 774 428</w:t>
      </w:r>
    </w:p>
    <w:sectPr w:rsidR="00805F09">
      <w:headerReference w:type="default" r:id="rId10"/>
      <w:footerReference w:type="default" r:id="rId11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672B" w14:textId="77777777" w:rsidR="00764084" w:rsidRDefault="00764084">
      <w:r>
        <w:separator/>
      </w:r>
    </w:p>
  </w:endnote>
  <w:endnote w:type="continuationSeparator" w:id="0">
    <w:p w14:paraId="736CC3F8" w14:textId="77777777" w:rsidR="00764084" w:rsidRDefault="007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7C2A" w14:textId="77777777" w:rsidR="007568DB" w:rsidRDefault="007568DB">
    <w:pPr>
      <w:pStyle w:val="Rodap"/>
      <w:tabs>
        <w:tab w:val="clear" w:pos="8504"/>
        <w:tab w:val="right" w:pos="8478"/>
      </w:tabs>
      <w:jc w:val="right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AF79" w14:textId="77777777" w:rsidR="00764084" w:rsidRDefault="00764084">
      <w:r>
        <w:separator/>
      </w:r>
    </w:p>
  </w:footnote>
  <w:footnote w:type="continuationSeparator" w:id="0">
    <w:p w14:paraId="1C15CD2F" w14:textId="77777777" w:rsidR="00764084" w:rsidRDefault="0076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01F" w14:textId="3017AA62" w:rsidR="007568DB" w:rsidRDefault="007568DB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088AC153" wp14:editId="027CACCA">
          <wp:extent cx="4749025" cy="973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53" cy="98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36994B49"/>
    <w:multiLevelType w:val="hybridMultilevel"/>
    <w:tmpl w:val="E83846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32126"/>
    <w:rsid w:val="0006007E"/>
    <w:rsid w:val="000E4E34"/>
    <w:rsid w:val="00114001"/>
    <w:rsid w:val="00160861"/>
    <w:rsid w:val="001643AE"/>
    <w:rsid w:val="00166E29"/>
    <w:rsid w:val="001834AB"/>
    <w:rsid w:val="001D5137"/>
    <w:rsid w:val="001E7572"/>
    <w:rsid w:val="001E7EEC"/>
    <w:rsid w:val="001F0856"/>
    <w:rsid w:val="00237496"/>
    <w:rsid w:val="00240B98"/>
    <w:rsid w:val="00280DFC"/>
    <w:rsid w:val="002942A2"/>
    <w:rsid w:val="00294FC1"/>
    <w:rsid w:val="00314714"/>
    <w:rsid w:val="003577D2"/>
    <w:rsid w:val="00357A0F"/>
    <w:rsid w:val="003D1580"/>
    <w:rsid w:val="003E07BE"/>
    <w:rsid w:val="003F2D38"/>
    <w:rsid w:val="003F3068"/>
    <w:rsid w:val="004157A0"/>
    <w:rsid w:val="004368AE"/>
    <w:rsid w:val="00447E47"/>
    <w:rsid w:val="00456E51"/>
    <w:rsid w:val="00481CDC"/>
    <w:rsid w:val="00484549"/>
    <w:rsid w:val="00492255"/>
    <w:rsid w:val="00497087"/>
    <w:rsid w:val="004B2B1C"/>
    <w:rsid w:val="004C056A"/>
    <w:rsid w:val="004F5BE3"/>
    <w:rsid w:val="005009E2"/>
    <w:rsid w:val="00515FD6"/>
    <w:rsid w:val="0051695E"/>
    <w:rsid w:val="0052216A"/>
    <w:rsid w:val="005614ED"/>
    <w:rsid w:val="00581304"/>
    <w:rsid w:val="005B1957"/>
    <w:rsid w:val="005C6833"/>
    <w:rsid w:val="005D4E4E"/>
    <w:rsid w:val="0063660C"/>
    <w:rsid w:val="0068115B"/>
    <w:rsid w:val="00693368"/>
    <w:rsid w:val="006B7E62"/>
    <w:rsid w:val="007024F6"/>
    <w:rsid w:val="00743EE0"/>
    <w:rsid w:val="007568DB"/>
    <w:rsid w:val="00764084"/>
    <w:rsid w:val="007731F4"/>
    <w:rsid w:val="007D5A01"/>
    <w:rsid w:val="00805F09"/>
    <w:rsid w:val="00830F91"/>
    <w:rsid w:val="0083479C"/>
    <w:rsid w:val="008513E1"/>
    <w:rsid w:val="00864092"/>
    <w:rsid w:val="008B3DEA"/>
    <w:rsid w:val="008C2AEF"/>
    <w:rsid w:val="008C2E2D"/>
    <w:rsid w:val="008F3AB0"/>
    <w:rsid w:val="009C1815"/>
    <w:rsid w:val="009C3985"/>
    <w:rsid w:val="00A25F2B"/>
    <w:rsid w:val="00A27CBB"/>
    <w:rsid w:val="00A63F18"/>
    <w:rsid w:val="00A67E4C"/>
    <w:rsid w:val="00AA2513"/>
    <w:rsid w:val="00B04C14"/>
    <w:rsid w:val="00B8559F"/>
    <w:rsid w:val="00B93431"/>
    <w:rsid w:val="00B9464C"/>
    <w:rsid w:val="00BA13A0"/>
    <w:rsid w:val="00BF607C"/>
    <w:rsid w:val="00BF7044"/>
    <w:rsid w:val="00C15987"/>
    <w:rsid w:val="00C20B65"/>
    <w:rsid w:val="00D03906"/>
    <w:rsid w:val="00D45F66"/>
    <w:rsid w:val="00DA01D3"/>
    <w:rsid w:val="00DB1F51"/>
    <w:rsid w:val="00DB73AF"/>
    <w:rsid w:val="00E03192"/>
    <w:rsid w:val="00E8183A"/>
    <w:rsid w:val="00E822E1"/>
    <w:rsid w:val="00E9566F"/>
    <w:rsid w:val="00EA22B1"/>
    <w:rsid w:val="00EA59ED"/>
    <w:rsid w:val="00EA7F6C"/>
    <w:rsid w:val="00F00D33"/>
    <w:rsid w:val="00F01B87"/>
    <w:rsid w:val="00F05850"/>
    <w:rsid w:val="00FB2420"/>
    <w:rsid w:val="00FC2E1B"/>
    <w:rsid w:val="00FC74A9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4FC1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4FC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85F834535AF4CBAF1B40B360EB83D" ma:contentTypeVersion="13" ma:contentTypeDescription="Criar um novo documento." ma:contentTypeScope="" ma:versionID="2ee1732ee8d056d7fcd8cdd18f30c5db">
  <xsd:schema xmlns:xsd="http://www.w3.org/2001/XMLSchema" xmlns:xs="http://www.w3.org/2001/XMLSchema" xmlns:p="http://schemas.microsoft.com/office/2006/metadata/properties" xmlns:ns3="8653520d-b694-47b2-ae1a-9c918cf6dd6f" xmlns:ns4="14fe7562-c9d3-4c6b-b51e-671dee077b91" targetNamespace="http://schemas.microsoft.com/office/2006/metadata/properties" ma:root="true" ma:fieldsID="14d84796da536001b1e8639d9ccafaaa" ns3:_="" ns4:_="">
    <xsd:import namespace="8653520d-b694-47b2-ae1a-9c918cf6dd6f"/>
    <xsd:import namespace="14fe7562-c9d3-4c6b-b51e-671dee077b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3520d-b694-47b2-ae1a-9c918cf6d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e7562-c9d3-4c6b-b51e-671dee077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3BBF4-4767-4A8E-9963-586D03528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3520d-b694-47b2-ae1a-9c918cf6dd6f"/>
    <ds:schemaRef ds:uri="14fe7562-c9d3-4c6b-b51e-671dee077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706</Words>
  <Characters>3813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Saltão</dc:creator>
  <cp:lastModifiedBy>Fábio Duarte</cp:lastModifiedBy>
  <cp:revision>5</cp:revision>
  <dcterms:created xsi:type="dcterms:W3CDTF">2020-04-17T14:12:00Z</dcterms:created>
  <dcterms:modified xsi:type="dcterms:W3CDTF">2020-04-28T13:03:00Z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0x01010033085F834535AF4CBAF1B40B360EB83D</vt:lpwstr>
  </property>
</Properties>
</file>