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305"/>
      </w:tblGrid>
      <w:tr w:rsidR="00212DFC" w:rsidRPr="007D7A9B" w14:paraId="0EC00B33" w14:textId="77777777" w:rsidTr="00212DFC">
        <w:trPr>
          <w:trHeight w:hRule="exact" w:val="3005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33357" w14:textId="77ECE26A" w:rsidR="002C7923" w:rsidRPr="002C7923" w:rsidRDefault="002C7923" w:rsidP="002C7923">
            <w:pPr>
              <w:pStyle w:val="Tytu"/>
              <w:rPr>
                <w:b/>
                <w:bCs/>
                <w:color w:val="auto"/>
                <w:lang w:val="pl"/>
              </w:rPr>
            </w:pPr>
            <w:bookmarkStart w:id="0" w:name="_Hlk29806241"/>
            <w:r w:rsidRPr="002C7923">
              <w:rPr>
                <w:b/>
                <w:bCs/>
                <w:color w:val="auto"/>
                <w:lang w:val="pl"/>
              </w:rPr>
              <w:t xml:space="preserve">Półtora roku udanej eksploatacji </w:t>
            </w:r>
            <w:r w:rsidR="007D7A9B">
              <w:rPr>
                <w:b/>
                <w:bCs/>
                <w:color w:val="auto"/>
                <w:lang w:val="pl"/>
              </w:rPr>
              <w:t xml:space="preserve">nadzorowanej </w:t>
            </w:r>
            <w:r w:rsidRPr="002C7923">
              <w:rPr>
                <w:b/>
                <w:bCs/>
                <w:color w:val="auto"/>
                <w:lang w:val="pl"/>
              </w:rPr>
              <w:t>dwóch pierwszych pociągów wodorowych na świecie. Rozpoczyna się kolejna faza projektu</w:t>
            </w:r>
            <w:r>
              <w:rPr>
                <w:b/>
                <w:bCs/>
                <w:color w:val="auto"/>
                <w:lang w:val="pl"/>
              </w:rPr>
              <w:t xml:space="preserve"> </w:t>
            </w:r>
          </w:p>
          <w:bookmarkEnd w:id="0"/>
          <w:p w14:paraId="32E2BD0E" w14:textId="4D09774B" w:rsidR="009F29B0" w:rsidRPr="0045113F" w:rsidRDefault="009F29B0" w:rsidP="00212DFC">
            <w:pPr>
              <w:pStyle w:val="Akapitzlist"/>
              <w:numPr>
                <w:ilvl w:val="0"/>
                <w:numId w:val="3"/>
              </w:numPr>
              <w:rPr>
                <w:color w:val="auto"/>
                <w:lang w:val="pl-PL"/>
              </w:rPr>
            </w:pPr>
            <w:r w:rsidRPr="009F29B0"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 xml:space="preserve">Niezawodność technologii ogniw paliwowych </w:t>
            </w:r>
            <w:r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 xml:space="preserve">doskonale sprawdziła się w </w:t>
            </w:r>
            <w:r w:rsidRPr="009F29B0"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 xml:space="preserve">codziennej eksploatacji </w:t>
            </w:r>
            <w:r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>pociągów</w:t>
            </w:r>
          </w:p>
          <w:p w14:paraId="410F9B27" w14:textId="61340245" w:rsidR="00212DFC" w:rsidRPr="0045113F" w:rsidRDefault="00637F9D" w:rsidP="0045113F">
            <w:pPr>
              <w:pStyle w:val="Akapitzlist"/>
              <w:numPr>
                <w:ilvl w:val="0"/>
                <w:numId w:val="3"/>
              </w:numPr>
              <w:rPr>
                <w:color w:val="auto"/>
                <w:lang w:val="pl-PL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 xml:space="preserve">Regularne tankowanie 14 regionalnych pociągów wodorowych </w:t>
            </w:r>
            <w:proofErr w:type="spellStart"/>
            <w:r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>Coradia</w:t>
            </w:r>
            <w:proofErr w:type="spellEnd"/>
            <w:r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>iLint</w:t>
            </w:r>
            <w:proofErr w:type="spellEnd"/>
            <w:r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 xml:space="preserve"> </w:t>
            </w:r>
            <w:r w:rsidRPr="0045113F">
              <w:rPr>
                <w:rFonts w:asciiTheme="majorHAnsi" w:hAnsiTheme="majorHAnsi"/>
                <w:color w:val="auto"/>
                <w:sz w:val="24"/>
                <w:szCs w:val="24"/>
                <w:lang w:val="pl"/>
              </w:rPr>
              <w:t>już od 2022 r.</w:t>
            </w:r>
          </w:p>
        </w:tc>
      </w:tr>
    </w:tbl>
    <w:p w14:paraId="25FD98DA" w14:textId="640B80C1" w:rsidR="008F762D" w:rsidRPr="0045113F" w:rsidRDefault="00033E66" w:rsidP="00212DFC">
      <w:pPr>
        <w:pStyle w:val="Text"/>
        <w:rPr>
          <w:rStyle w:val="Textred"/>
          <w:color w:val="auto"/>
          <w:lang w:val="pl-PL"/>
        </w:rPr>
      </w:pPr>
      <w:r>
        <w:rPr>
          <w:noProof/>
          <w:lang w:val="pl-PL" w:eastAsia="zh-TW"/>
        </w:rPr>
        <w:drawing>
          <wp:anchor distT="0" distB="0" distL="114300" distR="114300" simplePos="0" relativeHeight="251658243" behindDoc="0" locked="0" layoutInCell="1" allowOverlap="1" wp14:anchorId="5887AD0F" wp14:editId="4517EB45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1504950" cy="42354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lang w:val="pl-PL" w:eastAsia="zh-TW"/>
        </w:rPr>
        <w:drawing>
          <wp:anchor distT="0" distB="0" distL="114300" distR="114300" simplePos="0" relativeHeight="251658242" behindDoc="0" locked="0" layoutInCell="1" allowOverlap="1" wp14:anchorId="02D25EC7" wp14:editId="28575F21">
            <wp:simplePos x="0" y="0"/>
            <wp:positionH relativeFrom="column">
              <wp:posOffset>4258310</wp:posOffset>
            </wp:positionH>
            <wp:positionV relativeFrom="paragraph">
              <wp:posOffset>9525</wp:posOffset>
            </wp:positionV>
            <wp:extent cx="1229360" cy="609600"/>
            <wp:effectExtent l="0" t="0" r="0" b="0"/>
            <wp:wrapSquare wrapText="bothSides"/>
            <wp:docPr id="3" name="Grafik 3" descr="Bildergebnis für lnv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nvg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677B1" w14:textId="19ABC186" w:rsidR="008F762D" w:rsidRPr="0045113F" w:rsidRDefault="008F762D" w:rsidP="00212DFC">
      <w:pPr>
        <w:pStyle w:val="Text"/>
        <w:rPr>
          <w:rStyle w:val="Textred"/>
          <w:color w:val="auto"/>
          <w:lang w:val="pl-PL"/>
        </w:rPr>
      </w:pPr>
    </w:p>
    <w:p w14:paraId="69B9ADE8" w14:textId="6C23A9E3" w:rsidR="008F762D" w:rsidRPr="0045113F" w:rsidRDefault="00212DFC" w:rsidP="00212DFC">
      <w:pPr>
        <w:pStyle w:val="Text"/>
        <w:rPr>
          <w:color w:val="auto"/>
          <w:lang w:val="pl-PL"/>
        </w:rPr>
      </w:pPr>
      <w:r>
        <w:rPr>
          <w:noProof/>
          <w:color w:val="auto"/>
          <w:lang w:val="pl-PL" w:eastAsia="zh-TW"/>
        </w:rPr>
        <w:drawing>
          <wp:anchor distT="0" distB="0" distL="114300" distR="114300" simplePos="0" relativeHeight="251658241" behindDoc="1" locked="0" layoutInCell="1" allowOverlap="1" wp14:anchorId="6F93B144" wp14:editId="1697E9CF">
            <wp:simplePos x="0" y="0"/>
            <wp:positionH relativeFrom="page">
              <wp:posOffset>1095375</wp:posOffset>
            </wp:positionH>
            <wp:positionV relativeFrom="page">
              <wp:posOffset>657397</wp:posOffset>
            </wp:positionV>
            <wp:extent cx="1243766" cy="4902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dia_briefing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t="55198"/>
                    <a:stretch/>
                  </pic:blipFill>
                  <pic:spPr bwMode="auto">
                    <a:xfrm>
                      <a:off x="0" y="0"/>
                      <a:ext cx="1243766" cy="49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Style w:val="Textred"/>
          <w:bCs/>
          <w:color w:val="auto"/>
          <w:lang w:val="pl"/>
        </w:rPr>
        <w:t>Bremervörde</w:t>
      </w:r>
      <w:proofErr w:type="spellEnd"/>
      <w:r w:rsidR="009F29B0">
        <w:rPr>
          <w:rStyle w:val="Textred"/>
          <w:bCs/>
          <w:color w:val="auto"/>
          <w:lang w:val="pl"/>
        </w:rPr>
        <w:t xml:space="preserve"> </w:t>
      </w:r>
      <w:r>
        <w:rPr>
          <w:rStyle w:val="Textred"/>
          <w:bCs/>
          <w:color w:val="auto"/>
          <w:lang w:val="pl"/>
        </w:rPr>
        <w:t>/</w:t>
      </w:r>
      <w:r w:rsidR="009F29B0">
        <w:rPr>
          <w:rStyle w:val="Textred"/>
          <w:bCs/>
          <w:color w:val="auto"/>
          <w:lang w:val="pl"/>
        </w:rPr>
        <w:t xml:space="preserve"> </w:t>
      </w:r>
      <w:r>
        <w:rPr>
          <w:rStyle w:val="Textred"/>
          <w:bCs/>
          <w:color w:val="auto"/>
          <w:lang w:val="pl"/>
        </w:rPr>
        <w:t>Niemcy, 19 maja 2020 r.</w:t>
      </w:r>
      <w:r>
        <w:rPr>
          <w:color w:val="auto"/>
          <w:lang w:val="pl"/>
        </w:rPr>
        <w:t xml:space="preserve"> – Pod koniec </w:t>
      </w:r>
      <w:r w:rsidR="000E6554">
        <w:rPr>
          <w:color w:val="auto"/>
          <w:lang w:val="pl"/>
        </w:rPr>
        <w:t>lutego</w:t>
      </w:r>
      <w:r>
        <w:rPr>
          <w:color w:val="auto"/>
          <w:lang w:val="pl"/>
        </w:rPr>
        <w:t xml:space="preserve">, po 530 dniach i ponad 180 </w:t>
      </w:r>
      <w:r w:rsidR="00F22326">
        <w:rPr>
          <w:color w:val="auto"/>
          <w:lang w:val="pl"/>
        </w:rPr>
        <w:t xml:space="preserve">tysiącach </w:t>
      </w:r>
      <w:r>
        <w:rPr>
          <w:color w:val="auto"/>
          <w:lang w:val="pl"/>
        </w:rPr>
        <w:t>przejechanych kilometrów</w:t>
      </w:r>
      <w:r w:rsidR="00672253">
        <w:rPr>
          <w:color w:val="auto"/>
          <w:lang w:val="pl"/>
        </w:rPr>
        <w:t>,</w:t>
      </w:r>
      <w:r>
        <w:rPr>
          <w:color w:val="auto"/>
          <w:lang w:val="pl"/>
        </w:rPr>
        <w:t xml:space="preserve"> dwa pierwsze na świecie pociągi wodorowe </w:t>
      </w:r>
      <w:r w:rsidR="00672253">
        <w:rPr>
          <w:color w:val="auto"/>
          <w:lang w:val="pl"/>
        </w:rPr>
        <w:t xml:space="preserve">pomyślnie </w:t>
      </w:r>
      <w:r>
        <w:rPr>
          <w:color w:val="auto"/>
          <w:lang w:val="pl"/>
        </w:rPr>
        <w:t xml:space="preserve">zakończyły </w:t>
      </w:r>
      <w:r w:rsidR="0056119B">
        <w:rPr>
          <w:color w:val="auto"/>
          <w:lang w:val="pl"/>
        </w:rPr>
        <w:t xml:space="preserve">oficjalnie </w:t>
      </w:r>
      <w:r w:rsidR="00202038">
        <w:rPr>
          <w:color w:val="auto"/>
          <w:lang w:val="pl"/>
        </w:rPr>
        <w:t>fazę testową</w:t>
      </w:r>
      <w:r>
        <w:rPr>
          <w:color w:val="auto"/>
          <w:lang w:val="pl"/>
        </w:rPr>
        <w:t xml:space="preserve">. Dwa </w:t>
      </w:r>
      <w:r w:rsidR="00202038">
        <w:rPr>
          <w:color w:val="auto"/>
          <w:lang w:val="pl"/>
        </w:rPr>
        <w:t xml:space="preserve">pociągi </w:t>
      </w:r>
      <w:proofErr w:type="spellStart"/>
      <w:r>
        <w:rPr>
          <w:color w:val="auto"/>
          <w:lang w:val="pl"/>
        </w:rPr>
        <w:t>Coradia</w:t>
      </w:r>
      <w:proofErr w:type="spellEnd"/>
      <w:r>
        <w:rPr>
          <w:color w:val="auto"/>
          <w:lang w:val="pl"/>
        </w:rPr>
        <w:t xml:space="preserve"> </w:t>
      </w:r>
      <w:proofErr w:type="spellStart"/>
      <w:r>
        <w:rPr>
          <w:color w:val="auto"/>
          <w:lang w:val="pl"/>
        </w:rPr>
        <w:t>iLint</w:t>
      </w:r>
      <w:proofErr w:type="spellEnd"/>
      <w:r w:rsidR="00202038">
        <w:rPr>
          <w:color w:val="auto"/>
          <w:lang w:val="pl"/>
        </w:rPr>
        <w:t>,</w:t>
      </w:r>
      <w:r>
        <w:rPr>
          <w:color w:val="auto"/>
          <w:lang w:val="pl"/>
        </w:rPr>
        <w:t xml:space="preserve"> </w:t>
      </w:r>
      <w:r w:rsidR="00202038">
        <w:rPr>
          <w:color w:val="auto"/>
          <w:lang w:val="pl"/>
        </w:rPr>
        <w:t xml:space="preserve">wyprodukowane przez </w:t>
      </w:r>
      <w:r>
        <w:rPr>
          <w:color w:val="auto"/>
          <w:lang w:val="pl"/>
        </w:rPr>
        <w:t>Alstom</w:t>
      </w:r>
      <w:r w:rsidR="008E067A">
        <w:rPr>
          <w:color w:val="auto"/>
          <w:lang w:val="pl"/>
        </w:rPr>
        <w:t xml:space="preserve"> w </w:t>
      </w:r>
      <w:r w:rsidR="00CF34AC">
        <w:rPr>
          <w:color w:val="auto"/>
          <w:lang w:val="pl"/>
        </w:rPr>
        <w:t>fazie poprzedzającej produkcję seryjną</w:t>
      </w:r>
      <w:r w:rsidR="00202038">
        <w:rPr>
          <w:color w:val="auto"/>
          <w:lang w:val="pl"/>
        </w:rPr>
        <w:t xml:space="preserve">, realizowały przewozy pasażerskie </w:t>
      </w:r>
      <w:r>
        <w:rPr>
          <w:color w:val="auto"/>
          <w:lang w:val="pl"/>
        </w:rPr>
        <w:t>od września 2018 r.</w:t>
      </w:r>
    </w:p>
    <w:p w14:paraId="726A02FE" w14:textId="6801C095" w:rsidR="00B02B00" w:rsidRPr="0045113F" w:rsidRDefault="00B02B00" w:rsidP="00212DFC">
      <w:pPr>
        <w:pStyle w:val="Text"/>
        <w:rPr>
          <w:color w:val="auto"/>
          <w:lang w:val="pl-PL"/>
        </w:rPr>
      </w:pPr>
    </w:p>
    <w:p w14:paraId="26460D24" w14:textId="33D979FF" w:rsidR="00B02B00" w:rsidRPr="00E76BD2" w:rsidRDefault="00B02B00" w:rsidP="00212DFC">
      <w:pPr>
        <w:pStyle w:val="Text"/>
        <w:rPr>
          <w:color w:val="auto"/>
          <w:lang w:val="pl"/>
        </w:rPr>
      </w:pPr>
      <w:r>
        <w:rPr>
          <w:color w:val="auto"/>
          <w:lang w:val="pl"/>
        </w:rPr>
        <w:t xml:space="preserve">Począwszy od 2022 r. </w:t>
      </w:r>
      <w:r w:rsidR="00C11D3A">
        <w:rPr>
          <w:color w:val="auto"/>
          <w:lang w:val="pl"/>
        </w:rPr>
        <w:t xml:space="preserve">14 </w:t>
      </w:r>
      <w:r>
        <w:rPr>
          <w:color w:val="auto"/>
          <w:lang w:val="pl"/>
        </w:rPr>
        <w:t>pociąg</w:t>
      </w:r>
      <w:r w:rsidR="009B0818">
        <w:rPr>
          <w:color w:val="auto"/>
          <w:lang w:val="pl"/>
        </w:rPr>
        <w:t>ów</w:t>
      </w:r>
      <w:r>
        <w:rPr>
          <w:color w:val="auto"/>
          <w:lang w:val="pl"/>
        </w:rPr>
        <w:t xml:space="preserve"> </w:t>
      </w:r>
      <w:proofErr w:type="spellStart"/>
      <w:r>
        <w:rPr>
          <w:color w:val="auto"/>
          <w:lang w:val="pl"/>
        </w:rPr>
        <w:t>Coradia</w:t>
      </w:r>
      <w:proofErr w:type="spellEnd"/>
      <w:r>
        <w:rPr>
          <w:color w:val="auto"/>
          <w:lang w:val="pl"/>
        </w:rPr>
        <w:t xml:space="preserve"> </w:t>
      </w:r>
      <w:proofErr w:type="spellStart"/>
      <w:r>
        <w:rPr>
          <w:color w:val="auto"/>
          <w:lang w:val="pl"/>
        </w:rPr>
        <w:t>iLint</w:t>
      </w:r>
      <w:proofErr w:type="spellEnd"/>
      <w:r>
        <w:rPr>
          <w:color w:val="auto"/>
          <w:lang w:val="pl"/>
        </w:rPr>
        <w:t xml:space="preserve"> zastąpi</w:t>
      </w:r>
      <w:r w:rsidR="0056119B">
        <w:rPr>
          <w:color w:val="auto"/>
          <w:lang w:val="pl"/>
        </w:rPr>
        <w:t>,</w:t>
      </w:r>
      <w:r>
        <w:rPr>
          <w:color w:val="auto"/>
          <w:lang w:val="pl"/>
        </w:rPr>
        <w:t xml:space="preserve"> będące obecnie w eksploatacji</w:t>
      </w:r>
      <w:r w:rsidR="0056119B">
        <w:rPr>
          <w:color w:val="auto"/>
          <w:lang w:val="pl"/>
        </w:rPr>
        <w:t>,</w:t>
      </w:r>
      <w:r>
        <w:rPr>
          <w:color w:val="auto"/>
          <w:lang w:val="pl"/>
        </w:rPr>
        <w:t xml:space="preserve"> spalinowe zespoły trakcyjne. </w:t>
      </w:r>
      <w:r w:rsidR="00BE35EA">
        <w:rPr>
          <w:color w:val="auto"/>
          <w:lang w:val="pl"/>
        </w:rPr>
        <w:t xml:space="preserve">Jako </w:t>
      </w:r>
      <w:r w:rsidR="005F388C">
        <w:rPr>
          <w:color w:val="auto"/>
          <w:lang w:val="pl"/>
        </w:rPr>
        <w:t>pierwsz</w:t>
      </w:r>
      <w:r w:rsidR="00315799">
        <w:rPr>
          <w:color w:val="auto"/>
          <w:lang w:val="pl"/>
        </w:rPr>
        <w:t>a</w:t>
      </w:r>
      <w:r w:rsidR="005F388C">
        <w:rPr>
          <w:color w:val="auto"/>
          <w:lang w:val="pl"/>
        </w:rPr>
        <w:t xml:space="preserve"> </w:t>
      </w:r>
      <w:r w:rsidR="008C4D1A">
        <w:rPr>
          <w:color w:val="auto"/>
          <w:lang w:val="pl"/>
        </w:rPr>
        <w:t>zaufał</w:t>
      </w:r>
      <w:r w:rsidR="00315799">
        <w:rPr>
          <w:color w:val="auto"/>
          <w:lang w:val="pl"/>
        </w:rPr>
        <w:t>a</w:t>
      </w:r>
      <w:r w:rsidR="008C4D1A">
        <w:rPr>
          <w:color w:val="auto"/>
          <w:lang w:val="pl"/>
        </w:rPr>
        <w:t xml:space="preserve"> </w:t>
      </w:r>
      <w:r w:rsidR="005249F9">
        <w:rPr>
          <w:color w:val="auto"/>
          <w:lang w:val="pl"/>
        </w:rPr>
        <w:t>technologii</w:t>
      </w:r>
      <w:r w:rsidR="002F3774">
        <w:rPr>
          <w:color w:val="auto"/>
          <w:lang w:val="pl"/>
        </w:rPr>
        <w:t xml:space="preserve"> wodoro</w:t>
      </w:r>
      <w:r w:rsidR="008C4D1A">
        <w:rPr>
          <w:color w:val="auto"/>
          <w:lang w:val="pl"/>
        </w:rPr>
        <w:t>wej</w:t>
      </w:r>
      <w:r w:rsidR="002F3774">
        <w:rPr>
          <w:color w:val="auto"/>
          <w:lang w:val="pl"/>
        </w:rPr>
        <w:t xml:space="preserve"> </w:t>
      </w:r>
      <w:r w:rsidR="00AC7D13">
        <w:rPr>
          <w:color w:val="auto"/>
          <w:lang w:val="pl"/>
        </w:rPr>
        <w:t>Spółka</w:t>
      </w:r>
      <w:r w:rsidR="005F388C">
        <w:rPr>
          <w:color w:val="auto"/>
          <w:lang w:val="pl"/>
        </w:rPr>
        <w:t xml:space="preserve"> dla </w:t>
      </w:r>
      <w:r w:rsidR="002D6C5E">
        <w:rPr>
          <w:color w:val="auto"/>
          <w:lang w:val="pl"/>
        </w:rPr>
        <w:t xml:space="preserve">Ruchu Regionalnego (LNVG) z niemieckiego kraju </w:t>
      </w:r>
      <w:r w:rsidR="008B3EBF">
        <w:rPr>
          <w:color w:val="auto"/>
          <w:lang w:val="pl"/>
        </w:rPr>
        <w:t xml:space="preserve">związkowego </w:t>
      </w:r>
      <w:r w:rsidR="002D6C5E">
        <w:rPr>
          <w:color w:val="auto"/>
          <w:lang w:val="pl"/>
        </w:rPr>
        <w:t>Dolnej Sakson</w:t>
      </w:r>
      <w:r w:rsidR="008B3EBF">
        <w:rPr>
          <w:color w:val="auto"/>
          <w:lang w:val="pl"/>
        </w:rPr>
        <w:t>i</w:t>
      </w:r>
      <w:r w:rsidR="002D6C5E">
        <w:rPr>
          <w:color w:val="auto"/>
          <w:lang w:val="pl"/>
        </w:rPr>
        <w:t>i</w:t>
      </w:r>
      <w:r w:rsidR="008C4D1A">
        <w:rPr>
          <w:color w:val="auto"/>
          <w:lang w:val="pl"/>
        </w:rPr>
        <w:t xml:space="preserve">, </w:t>
      </w:r>
      <w:r w:rsidR="008B3EBF">
        <w:rPr>
          <w:color w:val="auto"/>
          <w:lang w:val="pl"/>
        </w:rPr>
        <w:t>zamawiają</w:t>
      </w:r>
      <w:r w:rsidR="005249F9">
        <w:rPr>
          <w:color w:val="auto"/>
          <w:lang w:val="pl"/>
        </w:rPr>
        <w:t>c</w:t>
      </w:r>
      <w:r w:rsidR="00F3683A">
        <w:rPr>
          <w:color w:val="auto"/>
          <w:lang w:val="pl"/>
        </w:rPr>
        <w:t xml:space="preserve"> </w:t>
      </w:r>
      <w:r>
        <w:rPr>
          <w:color w:val="auto"/>
          <w:lang w:val="pl"/>
        </w:rPr>
        <w:t xml:space="preserve">14 składów </w:t>
      </w:r>
      <w:proofErr w:type="spellStart"/>
      <w:r>
        <w:rPr>
          <w:color w:val="auto"/>
          <w:lang w:val="pl"/>
        </w:rPr>
        <w:t>Coradia</w:t>
      </w:r>
      <w:proofErr w:type="spellEnd"/>
      <w:r>
        <w:rPr>
          <w:color w:val="auto"/>
          <w:lang w:val="pl"/>
        </w:rPr>
        <w:t xml:space="preserve"> </w:t>
      </w:r>
      <w:proofErr w:type="spellStart"/>
      <w:r>
        <w:rPr>
          <w:color w:val="auto"/>
          <w:lang w:val="pl"/>
        </w:rPr>
        <w:t>iLint</w:t>
      </w:r>
      <w:proofErr w:type="spellEnd"/>
      <w:r>
        <w:rPr>
          <w:color w:val="auto"/>
          <w:lang w:val="pl"/>
        </w:rPr>
        <w:t xml:space="preserve"> </w:t>
      </w:r>
      <w:r w:rsidR="00BE35EA">
        <w:rPr>
          <w:color w:val="auto"/>
          <w:lang w:val="pl"/>
        </w:rPr>
        <w:t>wraz</w:t>
      </w:r>
      <w:r>
        <w:rPr>
          <w:color w:val="auto"/>
          <w:lang w:val="pl"/>
        </w:rPr>
        <w:t xml:space="preserve"> </w:t>
      </w:r>
      <w:r w:rsidR="00A33432">
        <w:rPr>
          <w:color w:val="auto"/>
          <w:lang w:val="pl"/>
        </w:rPr>
        <w:t xml:space="preserve">z </w:t>
      </w:r>
      <w:r>
        <w:rPr>
          <w:color w:val="auto"/>
          <w:lang w:val="pl"/>
        </w:rPr>
        <w:t>usług</w:t>
      </w:r>
      <w:r w:rsidR="00A33432">
        <w:rPr>
          <w:color w:val="auto"/>
          <w:lang w:val="pl"/>
        </w:rPr>
        <w:t>ą</w:t>
      </w:r>
      <w:r>
        <w:rPr>
          <w:color w:val="auto"/>
          <w:lang w:val="pl"/>
        </w:rPr>
        <w:t xml:space="preserve"> </w:t>
      </w:r>
      <w:r w:rsidR="00A33432">
        <w:rPr>
          <w:color w:val="auto"/>
          <w:lang w:val="pl"/>
        </w:rPr>
        <w:t xml:space="preserve">serwisowania </w:t>
      </w:r>
      <w:r>
        <w:rPr>
          <w:color w:val="auto"/>
          <w:lang w:val="pl"/>
        </w:rPr>
        <w:t xml:space="preserve">i </w:t>
      </w:r>
      <w:r w:rsidR="00F3683A">
        <w:rPr>
          <w:color w:val="auto"/>
          <w:lang w:val="pl"/>
        </w:rPr>
        <w:t>dostawą paliwa wodorowego</w:t>
      </w:r>
      <w:r>
        <w:rPr>
          <w:color w:val="auto"/>
          <w:lang w:val="pl"/>
        </w:rPr>
        <w:t xml:space="preserve"> </w:t>
      </w:r>
      <w:r w:rsidR="0056119B">
        <w:rPr>
          <w:color w:val="auto"/>
          <w:lang w:val="pl"/>
        </w:rPr>
        <w:t xml:space="preserve">na </w:t>
      </w:r>
      <w:r>
        <w:rPr>
          <w:color w:val="auto"/>
          <w:lang w:val="pl"/>
        </w:rPr>
        <w:t xml:space="preserve">30 lat. </w:t>
      </w:r>
      <w:r w:rsidR="00A33432">
        <w:rPr>
          <w:color w:val="auto"/>
          <w:lang w:val="pl"/>
        </w:rPr>
        <w:t xml:space="preserve">Projekt ten pokazuje jak ważny jest </w:t>
      </w:r>
      <w:r>
        <w:rPr>
          <w:color w:val="auto"/>
          <w:lang w:val="pl"/>
        </w:rPr>
        <w:t xml:space="preserve">rozwój </w:t>
      </w:r>
      <w:r w:rsidR="00A33432">
        <w:rPr>
          <w:color w:val="auto"/>
          <w:lang w:val="pl"/>
        </w:rPr>
        <w:t xml:space="preserve">zrównoważonej </w:t>
      </w:r>
      <w:r>
        <w:rPr>
          <w:color w:val="auto"/>
          <w:lang w:val="pl"/>
        </w:rPr>
        <w:t xml:space="preserve">mobilności </w:t>
      </w:r>
      <w:r w:rsidR="00A33432">
        <w:rPr>
          <w:color w:val="auto"/>
          <w:lang w:val="pl"/>
        </w:rPr>
        <w:t xml:space="preserve">dla regionu </w:t>
      </w:r>
      <w:r>
        <w:rPr>
          <w:color w:val="auto"/>
          <w:lang w:val="pl"/>
        </w:rPr>
        <w:t xml:space="preserve">Dolnej Saksonii. </w:t>
      </w:r>
      <w:r w:rsidR="00A33432">
        <w:rPr>
          <w:color w:val="auto"/>
          <w:lang w:val="pl"/>
        </w:rPr>
        <w:t>Alstom, j</w:t>
      </w:r>
      <w:r>
        <w:rPr>
          <w:color w:val="auto"/>
          <w:lang w:val="pl"/>
        </w:rPr>
        <w:t>ako jeden z czołowych producentów pojazdów kolejowych w Europ</w:t>
      </w:r>
      <w:r w:rsidR="00A33432">
        <w:rPr>
          <w:color w:val="auto"/>
          <w:lang w:val="pl"/>
        </w:rPr>
        <w:t xml:space="preserve">ie, dostarczy </w:t>
      </w:r>
      <w:r>
        <w:rPr>
          <w:color w:val="auto"/>
          <w:lang w:val="pl"/>
        </w:rPr>
        <w:t>pociągi napędzane wodorowymi ogniwami paliwowymi dla LNVG,</w:t>
      </w:r>
      <w:r w:rsidR="008D27D5">
        <w:rPr>
          <w:color w:val="auto"/>
          <w:lang w:val="pl"/>
        </w:rPr>
        <w:t> </w:t>
      </w:r>
      <w:r>
        <w:rPr>
          <w:color w:val="auto"/>
          <w:lang w:val="pl"/>
        </w:rPr>
        <w:t>a</w:t>
      </w:r>
      <w:r w:rsidR="00E76BD2">
        <w:rPr>
          <w:color w:val="auto"/>
          <w:lang w:val="pl"/>
        </w:rPr>
        <w:t xml:space="preserve"> </w:t>
      </w:r>
      <w:r>
        <w:rPr>
          <w:color w:val="auto"/>
          <w:lang w:val="pl"/>
        </w:rPr>
        <w:t xml:space="preserve">także zapewni </w:t>
      </w:r>
      <w:r w:rsidR="00A33432">
        <w:rPr>
          <w:color w:val="auto"/>
          <w:lang w:val="pl"/>
        </w:rPr>
        <w:t xml:space="preserve">serwis </w:t>
      </w:r>
      <w:r>
        <w:rPr>
          <w:color w:val="auto"/>
          <w:lang w:val="pl"/>
        </w:rPr>
        <w:t xml:space="preserve">pojazdów w swoim zakładzie w Salzgitter. </w:t>
      </w:r>
      <w:r w:rsidR="00A33432">
        <w:rPr>
          <w:color w:val="auto"/>
          <w:lang w:val="pl"/>
        </w:rPr>
        <w:t xml:space="preserve">Ponadto </w:t>
      </w:r>
      <w:r w:rsidR="0056119B">
        <w:rPr>
          <w:color w:val="auto"/>
          <w:lang w:val="pl"/>
        </w:rPr>
        <w:t xml:space="preserve">firma Linde, </w:t>
      </w:r>
      <w:r>
        <w:rPr>
          <w:color w:val="auto"/>
          <w:lang w:val="pl"/>
        </w:rPr>
        <w:t xml:space="preserve">zajmująca się dystrybucją gazów, </w:t>
      </w:r>
      <w:r w:rsidR="00A33432">
        <w:rPr>
          <w:color w:val="auto"/>
          <w:lang w:val="pl"/>
        </w:rPr>
        <w:t xml:space="preserve">zbuduje i będzie obsługiwać </w:t>
      </w:r>
      <w:r>
        <w:rPr>
          <w:color w:val="auto"/>
          <w:lang w:val="pl"/>
        </w:rPr>
        <w:t>stacj</w:t>
      </w:r>
      <w:r w:rsidR="00A33432">
        <w:rPr>
          <w:color w:val="auto"/>
          <w:lang w:val="pl"/>
        </w:rPr>
        <w:t>ę</w:t>
      </w:r>
      <w:r>
        <w:rPr>
          <w:color w:val="auto"/>
          <w:lang w:val="pl"/>
        </w:rPr>
        <w:t xml:space="preserve"> tankowania wodoru dla </w:t>
      </w:r>
      <w:r w:rsidR="0056119B">
        <w:rPr>
          <w:color w:val="auto"/>
          <w:lang w:val="pl"/>
        </w:rPr>
        <w:t xml:space="preserve">tej </w:t>
      </w:r>
      <w:r>
        <w:rPr>
          <w:color w:val="auto"/>
          <w:lang w:val="pl"/>
        </w:rPr>
        <w:t>rodziny pociągów</w:t>
      </w:r>
      <w:r w:rsidR="00A33432">
        <w:rPr>
          <w:color w:val="auto"/>
          <w:lang w:val="pl"/>
        </w:rPr>
        <w:t xml:space="preserve">, zlokalizowaną </w:t>
      </w:r>
      <w:r>
        <w:rPr>
          <w:color w:val="auto"/>
          <w:lang w:val="pl"/>
        </w:rPr>
        <w:t xml:space="preserve">w pobliżu stacji </w:t>
      </w:r>
      <w:proofErr w:type="spellStart"/>
      <w:r w:rsidR="00A33432" w:rsidRPr="008A2052">
        <w:rPr>
          <w:color w:val="auto"/>
          <w:lang w:val="pl-PL"/>
        </w:rPr>
        <w:t>Bremervoerde</w:t>
      </w:r>
      <w:proofErr w:type="spellEnd"/>
      <w:r w:rsidR="00A33432" w:rsidRPr="008A2052">
        <w:rPr>
          <w:color w:val="auto"/>
          <w:lang w:val="pl-PL"/>
        </w:rPr>
        <w:t>.</w:t>
      </w:r>
    </w:p>
    <w:p w14:paraId="4FC54A4F" w14:textId="5EC0966F" w:rsidR="008F762D" w:rsidRPr="0045113F" w:rsidRDefault="008F762D" w:rsidP="00212DFC">
      <w:pPr>
        <w:pStyle w:val="Text"/>
        <w:rPr>
          <w:color w:val="auto"/>
          <w:lang w:val="pl-PL"/>
        </w:rPr>
      </w:pPr>
    </w:p>
    <w:p w14:paraId="547AFF8A" w14:textId="46C3FCB6" w:rsidR="008F762D" w:rsidRPr="0061752E" w:rsidRDefault="008F762D" w:rsidP="008F762D">
      <w:pPr>
        <w:pStyle w:val="Text"/>
        <w:rPr>
          <w:color w:val="auto"/>
          <w:lang w:val="pl-PL"/>
        </w:rPr>
      </w:pPr>
      <w:r>
        <w:rPr>
          <w:color w:val="auto"/>
          <w:lang w:val="pl"/>
        </w:rPr>
        <w:t>„Przez ostatnie półtora roku nasze dwa pociąg</w:t>
      </w:r>
      <w:r w:rsidR="00A33432">
        <w:rPr>
          <w:color w:val="auto"/>
          <w:lang w:val="pl"/>
        </w:rPr>
        <w:t>i</w:t>
      </w:r>
      <w:r>
        <w:rPr>
          <w:color w:val="auto"/>
          <w:lang w:val="pl"/>
        </w:rPr>
        <w:t xml:space="preserve"> </w:t>
      </w:r>
      <w:proofErr w:type="spellStart"/>
      <w:r>
        <w:rPr>
          <w:color w:val="auto"/>
          <w:lang w:val="pl"/>
        </w:rPr>
        <w:t>Coradia</w:t>
      </w:r>
      <w:proofErr w:type="spellEnd"/>
      <w:r>
        <w:rPr>
          <w:color w:val="auto"/>
          <w:lang w:val="pl"/>
        </w:rPr>
        <w:t xml:space="preserve"> </w:t>
      </w:r>
      <w:proofErr w:type="spellStart"/>
      <w:r>
        <w:rPr>
          <w:color w:val="auto"/>
          <w:lang w:val="pl"/>
        </w:rPr>
        <w:t>iLint</w:t>
      </w:r>
      <w:proofErr w:type="spellEnd"/>
      <w:r>
        <w:rPr>
          <w:color w:val="auto"/>
          <w:lang w:val="pl"/>
        </w:rPr>
        <w:t xml:space="preserve"> </w:t>
      </w:r>
      <w:r w:rsidR="002E54AC">
        <w:rPr>
          <w:color w:val="auto"/>
          <w:lang w:val="pl"/>
        </w:rPr>
        <w:t xml:space="preserve">poprzedzające produkcję seryjną </w:t>
      </w:r>
      <w:r>
        <w:rPr>
          <w:color w:val="auto"/>
          <w:lang w:val="pl"/>
        </w:rPr>
        <w:t xml:space="preserve">udowodniły, że technologia ogniw </w:t>
      </w:r>
      <w:r w:rsidR="00A33432">
        <w:rPr>
          <w:color w:val="auto"/>
          <w:lang w:val="pl"/>
        </w:rPr>
        <w:t xml:space="preserve">wodorowych </w:t>
      </w:r>
      <w:r>
        <w:rPr>
          <w:color w:val="auto"/>
          <w:lang w:val="pl"/>
        </w:rPr>
        <w:t xml:space="preserve">może być z powodzeniem stosowana w </w:t>
      </w:r>
      <w:r w:rsidR="003D54B7">
        <w:rPr>
          <w:color w:val="auto"/>
          <w:lang w:val="pl"/>
        </w:rPr>
        <w:t xml:space="preserve">codziennej </w:t>
      </w:r>
      <w:r w:rsidR="00A33432">
        <w:rPr>
          <w:color w:val="auto"/>
          <w:lang w:val="pl"/>
        </w:rPr>
        <w:t xml:space="preserve">obsłudze składów pasażerskich. </w:t>
      </w:r>
      <w:r w:rsidR="00A33432" w:rsidRPr="00A33432">
        <w:rPr>
          <w:color w:val="auto"/>
          <w:lang w:val="pl"/>
        </w:rPr>
        <w:t xml:space="preserve">To </w:t>
      </w:r>
      <w:r w:rsidR="00A33432">
        <w:rPr>
          <w:color w:val="auto"/>
          <w:lang w:val="pl"/>
        </w:rPr>
        <w:t xml:space="preserve">dla </w:t>
      </w:r>
      <w:r w:rsidR="00A33432" w:rsidRPr="00A33432">
        <w:rPr>
          <w:color w:val="auto"/>
          <w:lang w:val="pl"/>
        </w:rPr>
        <w:t>nas ważn</w:t>
      </w:r>
      <w:r w:rsidR="00A33432">
        <w:rPr>
          <w:color w:val="auto"/>
          <w:lang w:val="pl"/>
        </w:rPr>
        <w:t>a</w:t>
      </w:r>
      <w:r w:rsidR="00A33432" w:rsidRPr="00A33432">
        <w:rPr>
          <w:color w:val="auto"/>
          <w:lang w:val="pl"/>
        </w:rPr>
        <w:t xml:space="preserve"> sił</w:t>
      </w:r>
      <w:r w:rsidR="00A33432">
        <w:rPr>
          <w:color w:val="auto"/>
          <w:lang w:val="pl"/>
        </w:rPr>
        <w:t>a</w:t>
      </w:r>
      <w:r w:rsidR="00A33432" w:rsidRPr="00A33432">
        <w:rPr>
          <w:color w:val="auto"/>
          <w:lang w:val="pl"/>
        </w:rPr>
        <w:t xml:space="preserve"> napędow</w:t>
      </w:r>
      <w:r w:rsidR="00A33432">
        <w:rPr>
          <w:color w:val="auto"/>
          <w:lang w:val="pl"/>
        </w:rPr>
        <w:t>a</w:t>
      </w:r>
      <w:r w:rsidR="00A33432" w:rsidRPr="00A33432">
        <w:rPr>
          <w:color w:val="auto"/>
          <w:lang w:val="pl"/>
        </w:rPr>
        <w:t xml:space="preserve"> na drodze do </w:t>
      </w:r>
      <w:proofErr w:type="spellStart"/>
      <w:r>
        <w:rPr>
          <w:color w:val="auto"/>
          <w:lang w:val="pl"/>
        </w:rPr>
        <w:t>bezemisyjnej</w:t>
      </w:r>
      <w:proofErr w:type="spellEnd"/>
      <w:r>
        <w:rPr>
          <w:color w:val="auto"/>
          <w:lang w:val="pl"/>
        </w:rPr>
        <w:t xml:space="preserve"> i zrównoważonej mobilności w transporcie kolejowym” – </w:t>
      </w:r>
      <w:r w:rsidR="0056119B">
        <w:rPr>
          <w:color w:val="auto"/>
          <w:lang w:val="pl"/>
        </w:rPr>
        <w:t xml:space="preserve">powiedział </w:t>
      </w:r>
      <w:proofErr w:type="spellStart"/>
      <w:r>
        <w:rPr>
          <w:b/>
          <w:bCs/>
          <w:color w:val="auto"/>
          <w:lang w:val="pl"/>
        </w:rPr>
        <w:t>Jörg</w:t>
      </w:r>
      <w:proofErr w:type="spellEnd"/>
      <w:r>
        <w:rPr>
          <w:b/>
          <w:bCs/>
          <w:color w:val="auto"/>
          <w:lang w:val="pl"/>
        </w:rPr>
        <w:t xml:space="preserve"> </w:t>
      </w:r>
      <w:proofErr w:type="spellStart"/>
      <w:r>
        <w:rPr>
          <w:b/>
          <w:bCs/>
          <w:color w:val="auto"/>
          <w:lang w:val="pl"/>
        </w:rPr>
        <w:t>Nikutta</w:t>
      </w:r>
      <w:proofErr w:type="spellEnd"/>
      <w:r>
        <w:rPr>
          <w:b/>
          <w:bCs/>
          <w:color w:val="auto"/>
          <w:lang w:val="pl"/>
        </w:rPr>
        <w:t xml:space="preserve">, Dyrektor Zarządzający na Niemcy i Austrię, Alstom Transport </w:t>
      </w:r>
      <w:proofErr w:type="spellStart"/>
      <w:r>
        <w:rPr>
          <w:b/>
          <w:bCs/>
          <w:color w:val="auto"/>
          <w:lang w:val="pl"/>
        </w:rPr>
        <w:t>Deutschland</w:t>
      </w:r>
      <w:proofErr w:type="spellEnd"/>
      <w:r>
        <w:rPr>
          <w:b/>
          <w:bCs/>
          <w:color w:val="auto"/>
          <w:lang w:val="pl"/>
        </w:rPr>
        <w:t xml:space="preserve"> GmbH</w:t>
      </w:r>
      <w:r>
        <w:rPr>
          <w:color w:val="auto"/>
          <w:lang w:val="pl"/>
        </w:rPr>
        <w:t xml:space="preserve">. „Podczas testów eksploatacyjnych pociągów wodorowych pozyskaliśmy także cenne dane, które posłużą </w:t>
      </w:r>
      <w:r w:rsidR="00111993">
        <w:rPr>
          <w:color w:val="auto"/>
          <w:lang w:val="pl"/>
        </w:rPr>
        <w:t xml:space="preserve">nam </w:t>
      </w:r>
      <w:r>
        <w:rPr>
          <w:color w:val="auto"/>
          <w:lang w:val="pl"/>
        </w:rPr>
        <w:t>do dalszego rozwoju technologii</w:t>
      </w:r>
      <w:r w:rsidR="000F0F8A">
        <w:rPr>
          <w:color w:val="auto"/>
          <w:lang w:val="pl"/>
        </w:rPr>
        <w:t xml:space="preserve"> napędowej</w:t>
      </w:r>
      <w:r>
        <w:rPr>
          <w:color w:val="auto"/>
          <w:lang w:val="pl"/>
        </w:rPr>
        <w:t xml:space="preserve">”.  </w:t>
      </w:r>
    </w:p>
    <w:p w14:paraId="1D580315" w14:textId="03673181" w:rsidR="008F762D" w:rsidRPr="0061752E" w:rsidRDefault="008F762D" w:rsidP="00212DFC">
      <w:pPr>
        <w:pStyle w:val="Text"/>
        <w:rPr>
          <w:color w:val="auto"/>
          <w:lang w:val="pl-PL"/>
        </w:rPr>
      </w:pPr>
    </w:p>
    <w:p w14:paraId="228C4BDB" w14:textId="1C7A7D9F" w:rsidR="008F762D" w:rsidRPr="0061752E" w:rsidRDefault="008F762D" w:rsidP="008F762D">
      <w:pPr>
        <w:pStyle w:val="Text"/>
        <w:rPr>
          <w:color w:val="auto"/>
          <w:lang w:val="pl-PL"/>
        </w:rPr>
      </w:pPr>
      <w:r>
        <w:rPr>
          <w:color w:val="auto"/>
          <w:lang w:val="pl"/>
        </w:rPr>
        <w:t>„Jesteśmy dumni, że jako pierwszy operator kolejowy na świecie</w:t>
      </w:r>
      <w:r w:rsidR="00111993">
        <w:rPr>
          <w:color w:val="auto"/>
          <w:lang w:val="pl"/>
        </w:rPr>
        <w:t>,</w:t>
      </w:r>
      <w:r>
        <w:rPr>
          <w:color w:val="auto"/>
          <w:lang w:val="pl"/>
        </w:rPr>
        <w:t xml:space="preserve"> mamy możliwość obsługiwania dwóch pierwszych pociągów napędzanych ogniwami paliwowymi </w:t>
      </w:r>
      <w:r w:rsidR="008972B8">
        <w:rPr>
          <w:color w:val="auto"/>
          <w:lang w:val="pl"/>
        </w:rPr>
        <w:t xml:space="preserve">na sieci </w:t>
      </w:r>
      <w:proofErr w:type="spellStart"/>
      <w:r>
        <w:rPr>
          <w:color w:val="auto"/>
          <w:lang w:val="pl"/>
        </w:rPr>
        <w:t>Weser-Elbe</w:t>
      </w:r>
      <w:proofErr w:type="spellEnd"/>
      <w:r>
        <w:rPr>
          <w:color w:val="auto"/>
          <w:lang w:val="pl"/>
        </w:rPr>
        <w:t>.</w:t>
      </w:r>
      <w:r w:rsidR="0056119B">
        <w:rPr>
          <w:color w:val="auto"/>
          <w:lang w:val="pl"/>
        </w:rPr>
        <w:t xml:space="preserve"> </w:t>
      </w:r>
      <w:r>
        <w:rPr>
          <w:color w:val="auto"/>
          <w:lang w:val="pl"/>
        </w:rPr>
        <w:t xml:space="preserve">Od samego początku nasi pasażerowie wykazywali duże zainteresowanie tymi pociągami i wykorzystaną w nich technologią </w:t>
      </w:r>
      <w:r w:rsidR="00111993">
        <w:rPr>
          <w:color w:val="auto"/>
          <w:lang w:val="pl"/>
        </w:rPr>
        <w:t>wodorową</w:t>
      </w:r>
      <w:r>
        <w:rPr>
          <w:color w:val="auto"/>
          <w:lang w:val="pl"/>
        </w:rPr>
        <w:t xml:space="preserve">. </w:t>
      </w:r>
      <w:r w:rsidR="00111993" w:rsidRPr="00111993">
        <w:rPr>
          <w:color w:val="auto"/>
          <w:lang w:val="pl"/>
        </w:rPr>
        <w:t>Oprócz bardzo niskiego poziomu hałasu</w:t>
      </w:r>
      <w:r w:rsidR="00111993">
        <w:rPr>
          <w:color w:val="auto"/>
          <w:lang w:val="pl"/>
        </w:rPr>
        <w:t>,</w:t>
      </w:r>
      <w:r w:rsidR="00111993" w:rsidRPr="00111993">
        <w:rPr>
          <w:color w:val="auto"/>
          <w:lang w:val="pl"/>
        </w:rPr>
        <w:t xml:space="preserve"> pociąg wodorowy</w:t>
      </w:r>
      <w:r w:rsidR="00111993">
        <w:rPr>
          <w:color w:val="auto"/>
          <w:lang w:val="pl"/>
        </w:rPr>
        <w:t xml:space="preserve"> osi</w:t>
      </w:r>
      <w:r w:rsidR="00420571">
        <w:rPr>
          <w:color w:val="auto"/>
          <w:lang w:val="pl"/>
        </w:rPr>
        <w:t>ą</w:t>
      </w:r>
      <w:r w:rsidR="00111993">
        <w:rPr>
          <w:color w:val="auto"/>
          <w:lang w:val="pl"/>
        </w:rPr>
        <w:t>g</w:t>
      </w:r>
      <w:r w:rsidR="00420571">
        <w:rPr>
          <w:color w:val="auto"/>
          <w:lang w:val="pl"/>
        </w:rPr>
        <w:t>a</w:t>
      </w:r>
      <w:r w:rsidR="00111993">
        <w:rPr>
          <w:color w:val="auto"/>
          <w:lang w:val="pl"/>
        </w:rPr>
        <w:t xml:space="preserve">ł znakomite wyniki jako pojazd </w:t>
      </w:r>
      <w:proofErr w:type="spellStart"/>
      <w:r w:rsidR="00111993">
        <w:rPr>
          <w:color w:val="auto"/>
          <w:lang w:val="pl"/>
        </w:rPr>
        <w:t>bezemisyjny</w:t>
      </w:r>
      <w:proofErr w:type="spellEnd"/>
      <w:r w:rsidR="00111993">
        <w:rPr>
          <w:color w:val="auto"/>
          <w:lang w:val="pl"/>
        </w:rPr>
        <w:t xml:space="preserve">, co jest szczególnie istotne w obliczu zachodzących zmian klimatycznych. </w:t>
      </w:r>
      <w:r w:rsidR="0056119B">
        <w:rPr>
          <w:color w:val="auto"/>
          <w:lang w:val="pl"/>
        </w:rPr>
        <w:t>Co więcej, o</w:t>
      </w:r>
      <w:r>
        <w:rPr>
          <w:color w:val="auto"/>
          <w:lang w:val="pl"/>
        </w:rPr>
        <w:t xml:space="preserve">bsługa pociągów </w:t>
      </w:r>
      <w:proofErr w:type="spellStart"/>
      <w:r>
        <w:rPr>
          <w:color w:val="auto"/>
          <w:lang w:val="pl"/>
        </w:rPr>
        <w:t>iLint</w:t>
      </w:r>
      <w:proofErr w:type="spellEnd"/>
      <w:r>
        <w:rPr>
          <w:color w:val="auto"/>
          <w:lang w:val="pl"/>
        </w:rPr>
        <w:t xml:space="preserve"> </w:t>
      </w:r>
      <w:r w:rsidR="00111993">
        <w:rPr>
          <w:color w:val="auto"/>
          <w:lang w:val="pl"/>
        </w:rPr>
        <w:t xml:space="preserve">była silnym motywatorem dla </w:t>
      </w:r>
      <w:r w:rsidR="0056119B">
        <w:rPr>
          <w:color w:val="auto"/>
          <w:lang w:val="pl"/>
        </w:rPr>
        <w:t>naszych</w:t>
      </w:r>
      <w:r>
        <w:rPr>
          <w:color w:val="auto"/>
          <w:lang w:val="pl"/>
        </w:rPr>
        <w:t xml:space="preserve"> </w:t>
      </w:r>
      <w:r w:rsidR="00111993">
        <w:rPr>
          <w:color w:val="auto"/>
          <w:lang w:val="pl"/>
        </w:rPr>
        <w:t>maszynistów</w:t>
      </w:r>
      <w:r>
        <w:rPr>
          <w:color w:val="auto"/>
          <w:lang w:val="pl"/>
        </w:rPr>
        <w:t xml:space="preserve">” – powiedział </w:t>
      </w:r>
      <w:r>
        <w:rPr>
          <w:b/>
          <w:bCs/>
          <w:color w:val="auto"/>
          <w:lang w:val="pl"/>
        </w:rPr>
        <w:t xml:space="preserve">Andreas Wagner, Kierownik Działu Kolei Regionalnej i Prokurent </w:t>
      </w:r>
      <w:r w:rsidR="00DD7942">
        <w:rPr>
          <w:b/>
          <w:bCs/>
          <w:color w:val="auto"/>
          <w:lang w:val="pl"/>
        </w:rPr>
        <w:t xml:space="preserve">Spółki z o.o. </w:t>
      </w:r>
      <w:r w:rsidR="00A33FF3">
        <w:rPr>
          <w:b/>
          <w:bCs/>
          <w:color w:val="auto"/>
          <w:lang w:val="pl"/>
        </w:rPr>
        <w:t xml:space="preserve">Kolei </w:t>
      </w:r>
      <w:r w:rsidR="00DD7942">
        <w:rPr>
          <w:b/>
          <w:bCs/>
          <w:color w:val="auto"/>
          <w:lang w:val="pl"/>
        </w:rPr>
        <w:t xml:space="preserve">i </w:t>
      </w:r>
      <w:r w:rsidR="002F2DD8">
        <w:rPr>
          <w:b/>
          <w:bCs/>
          <w:color w:val="auto"/>
          <w:lang w:val="pl"/>
        </w:rPr>
        <w:t>Działalności Przewozowej</w:t>
      </w:r>
      <w:r>
        <w:rPr>
          <w:b/>
          <w:bCs/>
          <w:color w:val="auto"/>
          <w:lang w:val="pl"/>
        </w:rPr>
        <w:t xml:space="preserve"> </w:t>
      </w:r>
      <w:proofErr w:type="spellStart"/>
      <w:r>
        <w:rPr>
          <w:b/>
          <w:bCs/>
          <w:color w:val="auto"/>
          <w:lang w:val="pl"/>
        </w:rPr>
        <w:t>Elbe-Weser</w:t>
      </w:r>
      <w:proofErr w:type="spellEnd"/>
      <w:r w:rsidR="002F2DD8">
        <w:rPr>
          <w:b/>
          <w:bCs/>
          <w:color w:val="auto"/>
          <w:lang w:val="pl"/>
        </w:rPr>
        <w:t xml:space="preserve"> </w:t>
      </w:r>
      <w:r>
        <w:rPr>
          <w:b/>
          <w:bCs/>
          <w:color w:val="auto"/>
          <w:lang w:val="pl"/>
        </w:rPr>
        <w:t>(</w:t>
      </w:r>
      <w:proofErr w:type="spellStart"/>
      <w:r>
        <w:rPr>
          <w:b/>
          <w:bCs/>
          <w:color w:val="auto"/>
          <w:lang w:val="pl"/>
        </w:rPr>
        <w:t>evb</w:t>
      </w:r>
      <w:proofErr w:type="spellEnd"/>
      <w:r>
        <w:rPr>
          <w:b/>
          <w:bCs/>
          <w:color w:val="auto"/>
          <w:lang w:val="pl"/>
        </w:rPr>
        <w:t>)</w:t>
      </w:r>
      <w:r>
        <w:rPr>
          <w:color w:val="auto"/>
          <w:lang w:val="pl"/>
        </w:rPr>
        <w:t xml:space="preserve">. </w:t>
      </w:r>
    </w:p>
    <w:p w14:paraId="39871896" w14:textId="6684B88A" w:rsidR="008F762D" w:rsidRPr="0061752E" w:rsidRDefault="008F762D" w:rsidP="00212DFC">
      <w:pPr>
        <w:pStyle w:val="Text"/>
        <w:rPr>
          <w:color w:val="auto"/>
          <w:lang w:val="pl-PL"/>
        </w:rPr>
      </w:pPr>
    </w:p>
    <w:p w14:paraId="0CA88643" w14:textId="6B6C6D99" w:rsidR="003163D9" w:rsidRPr="00AC1FAC" w:rsidRDefault="003163D9" w:rsidP="00212DFC">
      <w:pPr>
        <w:pStyle w:val="Text"/>
        <w:rPr>
          <w:color w:val="auto"/>
          <w:lang w:val="pl-PL"/>
        </w:rPr>
      </w:pPr>
      <w:r>
        <w:rPr>
          <w:b/>
          <w:bCs/>
          <w:color w:val="auto"/>
          <w:lang w:val="pl"/>
        </w:rPr>
        <w:lastRenderedPageBreak/>
        <w:t xml:space="preserve">Carmen </w:t>
      </w:r>
      <w:proofErr w:type="spellStart"/>
      <w:r>
        <w:rPr>
          <w:b/>
          <w:bCs/>
          <w:color w:val="auto"/>
          <w:lang w:val="pl"/>
        </w:rPr>
        <w:t>Schwabl</w:t>
      </w:r>
      <w:proofErr w:type="spellEnd"/>
      <w:r>
        <w:rPr>
          <w:b/>
          <w:bCs/>
          <w:color w:val="auto"/>
          <w:lang w:val="pl"/>
        </w:rPr>
        <w:t>, Dyrektor Zarządzająca LNVG</w:t>
      </w:r>
      <w:r>
        <w:rPr>
          <w:color w:val="auto"/>
          <w:lang w:val="pl"/>
        </w:rPr>
        <w:t xml:space="preserve">, </w:t>
      </w:r>
      <w:r w:rsidR="009B67F3">
        <w:rPr>
          <w:color w:val="auto"/>
          <w:lang w:val="pl"/>
        </w:rPr>
        <w:t>dodała</w:t>
      </w:r>
      <w:r>
        <w:rPr>
          <w:color w:val="auto"/>
          <w:lang w:val="pl"/>
        </w:rPr>
        <w:t xml:space="preserve">: „Zakończona </w:t>
      </w:r>
      <w:r w:rsidR="00BD5E3B">
        <w:rPr>
          <w:color w:val="auto"/>
          <w:lang w:val="pl"/>
        </w:rPr>
        <w:t xml:space="preserve">z </w:t>
      </w:r>
      <w:r>
        <w:rPr>
          <w:color w:val="auto"/>
          <w:lang w:val="pl"/>
        </w:rPr>
        <w:t>powodzeniem faza testowa oznacza, że spełnione zostały warunki do uruchomienia stałej eksploatacji pociągów wodorowych od 2022 r. Poprzez ten projekt LNVG przyczynia się do wprowadzenia zrównoważonych, innowacyjnych i ekologicznych rozwiązań w zakresie mobilności, w szczególności na obszarach wiejskich”.</w:t>
      </w:r>
    </w:p>
    <w:p w14:paraId="2B371A82" w14:textId="77777777" w:rsidR="003163D9" w:rsidRPr="00AC1FAC" w:rsidRDefault="003163D9" w:rsidP="00212DFC">
      <w:pPr>
        <w:pStyle w:val="Text"/>
        <w:rPr>
          <w:color w:val="auto"/>
          <w:lang w:val="pl-PL"/>
        </w:rPr>
      </w:pPr>
    </w:p>
    <w:p w14:paraId="04CF2EF4" w14:textId="64EF147C" w:rsidR="008F762D" w:rsidRPr="00AC1FAC" w:rsidRDefault="008F762D" w:rsidP="00212DFC">
      <w:pPr>
        <w:pStyle w:val="Text"/>
        <w:rPr>
          <w:color w:val="auto"/>
          <w:lang w:val="pl-PL"/>
        </w:rPr>
      </w:pPr>
      <w:r>
        <w:rPr>
          <w:color w:val="auto"/>
          <w:lang w:val="pl"/>
        </w:rPr>
        <w:t xml:space="preserve">„Alstom tworzy historię </w:t>
      </w:r>
      <w:r w:rsidR="00943C5E">
        <w:rPr>
          <w:color w:val="auto"/>
          <w:lang w:val="pl"/>
        </w:rPr>
        <w:t xml:space="preserve">transportu opartego na </w:t>
      </w:r>
      <w:r>
        <w:rPr>
          <w:color w:val="auto"/>
          <w:lang w:val="pl"/>
        </w:rPr>
        <w:t>wodor</w:t>
      </w:r>
      <w:r w:rsidR="00943C5E">
        <w:rPr>
          <w:color w:val="auto"/>
          <w:lang w:val="pl"/>
        </w:rPr>
        <w:t>ze</w:t>
      </w:r>
      <w:r>
        <w:rPr>
          <w:color w:val="auto"/>
          <w:lang w:val="pl"/>
        </w:rPr>
        <w:t xml:space="preserve">. </w:t>
      </w:r>
      <w:r w:rsidR="00111993" w:rsidRPr="00111993">
        <w:rPr>
          <w:color w:val="auto"/>
          <w:lang w:val="pl-PL"/>
        </w:rPr>
        <w:t xml:space="preserve">Projekt ma ogromne znaczenie dla polityki przemysłowej, która wykracza daleko poza Niemcy. </w:t>
      </w:r>
      <w:r>
        <w:rPr>
          <w:color w:val="auto"/>
          <w:lang w:val="pl"/>
        </w:rPr>
        <w:t>Jesteśmy świadkami powstania pierwszego konkurencyjnego produktu wodorowego w</w:t>
      </w:r>
      <w:r w:rsidR="00E76BD2">
        <w:rPr>
          <w:color w:val="auto"/>
          <w:lang w:val="pl"/>
        </w:rPr>
        <w:t> </w:t>
      </w:r>
      <w:r>
        <w:rPr>
          <w:color w:val="auto"/>
          <w:lang w:val="pl"/>
        </w:rPr>
        <w:t xml:space="preserve">dziedzinie mobilności </w:t>
      </w:r>
      <w:r w:rsidR="00317213">
        <w:rPr>
          <w:color w:val="auto"/>
          <w:lang w:val="pl"/>
        </w:rPr>
        <w:t>wdrożonego na poziomie przemysłowym</w:t>
      </w:r>
      <w:r>
        <w:rPr>
          <w:color w:val="auto"/>
          <w:lang w:val="pl"/>
        </w:rPr>
        <w:t xml:space="preserve">” – </w:t>
      </w:r>
      <w:r w:rsidR="009B67F3">
        <w:rPr>
          <w:color w:val="auto"/>
          <w:lang w:val="pl"/>
        </w:rPr>
        <w:t>zaznaczył</w:t>
      </w:r>
      <w:r>
        <w:rPr>
          <w:color w:val="auto"/>
          <w:lang w:val="pl"/>
        </w:rPr>
        <w:t xml:space="preserve"> </w:t>
      </w:r>
      <w:r>
        <w:rPr>
          <w:b/>
          <w:bCs/>
          <w:color w:val="auto"/>
          <w:lang w:val="pl"/>
        </w:rPr>
        <w:t>Minister Gospodarki i</w:t>
      </w:r>
      <w:r w:rsidR="00E76BD2">
        <w:rPr>
          <w:b/>
          <w:bCs/>
          <w:color w:val="auto"/>
          <w:lang w:val="pl"/>
        </w:rPr>
        <w:t> </w:t>
      </w:r>
      <w:r>
        <w:rPr>
          <w:b/>
          <w:bCs/>
          <w:color w:val="auto"/>
          <w:lang w:val="pl"/>
        </w:rPr>
        <w:t xml:space="preserve">Transportu Dolnej Saksonii, dr </w:t>
      </w:r>
      <w:proofErr w:type="spellStart"/>
      <w:r>
        <w:rPr>
          <w:b/>
          <w:bCs/>
          <w:color w:val="auto"/>
          <w:lang w:val="pl"/>
        </w:rPr>
        <w:t>Bernd</w:t>
      </w:r>
      <w:proofErr w:type="spellEnd"/>
      <w:r>
        <w:rPr>
          <w:b/>
          <w:bCs/>
          <w:color w:val="auto"/>
          <w:lang w:val="pl"/>
        </w:rPr>
        <w:t xml:space="preserve"> </w:t>
      </w:r>
      <w:proofErr w:type="spellStart"/>
      <w:r>
        <w:rPr>
          <w:b/>
          <w:bCs/>
          <w:color w:val="auto"/>
          <w:lang w:val="pl"/>
        </w:rPr>
        <w:t>Althusmann</w:t>
      </w:r>
      <w:proofErr w:type="spellEnd"/>
      <w:r>
        <w:rPr>
          <w:b/>
          <w:bCs/>
          <w:color w:val="auto"/>
          <w:lang w:val="pl"/>
        </w:rPr>
        <w:t>.</w:t>
      </w:r>
    </w:p>
    <w:p w14:paraId="579F3A5D" w14:textId="77777777" w:rsidR="008F762D" w:rsidRPr="00AC1FAC" w:rsidRDefault="008F762D" w:rsidP="00212DFC">
      <w:pPr>
        <w:pStyle w:val="Text"/>
        <w:rPr>
          <w:color w:val="auto"/>
          <w:lang w:val="pl-PL"/>
        </w:rPr>
      </w:pPr>
    </w:p>
    <w:p w14:paraId="4131F51F" w14:textId="5327B1FF" w:rsidR="008F762D" w:rsidRPr="00901509" w:rsidRDefault="008F762D" w:rsidP="008F762D">
      <w:pPr>
        <w:pStyle w:val="Text"/>
        <w:rPr>
          <w:color w:val="auto"/>
          <w:lang w:val="pl-PL"/>
        </w:rPr>
      </w:pPr>
      <w:r>
        <w:rPr>
          <w:color w:val="auto"/>
          <w:lang w:val="pl"/>
        </w:rPr>
        <w:t>„</w:t>
      </w:r>
      <w:r w:rsidR="00D81B32">
        <w:rPr>
          <w:color w:val="auto"/>
          <w:lang w:val="pl"/>
        </w:rPr>
        <w:t xml:space="preserve">Federalne Ministerstwo Transportu </w:t>
      </w:r>
      <w:r w:rsidR="000E6975">
        <w:rPr>
          <w:color w:val="auto"/>
          <w:lang w:val="pl"/>
        </w:rPr>
        <w:t>jest dalece zadowolone</w:t>
      </w:r>
      <w:r>
        <w:rPr>
          <w:color w:val="auto"/>
          <w:lang w:val="pl"/>
        </w:rPr>
        <w:t xml:space="preserve"> mogąc wspierać pionierski projekt w zakresie nowoczesnej mobilności, jakim jest pociąg wodorowy w</w:t>
      </w:r>
      <w:r w:rsidR="008D27D5">
        <w:rPr>
          <w:color w:val="auto"/>
          <w:lang w:val="pl"/>
        </w:rPr>
        <w:t> </w:t>
      </w:r>
      <w:proofErr w:type="spellStart"/>
      <w:r>
        <w:rPr>
          <w:color w:val="auto"/>
          <w:lang w:val="pl"/>
        </w:rPr>
        <w:t>Bremervörde</w:t>
      </w:r>
      <w:proofErr w:type="spellEnd"/>
      <w:r>
        <w:rPr>
          <w:color w:val="auto"/>
          <w:lang w:val="pl"/>
        </w:rPr>
        <w:t xml:space="preserve">. Niewątpliwie jest to flagowy projekt </w:t>
      </w:r>
      <w:r w:rsidR="00111993">
        <w:rPr>
          <w:color w:val="auto"/>
          <w:lang w:val="pl"/>
        </w:rPr>
        <w:t xml:space="preserve">definiujący </w:t>
      </w:r>
      <w:r>
        <w:rPr>
          <w:color w:val="auto"/>
          <w:lang w:val="pl"/>
        </w:rPr>
        <w:t xml:space="preserve"> </w:t>
      </w:r>
      <w:r w:rsidR="003B3B66">
        <w:rPr>
          <w:color w:val="auto"/>
          <w:lang w:val="pl"/>
        </w:rPr>
        <w:t>transport przyszłości</w:t>
      </w:r>
      <w:r>
        <w:rPr>
          <w:color w:val="auto"/>
          <w:lang w:val="pl"/>
        </w:rPr>
        <w:t xml:space="preserve">” – </w:t>
      </w:r>
      <w:r w:rsidR="009B67F3">
        <w:rPr>
          <w:b/>
          <w:bCs/>
          <w:color w:val="auto"/>
          <w:lang w:val="pl"/>
        </w:rPr>
        <w:t>podkreśla</w:t>
      </w:r>
      <w:r>
        <w:rPr>
          <w:color w:val="auto"/>
          <w:lang w:val="pl"/>
        </w:rPr>
        <w:t xml:space="preserve"> </w:t>
      </w:r>
      <w:proofErr w:type="spellStart"/>
      <w:r>
        <w:rPr>
          <w:b/>
          <w:bCs/>
          <w:color w:val="auto"/>
          <w:lang w:val="pl"/>
        </w:rPr>
        <w:t>Enak</w:t>
      </w:r>
      <w:proofErr w:type="spellEnd"/>
      <w:r>
        <w:rPr>
          <w:b/>
          <w:bCs/>
          <w:color w:val="auto"/>
          <w:lang w:val="pl"/>
        </w:rPr>
        <w:t xml:space="preserve"> </w:t>
      </w:r>
      <w:proofErr w:type="spellStart"/>
      <w:r>
        <w:rPr>
          <w:b/>
          <w:bCs/>
          <w:color w:val="auto"/>
          <w:lang w:val="pl"/>
        </w:rPr>
        <w:t>Ferlemann</w:t>
      </w:r>
      <w:proofErr w:type="spellEnd"/>
      <w:r>
        <w:rPr>
          <w:b/>
          <w:bCs/>
          <w:color w:val="auto"/>
          <w:lang w:val="pl"/>
        </w:rPr>
        <w:t>, Parlamentarny Sekretarz Stanu w Federalnym Ministerstwie Transportu i Infrastruktury Cyfrowej.</w:t>
      </w:r>
      <w:r>
        <w:rPr>
          <w:color w:val="auto"/>
          <w:lang w:val="pl"/>
        </w:rPr>
        <w:t xml:space="preserve"> „</w:t>
      </w:r>
      <w:r w:rsidR="00111993">
        <w:rPr>
          <w:color w:val="auto"/>
          <w:lang w:val="pl"/>
        </w:rPr>
        <w:t xml:space="preserve">Napęd wodorowy </w:t>
      </w:r>
      <w:r>
        <w:rPr>
          <w:color w:val="auto"/>
          <w:lang w:val="pl"/>
        </w:rPr>
        <w:t>stanowi rzeczywistą, niskoemisyjną i</w:t>
      </w:r>
      <w:r w:rsidR="008D27D5">
        <w:rPr>
          <w:color w:val="auto"/>
          <w:lang w:val="pl"/>
        </w:rPr>
        <w:t> </w:t>
      </w:r>
      <w:r>
        <w:rPr>
          <w:color w:val="auto"/>
          <w:lang w:val="pl"/>
        </w:rPr>
        <w:t xml:space="preserve">wydajną alternatywę </w:t>
      </w:r>
      <w:r w:rsidR="00365EC8">
        <w:rPr>
          <w:color w:val="auto"/>
          <w:lang w:val="pl"/>
        </w:rPr>
        <w:t>dla napędu dieslowego</w:t>
      </w:r>
      <w:r>
        <w:rPr>
          <w:color w:val="auto"/>
          <w:lang w:val="pl"/>
        </w:rPr>
        <w:t>. Pociągi</w:t>
      </w:r>
      <w:r w:rsidR="00111993">
        <w:rPr>
          <w:color w:val="auto"/>
          <w:lang w:val="pl"/>
        </w:rPr>
        <w:t xml:space="preserve"> wodorowe </w:t>
      </w:r>
      <w:r>
        <w:rPr>
          <w:color w:val="auto"/>
          <w:lang w:val="pl"/>
        </w:rPr>
        <w:t>mogą być eksploatowane w sposób czysty</w:t>
      </w:r>
      <w:r w:rsidR="00111993">
        <w:rPr>
          <w:color w:val="auto"/>
          <w:lang w:val="pl"/>
        </w:rPr>
        <w:t xml:space="preserve"> i</w:t>
      </w:r>
      <w:r>
        <w:rPr>
          <w:color w:val="auto"/>
          <w:lang w:val="pl"/>
        </w:rPr>
        <w:t xml:space="preserve"> przyjazny dla środowiska</w:t>
      </w:r>
      <w:r w:rsidR="009B67F3">
        <w:rPr>
          <w:color w:val="auto"/>
          <w:lang w:val="pl"/>
        </w:rPr>
        <w:t>. To</w:t>
      </w:r>
      <w:r>
        <w:rPr>
          <w:color w:val="auto"/>
          <w:lang w:val="pl"/>
        </w:rPr>
        <w:t xml:space="preserve"> szczególnie </w:t>
      </w:r>
      <w:r w:rsidR="009B67F3">
        <w:rPr>
          <w:color w:val="auto"/>
          <w:lang w:val="pl"/>
        </w:rPr>
        <w:t xml:space="preserve">istotne </w:t>
      </w:r>
      <w:r>
        <w:rPr>
          <w:color w:val="auto"/>
          <w:lang w:val="pl"/>
        </w:rPr>
        <w:t xml:space="preserve">na liniach </w:t>
      </w:r>
      <w:r w:rsidR="00E4177E">
        <w:rPr>
          <w:color w:val="auto"/>
          <w:lang w:val="pl"/>
        </w:rPr>
        <w:t>regionalnych</w:t>
      </w:r>
      <w:r>
        <w:rPr>
          <w:color w:val="auto"/>
          <w:lang w:val="pl"/>
        </w:rPr>
        <w:t xml:space="preserve">, </w:t>
      </w:r>
      <w:r w:rsidRPr="00901509">
        <w:rPr>
          <w:color w:val="auto"/>
          <w:lang w:val="pl"/>
        </w:rPr>
        <w:t xml:space="preserve">na których </w:t>
      </w:r>
      <w:r w:rsidR="00DF79A1">
        <w:rPr>
          <w:color w:val="auto"/>
          <w:lang w:val="pl"/>
        </w:rPr>
        <w:t>elektryfikacja jest</w:t>
      </w:r>
      <w:r w:rsidRPr="00901509">
        <w:rPr>
          <w:color w:val="auto"/>
          <w:lang w:val="pl"/>
        </w:rPr>
        <w:t xml:space="preserve"> </w:t>
      </w:r>
      <w:r w:rsidR="00B72E8C" w:rsidRPr="00901509">
        <w:rPr>
          <w:color w:val="auto"/>
          <w:lang w:val="pl"/>
        </w:rPr>
        <w:t xml:space="preserve">nieekonomiczna </w:t>
      </w:r>
      <w:r w:rsidRPr="00901509">
        <w:rPr>
          <w:color w:val="auto"/>
          <w:lang w:val="pl"/>
        </w:rPr>
        <w:t xml:space="preserve">lub </w:t>
      </w:r>
      <w:r w:rsidR="008C3BC4" w:rsidRPr="00901509">
        <w:rPr>
          <w:color w:val="auto"/>
          <w:lang w:val="pl"/>
        </w:rPr>
        <w:t>obecnie jeszcze niedostępna</w:t>
      </w:r>
      <w:r w:rsidR="007F734D" w:rsidRPr="00901509">
        <w:rPr>
          <w:color w:val="auto"/>
          <w:lang w:val="pl"/>
        </w:rPr>
        <w:t>.</w:t>
      </w:r>
      <w:r w:rsidR="00901509">
        <w:rPr>
          <w:color w:val="auto"/>
          <w:lang w:val="pl"/>
        </w:rPr>
        <w:t xml:space="preserve"> </w:t>
      </w:r>
      <w:r w:rsidR="00EE31F6">
        <w:rPr>
          <w:color w:val="auto"/>
          <w:lang w:val="pl"/>
        </w:rPr>
        <w:t>Oczekujemy więcej takich projektów.”</w:t>
      </w:r>
    </w:p>
    <w:p w14:paraId="41FD632B" w14:textId="77777777" w:rsidR="00037AFD" w:rsidRPr="00901509" w:rsidRDefault="00037AFD" w:rsidP="00212DFC">
      <w:pPr>
        <w:pStyle w:val="Text"/>
        <w:rPr>
          <w:color w:val="auto"/>
          <w:lang w:val="pl-PL"/>
        </w:rPr>
      </w:pPr>
    </w:p>
    <w:p w14:paraId="6990E14F" w14:textId="77777777" w:rsidR="008F762D" w:rsidRPr="00901509" w:rsidRDefault="008F762D" w:rsidP="00BC2883">
      <w:pPr>
        <w:pStyle w:val="Text"/>
        <w:rPr>
          <w:color w:val="auto"/>
          <w:lang w:val="pl-PL"/>
        </w:rPr>
      </w:pPr>
    </w:p>
    <w:p w14:paraId="17E4450E" w14:textId="77777777" w:rsidR="00BC2883" w:rsidRPr="00901509" w:rsidRDefault="00BC2883" w:rsidP="00BC2883">
      <w:pPr>
        <w:pStyle w:val="Text"/>
        <w:rPr>
          <w:rFonts w:asciiTheme="majorHAnsi" w:hAnsiTheme="majorHAnsi" w:cstheme="majorHAnsi"/>
          <w:b/>
          <w:bCs/>
          <w:color w:val="auto"/>
          <w:lang w:val="pl-PL"/>
        </w:rPr>
      </w:pPr>
      <w:r>
        <w:rPr>
          <w:rFonts w:asciiTheme="majorHAnsi" w:hAnsiTheme="majorHAnsi" w:cstheme="majorHAnsi"/>
          <w:b/>
          <w:bCs/>
          <w:color w:val="auto"/>
          <w:lang w:val="pl"/>
        </w:rPr>
        <w:t xml:space="preserve">O </w:t>
      </w:r>
      <w:proofErr w:type="spellStart"/>
      <w:r>
        <w:rPr>
          <w:rFonts w:asciiTheme="majorHAnsi" w:hAnsiTheme="majorHAnsi" w:cstheme="majorHAnsi"/>
          <w:b/>
          <w:bCs/>
          <w:color w:val="auto"/>
          <w:lang w:val="pl"/>
        </w:rPr>
        <w:t>Coradia</w:t>
      </w:r>
      <w:proofErr w:type="spellEnd"/>
      <w:r>
        <w:rPr>
          <w:rFonts w:asciiTheme="majorHAnsi" w:hAnsiTheme="majorHAnsi" w:cstheme="majorHAnsi"/>
          <w:b/>
          <w:bCs/>
          <w:color w:val="auto"/>
          <w:lang w:val="pl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auto"/>
          <w:lang w:val="pl"/>
        </w:rPr>
        <w:t>iLint</w:t>
      </w:r>
      <w:proofErr w:type="spellEnd"/>
    </w:p>
    <w:p w14:paraId="2B39F205" w14:textId="099E8293" w:rsidR="00BC2883" w:rsidRPr="00901509" w:rsidRDefault="00BC2883" w:rsidP="00BC2883">
      <w:pPr>
        <w:pStyle w:val="Text"/>
        <w:rPr>
          <w:rFonts w:asciiTheme="majorHAnsi" w:hAnsiTheme="majorHAnsi" w:cstheme="majorHAnsi"/>
          <w:color w:val="auto"/>
          <w:lang w:val="pl-PL"/>
        </w:rPr>
      </w:pPr>
      <w:proofErr w:type="spellStart"/>
      <w:r>
        <w:rPr>
          <w:rFonts w:asciiTheme="majorHAnsi" w:hAnsiTheme="majorHAnsi" w:cstheme="majorHAnsi"/>
          <w:color w:val="auto"/>
          <w:lang w:val="pl"/>
        </w:rPr>
        <w:t>Coradia</w:t>
      </w:r>
      <w:proofErr w:type="spellEnd"/>
      <w:r>
        <w:rPr>
          <w:rFonts w:asciiTheme="majorHAnsi" w:hAnsiTheme="majorHAnsi" w:cstheme="majorHAnsi"/>
          <w:color w:val="auto"/>
          <w:lang w:val="pl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lang w:val="pl"/>
        </w:rPr>
        <w:t>iLint</w:t>
      </w:r>
      <w:proofErr w:type="spellEnd"/>
      <w:r>
        <w:rPr>
          <w:rFonts w:asciiTheme="majorHAnsi" w:hAnsiTheme="majorHAnsi" w:cstheme="majorHAnsi"/>
          <w:color w:val="auto"/>
          <w:lang w:val="pl"/>
        </w:rPr>
        <w:t xml:space="preserve"> to pierwszy na świecie pociąg pasażerski wyposażony </w:t>
      </w:r>
      <w:r>
        <w:rPr>
          <w:rFonts w:asciiTheme="majorHAnsi" w:hAnsiTheme="majorHAnsi" w:cstheme="majorHAnsi"/>
          <w:color w:val="auto"/>
          <w:lang w:val="pl"/>
        </w:rPr>
        <w:t xml:space="preserve">w ogniwa paliwowe do przetwarzania wodoru w energię elektryczną. Pociąg jest w pełni </w:t>
      </w:r>
      <w:proofErr w:type="spellStart"/>
      <w:r>
        <w:rPr>
          <w:rFonts w:asciiTheme="majorHAnsi" w:hAnsiTheme="majorHAnsi" w:cstheme="majorHAnsi"/>
          <w:color w:val="auto"/>
          <w:lang w:val="pl"/>
        </w:rPr>
        <w:t>bezemisyjny</w:t>
      </w:r>
      <w:proofErr w:type="spellEnd"/>
      <w:r>
        <w:rPr>
          <w:rFonts w:asciiTheme="majorHAnsi" w:hAnsiTheme="majorHAnsi" w:cstheme="majorHAnsi"/>
          <w:color w:val="auto"/>
          <w:lang w:val="pl"/>
        </w:rPr>
        <w:t xml:space="preserve"> i cichy, </w:t>
      </w:r>
      <w:r w:rsidR="001D301F">
        <w:rPr>
          <w:rFonts w:asciiTheme="majorHAnsi" w:hAnsiTheme="majorHAnsi" w:cstheme="majorHAnsi"/>
          <w:color w:val="auto"/>
          <w:lang w:val="pl"/>
        </w:rPr>
        <w:t>a co najważniejsze emituje jedynie parę wodną i skroploną wodę</w:t>
      </w:r>
      <w:r>
        <w:rPr>
          <w:rFonts w:asciiTheme="majorHAnsi" w:hAnsiTheme="majorHAnsi" w:cstheme="majorHAnsi"/>
          <w:color w:val="auto"/>
          <w:lang w:val="pl"/>
        </w:rPr>
        <w:t>. Pociąg został wyposażony w kilka innowacyjnych rozwiązań: technologi</w:t>
      </w:r>
      <w:r w:rsidR="009B67F3">
        <w:rPr>
          <w:rFonts w:asciiTheme="majorHAnsi" w:hAnsiTheme="majorHAnsi" w:cstheme="majorHAnsi"/>
          <w:color w:val="auto"/>
          <w:lang w:val="pl"/>
        </w:rPr>
        <w:t xml:space="preserve">ę </w:t>
      </w:r>
      <w:r>
        <w:rPr>
          <w:rFonts w:asciiTheme="majorHAnsi" w:hAnsiTheme="majorHAnsi" w:cstheme="majorHAnsi"/>
          <w:color w:val="auto"/>
          <w:lang w:val="pl"/>
        </w:rPr>
        <w:t xml:space="preserve">czystej konwersji energetycznej, umożliwiające </w:t>
      </w:r>
      <w:r w:rsidR="000B2C10">
        <w:rPr>
          <w:rFonts w:asciiTheme="majorHAnsi" w:hAnsiTheme="majorHAnsi" w:cstheme="majorHAnsi"/>
          <w:color w:val="auto"/>
          <w:lang w:val="pl"/>
        </w:rPr>
        <w:t xml:space="preserve">elastyczne </w:t>
      </w:r>
      <w:r>
        <w:rPr>
          <w:rFonts w:asciiTheme="majorHAnsi" w:hAnsiTheme="majorHAnsi" w:cstheme="majorHAnsi"/>
          <w:color w:val="auto"/>
          <w:lang w:val="pl"/>
        </w:rPr>
        <w:t>magazynowanie energii</w:t>
      </w:r>
      <w:r w:rsidR="000B2C10">
        <w:rPr>
          <w:rFonts w:asciiTheme="majorHAnsi" w:hAnsiTheme="majorHAnsi" w:cstheme="majorHAnsi"/>
          <w:color w:val="auto"/>
          <w:lang w:val="pl"/>
        </w:rPr>
        <w:t xml:space="preserve"> w bateriach</w:t>
      </w:r>
      <w:r>
        <w:rPr>
          <w:rFonts w:asciiTheme="majorHAnsi" w:hAnsiTheme="majorHAnsi" w:cstheme="majorHAnsi"/>
          <w:color w:val="auto"/>
          <w:lang w:val="pl"/>
        </w:rPr>
        <w:t xml:space="preserve"> oraz inteligentny system zarządzania mocą napędową i dostępną energią. Zaprojektowany specjalnie do użytku na niezelektryfikowanych </w:t>
      </w:r>
      <w:r w:rsidR="001D301F">
        <w:rPr>
          <w:rFonts w:asciiTheme="majorHAnsi" w:hAnsiTheme="majorHAnsi" w:cstheme="majorHAnsi"/>
          <w:color w:val="auto"/>
          <w:lang w:val="pl"/>
        </w:rPr>
        <w:t>trasach,</w:t>
      </w:r>
      <w:r>
        <w:rPr>
          <w:rFonts w:asciiTheme="majorHAnsi" w:hAnsiTheme="majorHAnsi" w:cstheme="majorHAnsi"/>
          <w:color w:val="auto"/>
          <w:lang w:val="pl"/>
        </w:rPr>
        <w:t xml:space="preserve"> zapewnia czystą i zrównoważoną obsługę linii kolejowych.</w:t>
      </w:r>
    </w:p>
    <w:p w14:paraId="69066BAD" w14:textId="77777777" w:rsidR="00BC2883" w:rsidRPr="00901509" w:rsidRDefault="00BC2883" w:rsidP="00BC2883">
      <w:pPr>
        <w:pStyle w:val="Text"/>
        <w:rPr>
          <w:rFonts w:asciiTheme="majorHAnsi" w:hAnsiTheme="majorHAnsi" w:cstheme="majorHAnsi"/>
          <w:color w:val="auto"/>
          <w:lang w:val="pl-PL"/>
        </w:rPr>
      </w:pPr>
    </w:p>
    <w:p w14:paraId="365DBF17" w14:textId="64F6F712" w:rsidR="00BC2883" w:rsidRPr="00901509" w:rsidRDefault="00BC2883" w:rsidP="00BC2883">
      <w:pPr>
        <w:jc w:val="both"/>
        <w:rPr>
          <w:rFonts w:asciiTheme="majorHAnsi" w:hAnsiTheme="majorHAnsi" w:cstheme="majorHAnsi"/>
          <w:b/>
          <w:bCs/>
          <w:color w:val="auto"/>
          <w:lang w:val="pl-PL"/>
        </w:rPr>
      </w:pPr>
      <w:bookmarkStart w:id="1" w:name="_Hlk41370447"/>
      <w:r>
        <w:rPr>
          <w:rFonts w:asciiTheme="majorHAnsi" w:hAnsiTheme="majorHAnsi" w:cstheme="majorHAnsi"/>
          <w:b/>
          <w:bCs/>
          <w:color w:val="auto"/>
          <w:lang w:val="pl"/>
        </w:rPr>
        <w:t>O Alstom</w:t>
      </w:r>
    </w:p>
    <w:p w14:paraId="55920665" w14:textId="32966DBA" w:rsidR="00212DFC" w:rsidRPr="00901509" w:rsidRDefault="00A7461C" w:rsidP="00BC2883">
      <w:pPr>
        <w:pStyle w:val="Text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"/>
        </w:rPr>
        <w:t xml:space="preserve">Jako światowy lider ekologicznych i inteligentnych rozwiązań w zakresie mobilności Alstom </w:t>
      </w:r>
      <w:r w:rsidR="00FF0AC5">
        <w:rPr>
          <w:rFonts w:asciiTheme="majorHAnsi" w:hAnsiTheme="majorHAnsi" w:cstheme="majorHAnsi"/>
          <w:color w:val="auto"/>
          <w:lang w:val="pl"/>
        </w:rPr>
        <w:t xml:space="preserve">rozwija </w:t>
      </w:r>
      <w:r>
        <w:rPr>
          <w:rFonts w:asciiTheme="majorHAnsi" w:hAnsiTheme="majorHAnsi" w:cstheme="majorHAnsi"/>
          <w:color w:val="auto"/>
          <w:lang w:val="pl"/>
        </w:rPr>
        <w:t>i wprowadza na rynek zintegrowane systemy, które zapewniają trwałe podstawy dla transportu przyszłości. Alstom oferuje pełen wachlarz rozwiązań w zakresie sprzętu i usług, od pociągów dużych prędkości, metra, tramwajów</w:t>
      </w:r>
      <w:r w:rsidR="008D27D5">
        <w:rPr>
          <w:rFonts w:asciiTheme="majorHAnsi" w:hAnsiTheme="majorHAnsi" w:cstheme="majorHAnsi"/>
          <w:color w:val="auto"/>
          <w:lang w:val="pl"/>
        </w:rPr>
        <w:t xml:space="preserve"> </w:t>
      </w:r>
      <w:r>
        <w:rPr>
          <w:rFonts w:asciiTheme="majorHAnsi" w:hAnsiTheme="majorHAnsi" w:cstheme="majorHAnsi"/>
          <w:color w:val="auto"/>
          <w:lang w:val="pl"/>
        </w:rPr>
        <w:t>i</w:t>
      </w:r>
      <w:r w:rsidR="008D27D5">
        <w:rPr>
          <w:rFonts w:asciiTheme="majorHAnsi" w:hAnsiTheme="majorHAnsi" w:cstheme="majorHAnsi"/>
          <w:color w:val="auto"/>
          <w:lang w:val="pl"/>
        </w:rPr>
        <w:t> </w:t>
      </w:r>
      <w:r w:rsidR="00B71F47">
        <w:rPr>
          <w:rFonts w:asciiTheme="majorHAnsi" w:hAnsiTheme="majorHAnsi" w:cstheme="majorHAnsi"/>
          <w:color w:val="auto"/>
          <w:lang w:val="pl"/>
        </w:rPr>
        <w:t xml:space="preserve">autobusów elektrycznych </w:t>
      </w:r>
      <w:r>
        <w:rPr>
          <w:rFonts w:asciiTheme="majorHAnsi" w:hAnsiTheme="majorHAnsi" w:cstheme="majorHAnsi"/>
          <w:color w:val="auto"/>
          <w:lang w:val="pl"/>
        </w:rPr>
        <w:t xml:space="preserve">po zintegrowane systemy, zindywidualizowane usługi, infrastrukturę, systemy sterowania i rozwiązania w zakresie mobilności cyfrowej. W roku obrotowym 2019/20 Alstom odnotował obroty w wysokości 8,2 mld euro i zaksięgował zamówienia o wartości 9,9 mld euro. Alstom ma swoją siedzibę we Francji, działa na terenie 60 państw i </w:t>
      </w:r>
      <w:r w:rsidR="009B67F3">
        <w:rPr>
          <w:rFonts w:asciiTheme="majorHAnsi" w:hAnsiTheme="majorHAnsi" w:cstheme="majorHAnsi"/>
          <w:color w:val="auto"/>
          <w:lang w:val="pl"/>
        </w:rPr>
        <w:t xml:space="preserve">zatrudnia </w:t>
      </w:r>
      <w:r>
        <w:rPr>
          <w:rFonts w:asciiTheme="majorHAnsi" w:hAnsiTheme="majorHAnsi" w:cstheme="majorHAnsi"/>
          <w:color w:val="auto"/>
          <w:lang w:val="pl"/>
        </w:rPr>
        <w:t>obecnie 38 900 osób.</w:t>
      </w:r>
    </w:p>
    <w:bookmarkEnd w:id="1"/>
    <w:p w14:paraId="21EF62A9" w14:textId="71582739" w:rsidR="00A7461C" w:rsidRPr="00901509" w:rsidRDefault="00A7461C" w:rsidP="00BC2883">
      <w:pPr>
        <w:pStyle w:val="Text"/>
        <w:rPr>
          <w:color w:val="auto"/>
          <w:lang w:val="pl-PL"/>
        </w:rPr>
      </w:pPr>
    </w:p>
    <w:p w14:paraId="50F37838" w14:textId="1420942C" w:rsidR="00E11AB5" w:rsidRDefault="00E11AB5" w:rsidP="00E11AB5">
      <w:pPr>
        <w:jc w:val="both"/>
        <w:rPr>
          <w:rFonts w:asciiTheme="majorHAnsi" w:hAnsiTheme="majorHAnsi" w:cstheme="majorHAnsi"/>
          <w:b/>
          <w:bCs/>
          <w:color w:val="auto"/>
          <w:lang w:val="pl"/>
        </w:rPr>
      </w:pPr>
      <w:r>
        <w:rPr>
          <w:rFonts w:asciiTheme="majorHAnsi" w:hAnsiTheme="majorHAnsi" w:cstheme="majorHAnsi"/>
          <w:b/>
          <w:bCs/>
          <w:color w:val="auto"/>
          <w:lang w:val="pl"/>
        </w:rPr>
        <w:t>Kontakt z mediami</w:t>
      </w:r>
    </w:p>
    <w:p w14:paraId="40E11874" w14:textId="77777777" w:rsidR="008A2052" w:rsidRDefault="008A2052" w:rsidP="00E11AB5">
      <w:pPr>
        <w:jc w:val="both"/>
        <w:rPr>
          <w:rFonts w:asciiTheme="majorHAnsi" w:hAnsiTheme="majorHAnsi" w:cstheme="majorHAnsi"/>
          <w:b/>
          <w:bCs/>
          <w:color w:val="auto"/>
          <w:lang w:val="pl"/>
        </w:rPr>
      </w:pPr>
    </w:p>
    <w:p w14:paraId="5996BDD5" w14:textId="6E761C4C" w:rsidR="008A2052" w:rsidRPr="002C7923" w:rsidRDefault="008A2052" w:rsidP="008A2052">
      <w:pPr>
        <w:spacing w:line="240" w:lineRule="auto"/>
        <w:rPr>
          <w:color w:val="auto"/>
          <w:lang w:val="pl-PL"/>
        </w:rPr>
      </w:pPr>
      <w:r w:rsidRPr="002C7923">
        <w:rPr>
          <w:color w:val="auto"/>
          <w:lang w:val="pl-PL"/>
        </w:rPr>
        <w:t xml:space="preserve">Magdalena TOKAJ - Tel.: +48 501 121 711 </w:t>
      </w:r>
    </w:p>
    <w:p w14:paraId="644C05B4" w14:textId="128650D5" w:rsidR="0056119B" w:rsidRPr="008A2052" w:rsidRDefault="006414E7" w:rsidP="00E11AB5">
      <w:pPr>
        <w:spacing w:line="240" w:lineRule="auto"/>
        <w:rPr>
          <w:color w:val="auto"/>
          <w:lang w:val="en-US"/>
        </w:rPr>
      </w:pPr>
      <w:hyperlink r:id="rId13" w:history="1">
        <w:r w:rsidR="008A2052" w:rsidRPr="004E5562">
          <w:rPr>
            <w:rStyle w:val="Hipercze"/>
            <w:lang w:val="en-GB"/>
          </w:rPr>
          <w:t xml:space="preserve">m.tokaj@contrust.pl </w:t>
        </w:r>
      </w:hyperlink>
    </w:p>
    <w:p w14:paraId="796026D4" w14:textId="77777777" w:rsidR="0056119B" w:rsidRPr="00E11AB5" w:rsidRDefault="0056119B" w:rsidP="00E11AB5">
      <w:pPr>
        <w:spacing w:line="240" w:lineRule="auto"/>
        <w:rPr>
          <w:color w:val="auto"/>
        </w:rPr>
      </w:pPr>
    </w:p>
    <w:sectPr w:rsidR="0056119B" w:rsidRPr="00E11AB5" w:rsidSect="008F762D">
      <w:footerReference w:type="default" r:id="rId14"/>
      <w:headerReference w:type="first" r:id="rId15"/>
      <w:pgSz w:w="11899" w:h="16838" w:code="9"/>
      <w:pgMar w:top="709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A3C9" w14:textId="77777777" w:rsidR="006414E7" w:rsidRDefault="006414E7">
      <w:r>
        <w:separator/>
      </w:r>
    </w:p>
  </w:endnote>
  <w:endnote w:type="continuationSeparator" w:id="0">
    <w:p w14:paraId="45246FD9" w14:textId="77777777" w:rsidR="006414E7" w:rsidRDefault="006414E7">
      <w:r>
        <w:continuationSeparator/>
      </w:r>
    </w:p>
  </w:endnote>
  <w:endnote w:type="continuationNotice" w:id="1">
    <w:p w14:paraId="361B710E" w14:textId="77777777" w:rsidR="006414E7" w:rsidRDefault="006414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136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6CA31EBD" w14:textId="3FE0212C" w:rsidR="00DB229E" w:rsidRPr="00DB229E" w:rsidRDefault="008B2774">
        <w:pPr>
          <w:pStyle w:val="Stopka"/>
          <w:jc w:val="right"/>
          <w:rPr>
            <w:sz w:val="12"/>
          </w:rPr>
        </w:pPr>
        <w:r>
          <w:rPr>
            <w:noProof/>
            <w:sz w:val="12"/>
            <w:lang w:val="pl-PL" w:eastAsia="zh-TW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29AB2BF3" wp14:editId="392E4A2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-28575</wp:posOffset>
                  </wp:positionV>
                  <wp:extent cx="5681345" cy="617855"/>
                  <wp:effectExtent l="0" t="0" r="0" b="1270"/>
                  <wp:wrapNone/>
                  <wp:docPr id="1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13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6557A" w14:textId="77777777" w:rsidR="00DB229E" w:rsidRPr="007A45B9" w:rsidRDefault="00383DF7" w:rsidP="00DB229E">
                              <w:pPr>
                                <w:jc w:val="center"/>
                                <w:rPr>
                                  <w:color w:val="9AA2A4" w:themeColor="background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9AA2A4" w:themeColor="background2"/>
                                  <w:sz w:val="12"/>
                                  <w:szCs w:val="12"/>
                                  <w:lang w:val="pl"/>
                                </w:rPr>
                                <w:fldChar w:fldCharType="begin"/>
                              </w:r>
                              <w:r>
                                <w:rPr>
                                  <w:color w:val="9AA2A4" w:themeColor="background2"/>
                                  <w:sz w:val="12"/>
                                  <w:szCs w:val="12"/>
                                  <w:lang w:val="pl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9AA2A4" w:themeColor="background2"/>
                                  <w:sz w:val="12"/>
                                  <w:szCs w:val="12"/>
                                  <w:lang w:val="pl"/>
                                </w:rPr>
                                <w:fldChar w:fldCharType="separate"/>
                              </w:r>
                              <w:r w:rsidR="002746B8">
                                <w:rPr>
                                  <w:noProof/>
                                  <w:color w:val="9AA2A4" w:themeColor="background2"/>
                                  <w:sz w:val="12"/>
                                  <w:szCs w:val="12"/>
                                  <w:lang w:val="pl"/>
                                </w:rPr>
                                <w:t>2</w:t>
                              </w:r>
                              <w:r>
                                <w:rPr>
                                  <w:color w:val="9AA2A4" w:themeColor="background2"/>
                                  <w:sz w:val="12"/>
                                  <w:szCs w:val="12"/>
                                  <w:lang w:val="p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AB2BF3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0;margin-top:-2.25pt;width:447.35pt;height:48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" filled="f" stroked="f">
                  <v:textbox inset=",7.2pt,,7.2pt">
                    <w:txbxContent>
                      <w:p w14:paraId="7336557A" w14:textId="77777777" w:rsidR="00DB229E" w:rsidRPr="007A45B9" w:rsidRDefault="00383DF7" w:rsidP="00DB229E">
                        <w:pPr>
                          <w:jc w:val="center"/>
                          <w:rPr>
                            <w:color w:val="9AA2A4" w:themeColor="background2"/>
                            <w:sz w:val="12"/>
                            <w:szCs w:val="12"/>
                          </w:rPr>
                        </w:pPr>
                        <w:r>
                          <w:rPr>
                            <w:color w:val="9AA2A4" w:themeColor="background2"/>
                            <w:sz w:val="12"/>
                            <w:szCs w:val="12"/>
                            <w:lang w:val="pl"/>
                          </w:rPr>
                          <w:fldChar w:fldCharType="begin"/>
                        </w:r>
                        <w:r>
                          <w:rPr>
                            <w:color w:val="9AA2A4" w:themeColor="background2"/>
                            <w:sz w:val="12"/>
                            <w:szCs w:val="12"/>
                            <w:lang w:val="pl"/>
                          </w:rPr>
                          <w:instrText xml:space="preserve"> PAGE   \* MERGEFORMAT </w:instrText>
                        </w:r>
                        <w:r>
                          <w:rPr>
                            <w:color w:val="9AA2A4" w:themeColor="background2"/>
                            <w:sz w:val="12"/>
                            <w:szCs w:val="12"/>
                            <w:lang w:val="pl"/>
                          </w:rPr>
                          <w:fldChar w:fldCharType="separate"/>
                        </w:r>
                        <w:r w:rsidR="002746B8">
                          <w:rPr>
                            <w:noProof/>
                            <w:color w:val="9AA2A4" w:themeColor="background2"/>
                            <w:sz w:val="12"/>
                            <w:szCs w:val="12"/>
                            <w:lang w:val="pl"/>
                          </w:rPr>
                          <w:t>2</w:t>
                        </w:r>
                        <w:r>
                          <w:rPr>
                            <w:color w:val="9AA2A4" w:themeColor="background2"/>
                            <w:sz w:val="12"/>
                            <w:szCs w:val="12"/>
                            <w:lang w:val="pl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14:paraId="48DF248F" w14:textId="77777777" w:rsidR="004F3C20" w:rsidRDefault="004F3C20" w:rsidP="00DB229E">
    <w:pPr>
      <w:pStyle w:val="Stopka"/>
      <w:tabs>
        <w:tab w:val="clear" w:pos="4320"/>
        <w:tab w:val="clear" w:pos="8640"/>
        <w:tab w:val="left" w:pos="637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37CC" w14:textId="77777777" w:rsidR="006414E7" w:rsidRDefault="006414E7">
      <w:r>
        <w:separator/>
      </w:r>
    </w:p>
  </w:footnote>
  <w:footnote w:type="continuationSeparator" w:id="0">
    <w:p w14:paraId="38302FEA" w14:textId="77777777" w:rsidR="006414E7" w:rsidRDefault="006414E7">
      <w:r>
        <w:continuationSeparator/>
      </w:r>
    </w:p>
  </w:footnote>
  <w:footnote w:type="continuationNotice" w:id="1">
    <w:p w14:paraId="5A747885" w14:textId="77777777" w:rsidR="006414E7" w:rsidRDefault="006414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9B31" w14:textId="77777777" w:rsidR="00DB229E" w:rsidRDefault="00DB229E" w:rsidP="003B751A">
    <w:pPr>
      <w:pStyle w:val="Nagwek"/>
      <w:tabs>
        <w:tab w:val="clear" w:pos="4320"/>
        <w:tab w:val="clear" w:pos="8640"/>
        <w:tab w:val="center" w:pos="6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FF2"/>
    <w:multiLevelType w:val="hybridMultilevel"/>
    <w:tmpl w:val="2318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4EF6"/>
    <w:multiLevelType w:val="hybridMultilevel"/>
    <w:tmpl w:val="8910CF48"/>
    <w:lvl w:ilvl="0" w:tplc="90B26156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99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6F32"/>
    <w:multiLevelType w:val="hybridMultilevel"/>
    <w:tmpl w:val="46E8BCEC"/>
    <w:lvl w:ilvl="0" w:tplc="1F7C1C66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  <w:color w:val="C4123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edc9cb,#c1193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bU0MDEwMDQyMTNW0lEKTi0uzszPAykwrgUA6e7hKSwAAAA="/>
  </w:docVars>
  <w:rsids>
    <w:rsidRoot w:val="00212DFC"/>
    <w:rsid w:val="00006F2F"/>
    <w:rsid w:val="0000747E"/>
    <w:rsid w:val="00013FC8"/>
    <w:rsid w:val="00014AB6"/>
    <w:rsid w:val="00020672"/>
    <w:rsid w:val="00024E47"/>
    <w:rsid w:val="000265F7"/>
    <w:rsid w:val="00033A77"/>
    <w:rsid w:val="00033E66"/>
    <w:rsid w:val="00037AFD"/>
    <w:rsid w:val="00043FBA"/>
    <w:rsid w:val="000455C3"/>
    <w:rsid w:val="00057065"/>
    <w:rsid w:val="00061707"/>
    <w:rsid w:val="00070366"/>
    <w:rsid w:val="00075C24"/>
    <w:rsid w:val="000812A5"/>
    <w:rsid w:val="00082A5B"/>
    <w:rsid w:val="00083DDA"/>
    <w:rsid w:val="00084373"/>
    <w:rsid w:val="00085240"/>
    <w:rsid w:val="000A0AF5"/>
    <w:rsid w:val="000A242B"/>
    <w:rsid w:val="000A4381"/>
    <w:rsid w:val="000B0D38"/>
    <w:rsid w:val="000B2C10"/>
    <w:rsid w:val="000B39AC"/>
    <w:rsid w:val="000C3364"/>
    <w:rsid w:val="000D20D4"/>
    <w:rsid w:val="000E1062"/>
    <w:rsid w:val="000E6450"/>
    <w:rsid w:val="000E6554"/>
    <w:rsid w:val="000E6975"/>
    <w:rsid w:val="000E7452"/>
    <w:rsid w:val="000F0F8A"/>
    <w:rsid w:val="00102CE6"/>
    <w:rsid w:val="00111993"/>
    <w:rsid w:val="00112EF2"/>
    <w:rsid w:val="00113536"/>
    <w:rsid w:val="00120CC0"/>
    <w:rsid w:val="00125DC8"/>
    <w:rsid w:val="00130355"/>
    <w:rsid w:val="001303F1"/>
    <w:rsid w:val="00130F65"/>
    <w:rsid w:val="00134872"/>
    <w:rsid w:val="00137EC7"/>
    <w:rsid w:val="00143EFA"/>
    <w:rsid w:val="00145A45"/>
    <w:rsid w:val="00146B04"/>
    <w:rsid w:val="001533A1"/>
    <w:rsid w:val="00153A6D"/>
    <w:rsid w:val="00156B0A"/>
    <w:rsid w:val="00161DA5"/>
    <w:rsid w:val="00162DFA"/>
    <w:rsid w:val="00166646"/>
    <w:rsid w:val="00167431"/>
    <w:rsid w:val="00173922"/>
    <w:rsid w:val="00177F54"/>
    <w:rsid w:val="00181E88"/>
    <w:rsid w:val="001869F7"/>
    <w:rsid w:val="001910BE"/>
    <w:rsid w:val="00191ABE"/>
    <w:rsid w:val="001974C0"/>
    <w:rsid w:val="001A327C"/>
    <w:rsid w:val="001A6C35"/>
    <w:rsid w:val="001B6618"/>
    <w:rsid w:val="001D301F"/>
    <w:rsid w:val="001E7098"/>
    <w:rsid w:val="001F2E44"/>
    <w:rsid w:val="001F368F"/>
    <w:rsid w:val="001F4A4C"/>
    <w:rsid w:val="001F7E90"/>
    <w:rsid w:val="00202038"/>
    <w:rsid w:val="00212DFC"/>
    <w:rsid w:val="00243788"/>
    <w:rsid w:val="0025297E"/>
    <w:rsid w:val="0026244E"/>
    <w:rsid w:val="00264413"/>
    <w:rsid w:val="00265953"/>
    <w:rsid w:val="002746B8"/>
    <w:rsid w:val="0027632A"/>
    <w:rsid w:val="00281FB6"/>
    <w:rsid w:val="00295D3B"/>
    <w:rsid w:val="002A72F6"/>
    <w:rsid w:val="002B1DFB"/>
    <w:rsid w:val="002C489F"/>
    <w:rsid w:val="002C7923"/>
    <w:rsid w:val="002D5D63"/>
    <w:rsid w:val="002D6C5E"/>
    <w:rsid w:val="002E54AC"/>
    <w:rsid w:val="002E615D"/>
    <w:rsid w:val="002F2DD8"/>
    <w:rsid w:val="002F3774"/>
    <w:rsid w:val="002F7449"/>
    <w:rsid w:val="002F77EB"/>
    <w:rsid w:val="00300374"/>
    <w:rsid w:val="00310AF5"/>
    <w:rsid w:val="003114EE"/>
    <w:rsid w:val="00313B4B"/>
    <w:rsid w:val="00315799"/>
    <w:rsid w:val="003163D9"/>
    <w:rsid w:val="00317213"/>
    <w:rsid w:val="00324D75"/>
    <w:rsid w:val="003260D8"/>
    <w:rsid w:val="00331364"/>
    <w:rsid w:val="00332078"/>
    <w:rsid w:val="0033588C"/>
    <w:rsid w:val="003410B7"/>
    <w:rsid w:val="00356C1A"/>
    <w:rsid w:val="00357CF7"/>
    <w:rsid w:val="00361049"/>
    <w:rsid w:val="00365EC8"/>
    <w:rsid w:val="00371D74"/>
    <w:rsid w:val="003814AD"/>
    <w:rsid w:val="00383DF7"/>
    <w:rsid w:val="00396E34"/>
    <w:rsid w:val="00397AD4"/>
    <w:rsid w:val="003A3E72"/>
    <w:rsid w:val="003A6539"/>
    <w:rsid w:val="003B3B66"/>
    <w:rsid w:val="003B5633"/>
    <w:rsid w:val="003B5CDE"/>
    <w:rsid w:val="003B751A"/>
    <w:rsid w:val="003C511A"/>
    <w:rsid w:val="003D54B7"/>
    <w:rsid w:val="003D5BB5"/>
    <w:rsid w:val="003D5BEE"/>
    <w:rsid w:val="003D7104"/>
    <w:rsid w:val="003E720C"/>
    <w:rsid w:val="003F0564"/>
    <w:rsid w:val="003F16A6"/>
    <w:rsid w:val="003F366A"/>
    <w:rsid w:val="00400C1C"/>
    <w:rsid w:val="00402C16"/>
    <w:rsid w:val="00410A78"/>
    <w:rsid w:val="004112F2"/>
    <w:rsid w:val="00420571"/>
    <w:rsid w:val="00434C81"/>
    <w:rsid w:val="0045113F"/>
    <w:rsid w:val="00451ED8"/>
    <w:rsid w:val="00460E11"/>
    <w:rsid w:val="00461716"/>
    <w:rsid w:val="00464A91"/>
    <w:rsid w:val="00470141"/>
    <w:rsid w:val="00480759"/>
    <w:rsid w:val="00481D38"/>
    <w:rsid w:val="004A4311"/>
    <w:rsid w:val="004B7BE6"/>
    <w:rsid w:val="004C4369"/>
    <w:rsid w:val="004D3C2A"/>
    <w:rsid w:val="004D6416"/>
    <w:rsid w:val="004E7528"/>
    <w:rsid w:val="004F3C20"/>
    <w:rsid w:val="00514E5F"/>
    <w:rsid w:val="00520A79"/>
    <w:rsid w:val="00521F5B"/>
    <w:rsid w:val="00522034"/>
    <w:rsid w:val="005249F9"/>
    <w:rsid w:val="00527B91"/>
    <w:rsid w:val="00536C31"/>
    <w:rsid w:val="00542F14"/>
    <w:rsid w:val="00545A0B"/>
    <w:rsid w:val="0055590A"/>
    <w:rsid w:val="0056119B"/>
    <w:rsid w:val="005614AE"/>
    <w:rsid w:val="00566F9C"/>
    <w:rsid w:val="00576306"/>
    <w:rsid w:val="0058135B"/>
    <w:rsid w:val="00582165"/>
    <w:rsid w:val="00582C75"/>
    <w:rsid w:val="00595939"/>
    <w:rsid w:val="005A239C"/>
    <w:rsid w:val="005A4953"/>
    <w:rsid w:val="005A79EB"/>
    <w:rsid w:val="005B2B0C"/>
    <w:rsid w:val="005B3557"/>
    <w:rsid w:val="005C0C18"/>
    <w:rsid w:val="005C338A"/>
    <w:rsid w:val="005D202D"/>
    <w:rsid w:val="005E4B92"/>
    <w:rsid w:val="005E5A69"/>
    <w:rsid w:val="005F388C"/>
    <w:rsid w:val="005F5106"/>
    <w:rsid w:val="00601EAB"/>
    <w:rsid w:val="00604C2E"/>
    <w:rsid w:val="0061752E"/>
    <w:rsid w:val="006248AF"/>
    <w:rsid w:val="00627FA1"/>
    <w:rsid w:val="006325B4"/>
    <w:rsid w:val="006357D6"/>
    <w:rsid w:val="00635E02"/>
    <w:rsid w:val="00637979"/>
    <w:rsid w:val="00637F9D"/>
    <w:rsid w:val="00640E00"/>
    <w:rsid w:val="006414E7"/>
    <w:rsid w:val="00641A72"/>
    <w:rsid w:val="0064458B"/>
    <w:rsid w:val="00646017"/>
    <w:rsid w:val="00650E67"/>
    <w:rsid w:val="0065366B"/>
    <w:rsid w:val="0065523B"/>
    <w:rsid w:val="00665D2F"/>
    <w:rsid w:val="00670588"/>
    <w:rsid w:val="00672253"/>
    <w:rsid w:val="0067445D"/>
    <w:rsid w:val="006818D6"/>
    <w:rsid w:val="00684D78"/>
    <w:rsid w:val="00690356"/>
    <w:rsid w:val="006913AE"/>
    <w:rsid w:val="006936AA"/>
    <w:rsid w:val="006A254D"/>
    <w:rsid w:val="006A59C2"/>
    <w:rsid w:val="006B2319"/>
    <w:rsid w:val="006C1A62"/>
    <w:rsid w:val="006C7908"/>
    <w:rsid w:val="006E6FB4"/>
    <w:rsid w:val="006F1777"/>
    <w:rsid w:val="006F1B3D"/>
    <w:rsid w:val="007024E6"/>
    <w:rsid w:val="00706D0E"/>
    <w:rsid w:val="00712036"/>
    <w:rsid w:val="00744884"/>
    <w:rsid w:val="00752306"/>
    <w:rsid w:val="0075336E"/>
    <w:rsid w:val="00753C24"/>
    <w:rsid w:val="00754F3E"/>
    <w:rsid w:val="007561EF"/>
    <w:rsid w:val="0077641F"/>
    <w:rsid w:val="00783931"/>
    <w:rsid w:val="007A45B9"/>
    <w:rsid w:val="007A4B96"/>
    <w:rsid w:val="007B285A"/>
    <w:rsid w:val="007B33BF"/>
    <w:rsid w:val="007B5DEB"/>
    <w:rsid w:val="007B69ED"/>
    <w:rsid w:val="007B754C"/>
    <w:rsid w:val="007D1139"/>
    <w:rsid w:val="007D11B4"/>
    <w:rsid w:val="007D459E"/>
    <w:rsid w:val="007D6505"/>
    <w:rsid w:val="007D6C65"/>
    <w:rsid w:val="007D7926"/>
    <w:rsid w:val="007D7A9B"/>
    <w:rsid w:val="007E2A65"/>
    <w:rsid w:val="007E571F"/>
    <w:rsid w:val="007F0070"/>
    <w:rsid w:val="007F47DB"/>
    <w:rsid w:val="007F64E6"/>
    <w:rsid w:val="007F7254"/>
    <w:rsid w:val="007F734D"/>
    <w:rsid w:val="0080129F"/>
    <w:rsid w:val="0080755A"/>
    <w:rsid w:val="008116C0"/>
    <w:rsid w:val="00822440"/>
    <w:rsid w:val="008245EA"/>
    <w:rsid w:val="008304C1"/>
    <w:rsid w:val="00840675"/>
    <w:rsid w:val="00841336"/>
    <w:rsid w:val="00842B5C"/>
    <w:rsid w:val="008455BC"/>
    <w:rsid w:val="0086065C"/>
    <w:rsid w:val="008626E1"/>
    <w:rsid w:val="008661D6"/>
    <w:rsid w:val="00871D6D"/>
    <w:rsid w:val="00896D99"/>
    <w:rsid w:val="008972B8"/>
    <w:rsid w:val="008A2052"/>
    <w:rsid w:val="008A54D2"/>
    <w:rsid w:val="008A611D"/>
    <w:rsid w:val="008A724B"/>
    <w:rsid w:val="008B2774"/>
    <w:rsid w:val="008B3EBF"/>
    <w:rsid w:val="008C3BC4"/>
    <w:rsid w:val="008C4D1A"/>
    <w:rsid w:val="008D27D5"/>
    <w:rsid w:val="008D6B23"/>
    <w:rsid w:val="008D7CD1"/>
    <w:rsid w:val="008E067A"/>
    <w:rsid w:val="008E169F"/>
    <w:rsid w:val="008E35E9"/>
    <w:rsid w:val="008E3CEF"/>
    <w:rsid w:val="008F66A9"/>
    <w:rsid w:val="008F762D"/>
    <w:rsid w:val="00901509"/>
    <w:rsid w:val="00910DC4"/>
    <w:rsid w:val="00924157"/>
    <w:rsid w:val="00926514"/>
    <w:rsid w:val="00934AE7"/>
    <w:rsid w:val="009355F1"/>
    <w:rsid w:val="00943C5E"/>
    <w:rsid w:val="00967595"/>
    <w:rsid w:val="009779DF"/>
    <w:rsid w:val="0098424D"/>
    <w:rsid w:val="009A0F5E"/>
    <w:rsid w:val="009A69BC"/>
    <w:rsid w:val="009B0818"/>
    <w:rsid w:val="009B2806"/>
    <w:rsid w:val="009B334E"/>
    <w:rsid w:val="009B67F3"/>
    <w:rsid w:val="009C0333"/>
    <w:rsid w:val="009D77B4"/>
    <w:rsid w:val="009E288F"/>
    <w:rsid w:val="009E3321"/>
    <w:rsid w:val="009F29B0"/>
    <w:rsid w:val="00A00BDA"/>
    <w:rsid w:val="00A05320"/>
    <w:rsid w:val="00A05773"/>
    <w:rsid w:val="00A15481"/>
    <w:rsid w:val="00A172AD"/>
    <w:rsid w:val="00A178BD"/>
    <w:rsid w:val="00A21294"/>
    <w:rsid w:val="00A311FB"/>
    <w:rsid w:val="00A31854"/>
    <w:rsid w:val="00A324F1"/>
    <w:rsid w:val="00A33432"/>
    <w:rsid w:val="00A33FF3"/>
    <w:rsid w:val="00A361B3"/>
    <w:rsid w:val="00A70A65"/>
    <w:rsid w:val="00A7461C"/>
    <w:rsid w:val="00A83F6D"/>
    <w:rsid w:val="00A851D7"/>
    <w:rsid w:val="00AC1625"/>
    <w:rsid w:val="00AC1FAC"/>
    <w:rsid w:val="00AC42BF"/>
    <w:rsid w:val="00AC520B"/>
    <w:rsid w:val="00AC7D13"/>
    <w:rsid w:val="00AD1050"/>
    <w:rsid w:val="00AD37C7"/>
    <w:rsid w:val="00AE1984"/>
    <w:rsid w:val="00AE2095"/>
    <w:rsid w:val="00B02B00"/>
    <w:rsid w:val="00B349FF"/>
    <w:rsid w:val="00B51467"/>
    <w:rsid w:val="00B549A0"/>
    <w:rsid w:val="00B57B79"/>
    <w:rsid w:val="00B6688B"/>
    <w:rsid w:val="00B7058C"/>
    <w:rsid w:val="00B71F47"/>
    <w:rsid w:val="00B72E8C"/>
    <w:rsid w:val="00B94F70"/>
    <w:rsid w:val="00BA7424"/>
    <w:rsid w:val="00BC2883"/>
    <w:rsid w:val="00BC3962"/>
    <w:rsid w:val="00BD5D52"/>
    <w:rsid w:val="00BD5E3B"/>
    <w:rsid w:val="00BE2635"/>
    <w:rsid w:val="00BE35EA"/>
    <w:rsid w:val="00BF1DA9"/>
    <w:rsid w:val="00BF2A28"/>
    <w:rsid w:val="00BF4688"/>
    <w:rsid w:val="00C01836"/>
    <w:rsid w:val="00C11D3A"/>
    <w:rsid w:val="00C13581"/>
    <w:rsid w:val="00C20ACA"/>
    <w:rsid w:val="00C2485B"/>
    <w:rsid w:val="00C27215"/>
    <w:rsid w:val="00C2780B"/>
    <w:rsid w:val="00C27C12"/>
    <w:rsid w:val="00C521B4"/>
    <w:rsid w:val="00C6662D"/>
    <w:rsid w:val="00C8003A"/>
    <w:rsid w:val="00CA3047"/>
    <w:rsid w:val="00CE3C7A"/>
    <w:rsid w:val="00CF0A73"/>
    <w:rsid w:val="00CF34AC"/>
    <w:rsid w:val="00CF50EE"/>
    <w:rsid w:val="00CF635A"/>
    <w:rsid w:val="00D00006"/>
    <w:rsid w:val="00D01FAA"/>
    <w:rsid w:val="00D1481C"/>
    <w:rsid w:val="00D16743"/>
    <w:rsid w:val="00D257B0"/>
    <w:rsid w:val="00D264E4"/>
    <w:rsid w:val="00D266C4"/>
    <w:rsid w:val="00D269D3"/>
    <w:rsid w:val="00D276C1"/>
    <w:rsid w:val="00D27EA5"/>
    <w:rsid w:val="00D37E69"/>
    <w:rsid w:val="00D4230C"/>
    <w:rsid w:val="00D456A7"/>
    <w:rsid w:val="00D670AD"/>
    <w:rsid w:val="00D76140"/>
    <w:rsid w:val="00D81B32"/>
    <w:rsid w:val="00D953C8"/>
    <w:rsid w:val="00D95BE6"/>
    <w:rsid w:val="00DA3CFE"/>
    <w:rsid w:val="00DA3FBE"/>
    <w:rsid w:val="00DA4246"/>
    <w:rsid w:val="00DA6BB5"/>
    <w:rsid w:val="00DB229E"/>
    <w:rsid w:val="00DB28FC"/>
    <w:rsid w:val="00DB797A"/>
    <w:rsid w:val="00DC0608"/>
    <w:rsid w:val="00DC17B9"/>
    <w:rsid w:val="00DC22A8"/>
    <w:rsid w:val="00DC5CCA"/>
    <w:rsid w:val="00DD23DE"/>
    <w:rsid w:val="00DD2F90"/>
    <w:rsid w:val="00DD7942"/>
    <w:rsid w:val="00DE53BE"/>
    <w:rsid w:val="00DE6FA3"/>
    <w:rsid w:val="00DE700B"/>
    <w:rsid w:val="00DF21C3"/>
    <w:rsid w:val="00DF5064"/>
    <w:rsid w:val="00DF79A1"/>
    <w:rsid w:val="00E06468"/>
    <w:rsid w:val="00E069A3"/>
    <w:rsid w:val="00E11AB5"/>
    <w:rsid w:val="00E16C5B"/>
    <w:rsid w:val="00E2166D"/>
    <w:rsid w:val="00E2692A"/>
    <w:rsid w:val="00E4177E"/>
    <w:rsid w:val="00E50BC6"/>
    <w:rsid w:val="00E52E98"/>
    <w:rsid w:val="00E75AB7"/>
    <w:rsid w:val="00E76BD2"/>
    <w:rsid w:val="00E7746C"/>
    <w:rsid w:val="00E8760E"/>
    <w:rsid w:val="00EA363F"/>
    <w:rsid w:val="00EA710F"/>
    <w:rsid w:val="00EA7B5A"/>
    <w:rsid w:val="00EB0399"/>
    <w:rsid w:val="00EB2957"/>
    <w:rsid w:val="00EB49EE"/>
    <w:rsid w:val="00ED30A2"/>
    <w:rsid w:val="00EE31F6"/>
    <w:rsid w:val="00EF20C2"/>
    <w:rsid w:val="00EF406C"/>
    <w:rsid w:val="00F03495"/>
    <w:rsid w:val="00F062D7"/>
    <w:rsid w:val="00F07E1E"/>
    <w:rsid w:val="00F12BE2"/>
    <w:rsid w:val="00F22326"/>
    <w:rsid w:val="00F2511C"/>
    <w:rsid w:val="00F26761"/>
    <w:rsid w:val="00F31B35"/>
    <w:rsid w:val="00F3683A"/>
    <w:rsid w:val="00F45987"/>
    <w:rsid w:val="00F503E3"/>
    <w:rsid w:val="00F636B9"/>
    <w:rsid w:val="00F70908"/>
    <w:rsid w:val="00F84637"/>
    <w:rsid w:val="00F86352"/>
    <w:rsid w:val="00F942A3"/>
    <w:rsid w:val="00F9517F"/>
    <w:rsid w:val="00FB33AE"/>
    <w:rsid w:val="00FB3F2E"/>
    <w:rsid w:val="00FB63AC"/>
    <w:rsid w:val="00FE42DA"/>
    <w:rsid w:val="00FE57A5"/>
    <w:rsid w:val="00FF0AC5"/>
    <w:rsid w:val="00FF2884"/>
    <w:rsid w:val="00FF32C2"/>
    <w:rsid w:val="00FF3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dc9cb,#c11938"/>
    </o:shapedefaults>
    <o:shapelayout v:ext="edit">
      <o:idmap v:ext="edit" data="1"/>
    </o:shapelayout>
  </w:shapeDefaults>
  <w:decimalSymbol w:val=","/>
  <w:listSeparator w:val=";"/>
  <w14:docId w14:val="53AB97DD"/>
  <w15:chartTrackingRefBased/>
  <w15:docId w15:val="{6B4CE91A-9C5C-4F60-8A05-21F6273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color w:val="061922" w:themeColor="text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FC"/>
    <w:pPr>
      <w:spacing w:line="264" w:lineRule="atLeast"/>
    </w:pPr>
    <w:rPr>
      <w:rFonts w:asciiTheme="minorHAnsi" w:hAnsiTheme="minorHAnsi"/>
      <w:color w:val="174A7C" w:themeColor="accent3"/>
      <w:lang w:val="fr-FR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2485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7B285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C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C20"/>
  </w:style>
  <w:style w:type="paragraph" w:styleId="Stopka">
    <w:name w:val="footer"/>
    <w:basedOn w:val="Normalny"/>
    <w:link w:val="StopkaZnak"/>
    <w:uiPriority w:val="2"/>
    <w:unhideWhenUsed/>
    <w:rsid w:val="004F3C2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2"/>
    <w:rsid w:val="00641A72"/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641A72"/>
    <w:pPr>
      <w:spacing w:after="280"/>
      <w:contextualSpacing/>
    </w:pPr>
    <w:rPr>
      <w:rFonts w:eastAsiaTheme="majorEastAsia" w:cstheme="majorBidi"/>
      <w:color w:val="041219" w:themeColor="text2" w:themeShade="BF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1A72"/>
    <w:rPr>
      <w:rFonts w:ascii="Arial" w:eastAsiaTheme="majorEastAsia" w:hAnsi="Arial" w:cstheme="majorBidi"/>
      <w:color w:val="041219" w:themeColor="text2" w:themeShade="BF"/>
      <w:kern w:val="28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C2485B"/>
    <w:rPr>
      <w:rFonts w:eastAsiaTheme="majorEastAsia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641A72"/>
    <w:rPr>
      <w:rFonts w:eastAsiaTheme="majorEastAsia" w:cstheme="majorBidi"/>
      <w:b/>
      <w:bCs/>
      <w:szCs w:val="26"/>
    </w:rPr>
  </w:style>
  <w:style w:type="paragraph" w:styleId="Akapitzlist">
    <w:name w:val="List Paragraph"/>
    <w:basedOn w:val="Normalny"/>
    <w:uiPriority w:val="34"/>
    <w:semiHidden/>
    <w:rsid w:val="00641A72"/>
    <w:pPr>
      <w:ind w:left="720"/>
      <w:contextualSpacing/>
    </w:pPr>
  </w:style>
  <w:style w:type="paragraph" w:customStyle="1" w:styleId="Aufzhlung">
    <w:name w:val="Aufzählung"/>
    <w:basedOn w:val="Akapitzlist"/>
    <w:uiPriority w:val="2"/>
    <w:qFormat/>
    <w:rsid w:val="000A0AF5"/>
    <w:pPr>
      <w:numPr>
        <w:numId w:val="1"/>
      </w:numPr>
    </w:pPr>
  </w:style>
  <w:style w:type="paragraph" w:customStyle="1" w:styleId="Liste1">
    <w:name w:val="Liste1"/>
    <w:basedOn w:val="Akapitzlist"/>
    <w:uiPriority w:val="2"/>
    <w:qFormat/>
    <w:rsid w:val="00641A72"/>
    <w:pPr>
      <w:numPr>
        <w:numId w:val="2"/>
      </w:numPr>
      <w:ind w:left="397" w:hanging="397"/>
    </w:pPr>
  </w:style>
  <w:style w:type="character" w:styleId="Hipercze">
    <w:name w:val="Hyperlink"/>
    <w:basedOn w:val="Domylnaczcionkaakapitu"/>
    <w:uiPriority w:val="99"/>
    <w:unhideWhenUsed/>
    <w:rsid w:val="00641A72"/>
    <w:rPr>
      <w:color w:val="C41230" w:themeColor="hyperlink"/>
      <w:u w:val="single"/>
    </w:rPr>
  </w:style>
  <w:style w:type="table" w:styleId="Tabela-Siatka">
    <w:name w:val="Table Grid"/>
    <w:basedOn w:val="Standardowy"/>
    <w:uiPriority w:val="59"/>
    <w:rsid w:val="007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Standardowy"/>
    <w:uiPriority w:val="99"/>
    <w:qFormat/>
    <w:rsid w:val="009B2806"/>
    <w:tblPr>
      <w:tblBorders>
        <w:bottom w:val="single" w:sz="12" w:space="0" w:color="C41230" w:themeColor="text1"/>
      </w:tblBorders>
    </w:tblPr>
    <w:tblStylePr w:type="firstRow">
      <w:rPr>
        <w:b/>
      </w:rPr>
      <w:tblPr/>
      <w:tcPr>
        <w:tcBorders>
          <w:top w:val="single" w:sz="12" w:space="0" w:color="C41230" w:themeColor="text1"/>
          <w:bottom w:val="single" w:sz="12" w:space="0" w:color="C41230" w:themeColor="text1"/>
        </w:tcBorders>
      </w:tcPr>
    </w:tblStylePr>
    <w:tblStylePr w:type="lastRow">
      <w:rPr>
        <w:b/>
      </w:rPr>
      <w:tblPr/>
      <w:tcPr>
        <w:tcBorders>
          <w:top w:val="single" w:sz="12" w:space="0" w:color="C41230" w:themeColor="text1"/>
          <w:bottom w:val="single" w:sz="12" w:space="0" w:color="C4123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yle2">
    <w:name w:val="Style2"/>
    <w:basedOn w:val="Standardowy"/>
    <w:uiPriority w:val="99"/>
    <w:qFormat/>
    <w:rsid w:val="009B2806"/>
    <w:tblPr>
      <w:tblBorders>
        <w:top w:val="single" w:sz="12" w:space="0" w:color="9AA2A4" w:themeColor="background2"/>
        <w:left w:val="single" w:sz="12" w:space="0" w:color="9AA2A4" w:themeColor="background2"/>
        <w:bottom w:val="single" w:sz="12" w:space="0" w:color="9AA2A4" w:themeColor="background2"/>
        <w:right w:val="single" w:sz="12" w:space="0" w:color="9AA2A4" w:themeColor="background2"/>
        <w:insideH w:val="single" w:sz="6" w:space="0" w:color="9AA2A4" w:themeColor="background2"/>
        <w:insideV w:val="single" w:sz="6" w:space="0" w:color="9AA2A4" w:themeColor="background2"/>
      </w:tblBorders>
    </w:tblPr>
    <w:tblStylePr w:type="firstRow">
      <w:tblPr/>
      <w:tcPr>
        <w:tcBorders>
          <w:top w:val="single" w:sz="12" w:space="0" w:color="9AA2A4" w:themeColor="background2"/>
          <w:left w:val="single" w:sz="12" w:space="0" w:color="9AA2A4" w:themeColor="background2"/>
          <w:bottom w:val="single" w:sz="12" w:space="0" w:color="9AA2A4" w:themeColor="background2"/>
          <w:right w:val="single" w:sz="12" w:space="0" w:color="9AA2A4" w:themeColor="background2"/>
        </w:tcBorders>
      </w:tcPr>
    </w:tblStylePr>
    <w:tblStylePr w:type="lastRow">
      <w:tblPr/>
      <w:tcPr>
        <w:tcBorders>
          <w:top w:val="single" w:sz="12" w:space="0" w:color="9AA2A4" w:themeColor="background2"/>
          <w:left w:val="single" w:sz="12" w:space="0" w:color="9AA2A4" w:themeColor="background2"/>
          <w:bottom w:val="single" w:sz="12" w:space="0" w:color="9AA2A4" w:themeColor="background2"/>
          <w:right w:val="single" w:sz="12" w:space="0" w:color="9AA2A4" w:themeColor="background2"/>
        </w:tcBorders>
      </w:tcPr>
    </w:tblStylePr>
    <w:tblStylePr w:type="firstCol">
      <w:tblPr/>
      <w:tcPr>
        <w:tcBorders>
          <w:top w:val="single" w:sz="12" w:space="0" w:color="9AA2A4" w:themeColor="background2"/>
          <w:left w:val="single" w:sz="12" w:space="0" w:color="9AA2A4" w:themeColor="background2"/>
          <w:bottom w:val="single" w:sz="12" w:space="0" w:color="9AA2A4" w:themeColor="background2"/>
          <w:right w:val="single" w:sz="12" w:space="0" w:color="9AA2A4" w:themeColor="background2"/>
        </w:tcBorders>
      </w:tcPr>
    </w:tblStylePr>
    <w:tblStylePr w:type="lastCol">
      <w:tblPr/>
      <w:tcPr>
        <w:tcBorders>
          <w:top w:val="single" w:sz="12" w:space="0" w:color="9AA2A4" w:themeColor="background2"/>
          <w:left w:val="single" w:sz="12" w:space="0" w:color="9AA2A4" w:themeColor="background2"/>
          <w:bottom w:val="single" w:sz="12" w:space="0" w:color="9AA2A4" w:themeColor="background2"/>
          <w:right w:val="single" w:sz="12" w:space="0" w:color="9AA2A4" w:themeColor="background2"/>
        </w:tcBorders>
      </w:tcPr>
    </w:tblStylePr>
  </w:style>
  <w:style w:type="table" w:customStyle="1" w:styleId="Style3">
    <w:name w:val="Style3"/>
    <w:basedOn w:val="Standardowy"/>
    <w:uiPriority w:val="99"/>
    <w:qFormat/>
    <w:rsid w:val="0025297E"/>
    <w:tblPr>
      <w:tblBorders>
        <w:top w:val="single" w:sz="6" w:space="0" w:color="9AA2A4" w:themeColor="background2"/>
        <w:bottom w:val="single" w:sz="12" w:space="0" w:color="C41230" w:themeColor="text1"/>
        <w:insideH w:val="single" w:sz="6" w:space="0" w:color="9AA2A4" w:themeColor="background2"/>
        <w:insideV w:val="single" w:sz="6" w:space="0" w:color="9AA2A4" w:themeColor="background2"/>
      </w:tblBorders>
    </w:tblPr>
    <w:tblStylePr w:type="firstRow">
      <w:tblPr/>
      <w:tcPr>
        <w:tcBorders>
          <w:top w:val="single" w:sz="12" w:space="0" w:color="C41230" w:themeColor="text1"/>
          <w:left w:val="nil"/>
          <w:bottom w:val="single" w:sz="12" w:space="0" w:color="C41230" w:themeColor="text1"/>
        </w:tcBorders>
      </w:tcPr>
    </w:tblStylePr>
    <w:tblStylePr w:type="lastRow">
      <w:tblPr/>
      <w:tcPr>
        <w:tcBorders>
          <w:top w:val="single" w:sz="12" w:space="0" w:color="C41230" w:themeColor="text1"/>
          <w:left w:val="nil"/>
          <w:bottom w:val="single" w:sz="12" w:space="0" w:color="C41230" w:themeColor="text1"/>
        </w:tcBorders>
      </w:tcPr>
    </w:tblStylePr>
    <w:tblStylePr w:type="firstCol">
      <w:tblPr/>
      <w:tcPr>
        <w:tcBorders>
          <w:left w:val="nil"/>
          <w:right w:val="single" w:sz="12" w:space="0" w:color="C41230" w:themeColor="text1"/>
        </w:tcBorders>
      </w:tcPr>
    </w:tblStylePr>
    <w:tblStylePr w:type="lastCol">
      <w:tblPr/>
      <w:tcPr>
        <w:tcBorders>
          <w:left w:val="single" w:sz="12" w:space="0" w:color="C41230" w:themeColor="text1"/>
          <w:right w:val="nil"/>
        </w:tcBorders>
      </w:tcPr>
    </w:tblStylePr>
  </w:style>
  <w:style w:type="table" w:customStyle="1" w:styleId="Style4">
    <w:name w:val="Style4"/>
    <w:basedOn w:val="Style1"/>
    <w:uiPriority w:val="99"/>
    <w:qFormat/>
    <w:rsid w:val="006C7908"/>
    <w:tblPr>
      <w:tblStyleRowBandSize w:val="1"/>
      <w:tblBorders>
        <w:top w:val="single" w:sz="6" w:space="0" w:color="9AA2A4" w:themeColor="background2"/>
        <w:left w:val="single" w:sz="6" w:space="0" w:color="9AA2A4" w:themeColor="background2"/>
        <w:bottom w:val="single" w:sz="6" w:space="0" w:color="9AA2A4" w:themeColor="background2"/>
        <w:right w:val="single" w:sz="6" w:space="0" w:color="9AA2A4" w:themeColor="background2"/>
        <w:insideH w:val="single" w:sz="6" w:space="0" w:color="9AA2A4" w:themeColor="background2"/>
        <w:insideV w:val="single" w:sz="6" w:space="0" w:color="9AA2A4" w:themeColor="background2"/>
      </w:tblBorders>
    </w:tblPr>
    <w:tblStylePr w:type="firstRow">
      <w:rPr>
        <w:b/>
        <w:color w:val="FFFFFF" w:themeColor="background1"/>
      </w:rPr>
      <w:tblPr/>
      <w:tcPr>
        <w:tcBorders>
          <w:top w:val="single" w:sz="6" w:space="0" w:color="C41230" w:themeColor="text1"/>
          <w:left w:val="single" w:sz="6" w:space="0" w:color="C41230" w:themeColor="text1"/>
          <w:bottom w:val="single" w:sz="6" w:space="0" w:color="C41230" w:themeColor="text1"/>
          <w:right w:val="single" w:sz="6" w:space="0" w:color="C41230" w:themeColor="text1"/>
          <w:insideH w:val="single" w:sz="6" w:space="0" w:color="C41230" w:themeColor="text1"/>
          <w:insideV w:val="single" w:sz="6" w:space="0" w:color="C41230" w:themeColor="text1"/>
        </w:tcBorders>
        <w:shd w:val="clear" w:color="auto" w:fill="C41230" w:themeFill="text1"/>
      </w:tcPr>
    </w:tblStylePr>
    <w:tblStylePr w:type="lastRow">
      <w:rPr>
        <w:b/>
      </w:rPr>
      <w:tblPr/>
      <w:tcPr>
        <w:tcBorders>
          <w:top w:val="single" w:sz="12" w:space="0" w:color="C41230" w:themeColor="text1"/>
          <w:bottom w:val="single" w:sz="12" w:space="0" w:color="C4123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itleofdocument">
    <w:name w:val="Title of document"/>
    <w:basedOn w:val="Normalny"/>
    <w:qFormat/>
    <w:rsid w:val="00212DFC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character" w:customStyle="1" w:styleId="Textred">
    <w:name w:val="Text red"/>
    <w:basedOn w:val="Domylnaczcionkaakapitu"/>
    <w:uiPriority w:val="1"/>
    <w:qFormat/>
    <w:rsid w:val="00212DFC"/>
    <w:rPr>
      <w:b/>
      <w:color w:val="FBB040" w:themeColor="accent1"/>
    </w:rPr>
  </w:style>
  <w:style w:type="paragraph" w:customStyle="1" w:styleId="Text">
    <w:name w:val="Text"/>
    <w:basedOn w:val="Normalny"/>
    <w:qFormat/>
    <w:rsid w:val="00212DFC"/>
    <w:pPr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DFC"/>
    <w:rPr>
      <w:rFonts w:asciiTheme="minorHAnsi" w:hAnsiTheme="minorHAnsi"/>
      <w:color w:val="174A7C" w:themeColor="accent3"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FC"/>
    <w:rPr>
      <w:rFonts w:ascii="Segoe UI" w:hAnsi="Segoe UI" w:cs="Segoe UI"/>
      <w:color w:val="174A7C" w:themeColor="accent3"/>
      <w:sz w:val="18"/>
      <w:szCs w:val="18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413"/>
    <w:rPr>
      <w:rFonts w:asciiTheme="minorHAnsi" w:hAnsiTheme="minorHAnsi"/>
      <w:b/>
      <w:bCs/>
      <w:color w:val="174A7C" w:themeColor="accent3"/>
      <w:sz w:val="20"/>
      <w:szCs w:val="20"/>
      <w:lang w:val="fr-FR"/>
    </w:rPr>
  </w:style>
  <w:style w:type="character" w:styleId="Uwydatnienie">
    <w:name w:val="Emphasis"/>
    <w:basedOn w:val="Domylnaczcionkaakapitu"/>
    <w:uiPriority w:val="20"/>
    <w:qFormat/>
    <w:rsid w:val="00A2129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AB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2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29B0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0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113F"/>
    <w:rPr>
      <w:rFonts w:asciiTheme="minorHAnsi" w:hAnsiTheme="minorHAnsi"/>
      <w:color w:val="174A7C" w:themeColor="accent3"/>
      <w:lang w:val="fr-FR"/>
    </w:rPr>
  </w:style>
  <w:style w:type="character" w:styleId="UyteHipercze">
    <w:name w:val="FollowedHyperlink"/>
    <w:basedOn w:val="Domylnaczcionkaakapitu"/>
    <w:uiPriority w:val="99"/>
    <w:semiHidden/>
    <w:unhideWhenUsed/>
    <w:rsid w:val="00315799"/>
    <w:rPr>
      <w:color w:val="9B8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tokaj@contrust.pl%20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ill+Knowlton Strategies COLORS">
      <a:dk1>
        <a:srgbClr val="C41230"/>
      </a:dk1>
      <a:lt1>
        <a:srgbClr val="FFFFFF"/>
      </a:lt1>
      <a:dk2>
        <a:srgbClr val="061922"/>
      </a:dk2>
      <a:lt2>
        <a:srgbClr val="9AA2A4"/>
      </a:lt2>
      <a:accent1>
        <a:srgbClr val="FBB040"/>
      </a:accent1>
      <a:accent2>
        <a:srgbClr val="007B85"/>
      </a:accent2>
      <a:accent3>
        <a:srgbClr val="174A7C"/>
      </a:accent3>
      <a:accent4>
        <a:srgbClr val="E7D8AC"/>
      </a:accent4>
      <a:accent5>
        <a:srgbClr val="6D7577"/>
      </a:accent5>
      <a:accent6>
        <a:srgbClr val="494F50"/>
      </a:accent6>
      <a:hlink>
        <a:srgbClr val="C41230"/>
      </a:hlink>
      <a:folHlink>
        <a:srgbClr val="9B867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4572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3000" b="0" i="0" u="none" strike="noStrike" kern="1200" cap="none" spc="0" normalizeH="0" baseline="0" noProof="0" dirty="0" smtClean="0">
            <a:ln>
              <a:noFill/>
            </a:ln>
            <a:solidFill>
              <a:schemeClr val="bg1"/>
            </a:solidFill>
            <a:effectLst/>
            <a:uLnTx/>
            <a:uFillTx/>
            <a:latin typeface="+mj-lt"/>
            <a:ea typeface="ＭＳ Ｐゴシック" charset="-128"/>
            <a:cs typeface="ＭＳ Ｐゴシック" charset="-128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EE99A99BA92498F3783A9B2B2ADC4" ma:contentTypeVersion="13" ma:contentTypeDescription="Create a new document." ma:contentTypeScope="" ma:versionID="7eb5f794e5b0e32a2c3a25eef871e067">
  <xsd:schema xmlns:xsd="http://www.w3.org/2001/XMLSchema" xmlns:xs="http://www.w3.org/2001/XMLSchema" xmlns:p="http://schemas.microsoft.com/office/2006/metadata/properties" xmlns:ns3="4de47dca-89db-49f5-96e9-22a0d9ab0f28" xmlns:ns4="c922b9ec-aa0f-4401-893d-2006e66fc130" targetNamespace="http://schemas.microsoft.com/office/2006/metadata/properties" ma:root="true" ma:fieldsID="af4d02f6301091ce540358c898c3fec1" ns3:_="" ns4:_="">
    <xsd:import namespace="4de47dca-89db-49f5-96e9-22a0d9ab0f28"/>
    <xsd:import namespace="c922b9ec-aa0f-4401-893d-2006e66fc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47dca-89db-49f5-96e9-22a0d9ab0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b9ec-aa0f-4401-893d-2006e66fc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BC99C-D434-468B-85FE-485F9E631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582FE-7444-49DB-B020-B49671844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47dca-89db-49f5-96e9-22a0d9ab0f28"/>
    <ds:schemaRef ds:uri="c922b9ec-aa0f-4401-893d-2006e66fc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5665F-0547-4AC2-9E54-62CE6BD20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Heitmann</dc:creator>
  <cp:keywords/>
  <dc:description/>
  <cp:lastModifiedBy>Magdalena Tokaj</cp:lastModifiedBy>
  <cp:revision>4</cp:revision>
  <cp:lastPrinted>2020-03-05T10:43:00Z</cp:lastPrinted>
  <dcterms:created xsi:type="dcterms:W3CDTF">2020-05-25T13:09:00Z</dcterms:created>
  <dcterms:modified xsi:type="dcterms:W3CDTF">2020-05-26T05:27:00Z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0x01010016EEE99A99BA92498F3783A9B2B2ADC4</vt:lpwstr>
  </property>
</Properties>
</file>