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91670" w14:textId="48E77751" w:rsidR="00805F09" w:rsidRPr="00970B69" w:rsidRDefault="00095221" w:rsidP="001967F2">
      <w:pPr>
        <w:pStyle w:val="BodyA"/>
        <w:widowControl w:val="0"/>
        <w:suppressAutoHyphens/>
        <w:spacing w:after="240" w:line="264" w:lineRule="auto"/>
        <w:jc w:val="center"/>
        <w:rPr>
          <w:b/>
          <w:bCs/>
          <w:sz w:val="37"/>
          <w:szCs w:val="37"/>
        </w:rPr>
      </w:pPr>
      <w:bookmarkStart w:id="0" w:name="_Hlk40201835"/>
      <w:r w:rsidRPr="00970B69">
        <w:rPr>
          <w:b/>
          <w:bCs/>
          <w:sz w:val="37"/>
          <w:szCs w:val="37"/>
        </w:rPr>
        <w:t xml:space="preserve">Restauração </w:t>
      </w:r>
      <w:r w:rsidR="00970B69" w:rsidRPr="00970B69">
        <w:rPr>
          <w:b/>
          <w:bCs/>
          <w:sz w:val="37"/>
          <w:szCs w:val="37"/>
        </w:rPr>
        <w:t>recupera 54% de</w:t>
      </w:r>
      <w:r w:rsidR="00970B69" w:rsidRPr="00970B69">
        <w:rPr>
          <w:b/>
          <w:bCs/>
          <w:sz w:val="37"/>
          <w:szCs w:val="37"/>
        </w:rPr>
        <w:t xml:space="preserve"> </w:t>
      </w:r>
      <w:r w:rsidRPr="00970B69">
        <w:rPr>
          <w:b/>
          <w:bCs/>
          <w:sz w:val="37"/>
          <w:szCs w:val="37"/>
        </w:rPr>
        <w:t>faturação na reabertura</w:t>
      </w:r>
    </w:p>
    <w:p w14:paraId="336FBCA5" w14:textId="2A1B13AB" w:rsidR="009C1DD4" w:rsidRPr="001967F2" w:rsidRDefault="009C1DD4" w:rsidP="009C1DD4">
      <w:pPr>
        <w:pStyle w:val="PargrafodaLista"/>
        <w:keepNext/>
        <w:widowControl w:val="0"/>
        <w:numPr>
          <w:ilvl w:val="0"/>
          <w:numId w:val="2"/>
        </w:numPr>
        <w:suppressAutoHyphens/>
        <w:spacing w:after="120" w:line="288" w:lineRule="auto"/>
        <w:ind w:left="567"/>
        <w:rPr>
          <w:b/>
          <w:bCs/>
        </w:rPr>
      </w:pPr>
      <w:r>
        <w:rPr>
          <w:b/>
          <w:bCs/>
        </w:rPr>
        <w:t xml:space="preserve">Restauração </w:t>
      </w:r>
      <w:r w:rsidRPr="00095221">
        <w:rPr>
          <w:b/>
          <w:bCs/>
        </w:rPr>
        <w:t>regist</w:t>
      </w:r>
      <w:r>
        <w:rPr>
          <w:b/>
          <w:bCs/>
        </w:rPr>
        <w:t>a</w:t>
      </w:r>
      <w:r w:rsidRPr="00095221">
        <w:rPr>
          <w:b/>
          <w:bCs/>
        </w:rPr>
        <w:t xml:space="preserve"> mais </w:t>
      </w:r>
      <w:r w:rsidR="0018045E">
        <w:rPr>
          <w:b/>
          <w:bCs/>
        </w:rPr>
        <w:t>65</w:t>
      </w:r>
      <w:r w:rsidRPr="00095221">
        <w:rPr>
          <w:b/>
          <w:bCs/>
        </w:rPr>
        <w:t xml:space="preserve">% de estabelecimentos abertos </w:t>
      </w:r>
      <w:r>
        <w:rPr>
          <w:b/>
          <w:bCs/>
        </w:rPr>
        <w:t>e</w:t>
      </w:r>
      <w:r w:rsidRPr="00095221">
        <w:rPr>
          <w:b/>
          <w:bCs/>
        </w:rPr>
        <w:t xml:space="preserve"> 54% </w:t>
      </w:r>
      <w:r w:rsidR="00970B69">
        <w:rPr>
          <w:b/>
          <w:bCs/>
        </w:rPr>
        <w:t>de</w:t>
      </w:r>
      <w:r w:rsidR="00970B69" w:rsidRPr="00095221">
        <w:rPr>
          <w:b/>
          <w:bCs/>
        </w:rPr>
        <w:t xml:space="preserve"> </w:t>
      </w:r>
      <w:r w:rsidRPr="00095221">
        <w:rPr>
          <w:b/>
          <w:bCs/>
        </w:rPr>
        <w:t>faturação global</w:t>
      </w:r>
      <w:r>
        <w:rPr>
          <w:b/>
          <w:bCs/>
        </w:rPr>
        <w:t xml:space="preserve">. Retalho Alimentar Tradicional, moda e gasolineiras também crescem na terceira semana de </w:t>
      </w:r>
      <w:proofErr w:type="spellStart"/>
      <w:r>
        <w:rPr>
          <w:b/>
          <w:bCs/>
        </w:rPr>
        <w:t>desconfinamento</w:t>
      </w:r>
      <w:proofErr w:type="spellEnd"/>
      <w:r w:rsidR="00A121EB">
        <w:rPr>
          <w:b/>
          <w:bCs/>
        </w:rPr>
        <w:t>;</w:t>
      </w:r>
    </w:p>
    <w:p w14:paraId="4AC7B7BA" w14:textId="7DFE4C2B" w:rsidR="00726F65" w:rsidRPr="00970B69" w:rsidRDefault="00095221" w:rsidP="00726F65">
      <w:pPr>
        <w:pStyle w:val="PargrafodaLista"/>
        <w:keepNext/>
        <w:widowControl w:val="0"/>
        <w:numPr>
          <w:ilvl w:val="0"/>
          <w:numId w:val="2"/>
        </w:numPr>
        <w:suppressAutoHyphens/>
        <w:spacing w:after="120" w:line="288" w:lineRule="auto"/>
        <w:ind w:left="567"/>
        <w:rPr>
          <w:b/>
          <w:bCs/>
        </w:rPr>
      </w:pPr>
      <w:r>
        <w:rPr>
          <w:b/>
          <w:bCs/>
        </w:rPr>
        <w:t xml:space="preserve">Na terceira semana de desconfinamento em Portugal, o número total de transações e a faturação global continuam a aumentar, </w:t>
      </w:r>
      <w:r w:rsidRPr="00970B69">
        <w:rPr>
          <w:b/>
          <w:bCs/>
        </w:rPr>
        <w:t>tend</w:t>
      </w:r>
      <w:r w:rsidR="0018045E" w:rsidRPr="00970B69">
        <w:rPr>
          <w:b/>
          <w:bCs/>
        </w:rPr>
        <w:t>o</w:t>
      </w:r>
      <w:r w:rsidRPr="00970B69">
        <w:rPr>
          <w:b/>
          <w:bCs/>
        </w:rPr>
        <w:t xml:space="preserve"> atingido mais </w:t>
      </w:r>
      <w:r w:rsidR="0018045E" w:rsidRPr="00970B69">
        <w:rPr>
          <w:b/>
          <w:bCs/>
        </w:rPr>
        <w:t>10,5</w:t>
      </w:r>
      <w:r w:rsidRPr="00970B69">
        <w:rPr>
          <w:b/>
          <w:bCs/>
        </w:rPr>
        <w:t xml:space="preserve">% e </w:t>
      </w:r>
      <w:r w:rsidR="0018045E" w:rsidRPr="00970B69">
        <w:rPr>
          <w:b/>
          <w:bCs/>
        </w:rPr>
        <w:t>7,9</w:t>
      </w:r>
      <w:r w:rsidRPr="00970B69">
        <w:rPr>
          <w:b/>
          <w:bCs/>
        </w:rPr>
        <w:t>%, respetivamente, face à semana anterior;</w:t>
      </w:r>
    </w:p>
    <w:p w14:paraId="218A6091" w14:textId="4C54ABB4" w:rsidR="00095221" w:rsidRPr="00970B69" w:rsidRDefault="00095221" w:rsidP="00726F65">
      <w:pPr>
        <w:pStyle w:val="PargrafodaLista"/>
        <w:keepNext/>
        <w:widowControl w:val="0"/>
        <w:numPr>
          <w:ilvl w:val="0"/>
          <w:numId w:val="2"/>
        </w:numPr>
        <w:suppressAutoHyphens/>
        <w:spacing w:after="120" w:line="288" w:lineRule="auto"/>
        <w:ind w:left="567"/>
        <w:rPr>
          <w:b/>
          <w:bCs/>
        </w:rPr>
      </w:pPr>
      <w:r w:rsidRPr="00970B69">
        <w:rPr>
          <w:b/>
          <w:bCs/>
        </w:rPr>
        <w:t>Portalegre é o primeiro distrito a</w:t>
      </w:r>
      <w:r w:rsidRPr="00970B69">
        <w:t xml:space="preserve"> </w:t>
      </w:r>
      <w:r w:rsidRPr="00970B69">
        <w:rPr>
          <w:b/>
          <w:bCs/>
        </w:rPr>
        <w:t xml:space="preserve">registar valores de faturação iguais ao período pré-pandemia, enquanto Lisboa continua com quebras de faturação de </w:t>
      </w:r>
      <w:r w:rsidR="0018045E" w:rsidRPr="00970B69">
        <w:rPr>
          <w:b/>
          <w:bCs/>
        </w:rPr>
        <w:t>38</w:t>
      </w:r>
      <w:r w:rsidRPr="00970B69">
        <w:rPr>
          <w:b/>
          <w:bCs/>
        </w:rPr>
        <w:t>%;</w:t>
      </w:r>
    </w:p>
    <w:p w14:paraId="40899AD5" w14:textId="0D45DDA5" w:rsidR="00095221" w:rsidRDefault="00095221" w:rsidP="00726F65">
      <w:pPr>
        <w:pStyle w:val="PargrafodaLista"/>
        <w:keepNext/>
        <w:widowControl w:val="0"/>
        <w:numPr>
          <w:ilvl w:val="0"/>
          <w:numId w:val="2"/>
        </w:numPr>
        <w:suppressAutoHyphens/>
        <w:spacing w:after="120" w:line="288" w:lineRule="auto"/>
        <w:ind w:left="567"/>
        <w:rPr>
          <w:b/>
          <w:bCs/>
        </w:rPr>
      </w:pPr>
      <w:r w:rsidRPr="00095221">
        <w:rPr>
          <w:b/>
          <w:bCs/>
          <w:i/>
          <w:iCs/>
        </w:rPr>
        <w:t>Contactless</w:t>
      </w:r>
      <w:r>
        <w:rPr>
          <w:b/>
          <w:bCs/>
        </w:rPr>
        <w:t xml:space="preserve"> </w:t>
      </w:r>
      <w:r w:rsidR="0018045E">
        <w:rPr>
          <w:b/>
          <w:bCs/>
        </w:rPr>
        <w:t xml:space="preserve">regista níveis de faturação praticamente 60% acima dos valores pré-pandemia e representa já </w:t>
      </w:r>
      <w:r>
        <w:rPr>
          <w:b/>
          <w:bCs/>
        </w:rPr>
        <w:t>2</w:t>
      </w:r>
      <w:r w:rsidR="0018045E">
        <w:rPr>
          <w:b/>
          <w:bCs/>
        </w:rPr>
        <w:t>3</w:t>
      </w:r>
      <w:r>
        <w:rPr>
          <w:b/>
          <w:bCs/>
        </w:rPr>
        <w:t>% da faturação global</w:t>
      </w:r>
      <w:r w:rsidR="00A121EB">
        <w:rPr>
          <w:b/>
          <w:bCs/>
        </w:rPr>
        <w:t>.</w:t>
      </w:r>
    </w:p>
    <w:p w14:paraId="55AD83EC" w14:textId="2378A7BA" w:rsidR="00805F09" w:rsidRPr="00B9464C" w:rsidRDefault="00805F09" w:rsidP="00B9464C">
      <w:pPr>
        <w:keepNext/>
        <w:widowControl w:val="0"/>
        <w:suppressAutoHyphens/>
        <w:spacing w:after="120"/>
        <w:rPr>
          <w:rFonts w:ascii="Calibri" w:hAnsi="Calibri" w:cs="Calibri"/>
          <w:sz w:val="22"/>
          <w:szCs w:val="22"/>
          <w:lang w:val="pt-PT"/>
        </w:rPr>
      </w:pPr>
    </w:p>
    <w:p w14:paraId="237D66FC" w14:textId="1F53ABF2" w:rsidR="00DA172F" w:rsidRDefault="00C471BC" w:rsidP="00A121EB">
      <w:pPr>
        <w:pStyle w:val="BodyA"/>
        <w:widowControl w:val="0"/>
        <w:suppressAutoHyphens/>
        <w:spacing w:after="240" w:line="288" w:lineRule="auto"/>
      </w:pPr>
      <w:r w:rsidRPr="009815BB">
        <w:t>A REDUNIQ, a maior rede de aceitação de cartões nacional</w:t>
      </w:r>
      <w:r w:rsidR="00064ACD">
        <w:t>, acaba de divulgar os dados referentes à evolução das transações dos negócios portugueses na terceira semana de desconfinamento em Portugal.</w:t>
      </w:r>
    </w:p>
    <w:p w14:paraId="172F651B" w14:textId="08E896B3" w:rsidR="00064ACD" w:rsidRDefault="00064ACD" w:rsidP="00A121EB">
      <w:pPr>
        <w:pStyle w:val="BodyA"/>
        <w:widowControl w:val="0"/>
        <w:suppressAutoHyphens/>
        <w:spacing w:after="240" w:line="288" w:lineRule="auto"/>
      </w:pPr>
      <w:r>
        <w:t xml:space="preserve">Segundo o documento elaborado pelo REDUNIQ Insights, o início da segunda fase do plano de desconfinamento português trouxe uma subida tanto no número total de transações como </w:t>
      </w:r>
      <w:r w:rsidR="006D03B5">
        <w:t>n</w:t>
      </w:r>
      <w:r>
        <w:t xml:space="preserve">a </w:t>
      </w:r>
      <w:r w:rsidRPr="00970B69">
        <w:t xml:space="preserve">faturação total, </w:t>
      </w:r>
      <w:r w:rsidR="0018045E" w:rsidRPr="00970B69">
        <w:t>10,5%</w:t>
      </w:r>
      <w:r w:rsidRPr="00970B69">
        <w:t xml:space="preserve"> e </w:t>
      </w:r>
      <w:r w:rsidR="0018045E" w:rsidRPr="00970B69">
        <w:t>7,9</w:t>
      </w:r>
      <w:r w:rsidRPr="00970B69">
        <w:t>%, respetivamente</w:t>
      </w:r>
      <w:r>
        <w:t xml:space="preserve">, face à semana de 10 a 16 de maio. Ao nível de faturação global, o valor registado representa já 73% do total alcançado na primeira semana de março, o que, para o </w:t>
      </w:r>
      <w:r w:rsidRPr="006D03B5">
        <w:rPr>
          <w:b/>
          <w:bCs/>
        </w:rPr>
        <w:t>Diretor da REDUNIQ, Tiago Oom</w:t>
      </w:r>
      <w:r>
        <w:t xml:space="preserve">, </w:t>
      </w:r>
      <w:r w:rsidRPr="00CB5BE3">
        <w:rPr>
          <w:i/>
          <w:iCs/>
        </w:rPr>
        <w:t>“reflete uma crescente recuperação da atividade económica em Portugal</w:t>
      </w:r>
      <w:r w:rsidR="00CB5BE3" w:rsidRPr="00CB5BE3">
        <w:rPr>
          <w:i/>
          <w:iCs/>
        </w:rPr>
        <w:t xml:space="preserve">, que acabou por ser impulsionada na semana passada pela </w:t>
      </w:r>
      <w:r w:rsidR="00A43098">
        <w:rPr>
          <w:i/>
          <w:iCs/>
        </w:rPr>
        <w:t>reabertura de mais 5.</w:t>
      </w:r>
      <w:r w:rsidR="0018045E">
        <w:rPr>
          <w:i/>
          <w:iCs/>
        </w:rPr>
        <w:t>7</w:t>
      </w:r>
      <w:r w:rsidR="00A43098">
        <w:rPr>
          <w:i/>
          <w:iCs/>
        </w:rPr>
        <w:t xml:space="preserve">00 pontos de venda, em parte estabelecimentos de </w:t>
      </w:r>
      <w:r w:rsidR="00CB5BE3" w:rsidRPr="00CB5BE3">
        <w:rPr>
          <w:i/>
          <w:iCs/>
        </w:rPr>
        <w:t>restauração”</w:t>
      </w:r>
      <w:r w:rsidR="00CB5BE3">
        <w:t>.</w:t>
      </w:r>
    </w:p>
    <w:p w14:paraId="24DE462C" w14:textId="172BC4F5" w:rsidR="00876447" w:rsidRDefault="00876447" w:rsidP="00A121EB">
      <w:pPr>
        <w:pStyle w:val="BodyA"/>
        <w:widowControl w:val="0"/>
        <w:suppressAutoHyphens/>
        <w:spacing w:after="240" w:line="288" w:lineRule="auto"/>
      </w:pPr>
      <w:r>
        <w:t xml:space="preserve">Em relação à evolução transacional dos diferentes setores de atividade, o grande destaque vai para a restauração, que retomou a sua atividade no dia 18 de maio. Na sua primeira semana de atividade, este setor registou mais </w:t>
      </w:r>
      <w:r w:rsidR="0018045E">
        <w:t>65</w:t>
      </w:r>
      <w:r>
        <w:t>% de estabelecimentos abertos</w:t>
      </w:r>
      <w:r w:rsidR="00970B69">
        <w:t xml:space="preserve"> em relação à semana anterior</w:t>
      </w:r>
      <w:r>
        <w:t xml:space="preserve">, tendo estes conseguido aumentar em mais de 54% a faturação global desta atividade. Apesar disso, este valor representa apenas 40% da faturação no período pré-pandemia, um cenário que, de acordo com Tiago Oom, </w:t>
      </w:r>
      <w:r w:rsidRPr="00970B69">
        <w:t xml:space="preserve">se justifica </w:t>
      </w:r>
      <w:r w:rsidR="00FF6D86" w:rsidRPr="00970B69">
        <w:t>por três fatores essenciais</w:t>
      </w:r>
      <w:r w:rsidR="00970B69">
        <w:t xml:space="preserve">: </w:t>
      </w:r>
      <w:r w:rsidR="00970B69" w:rsidRPr="00970B69">
        <w:rPr>
          <w:i/>
          <w:iCs/>
        </w:rPr>
        <w:t>“P</w:t>
      </w:r>
      <w:r w:rsidRPr="00970B69">
        <w:rPr>
          <w:i/>
          <w:iCs/>
        </w:rPr>
        <w:t>elo facto de ainda 30% dos restaurantes e cafés não terem retomado a sua atividade</w:t>
      </w:r>
      <w:r w:rsidR="00970B69" w:rsidRPr="00970B69">
        <w:rPr>
          <w:i/>
          <w:iCs/>
        </w:rPr>
        <w:t>; p</w:t>
      </w:r>
      <w:r w:rsidR="00FF6D86" w:rsidRPr="00970B69">
        <w:rPr>
          <w:i/>
          <w:iCs/>
        </w:rPr>
        <w:t xml:space="preserve">orque provavelmente existe ainda algum </w:t>
      </w:r>
      <w:r w:rsidRPr="00970B69">
        <w:rPr>
          <w:i/>
          <w:iCs/>
        </w:rPr>
        <w:t>receio por parte da população em frequentar este tipo de estabelecimentos, mesmo que estes tenham agora de cumprir um conjunto de medidas de segurança e higienização para prevenir possíveis contágio do vírus</w:t>
      </w:r>
      <w:r w:rsidR="00970B69" w:rsidRPr="00970B69">
        <w:rPr>
          <w:i/>
          <w:iCs/>
        </w:rPr>
        <w:t>; bem como pelo «</w:t>
      </w:r>
      <w:r w:rsidR="00FF6D86" w:rsidRPr="00970B69">
        <w:rPr>
          <w:i/>
          <w:iCs/>
        </w:rPr>
        <w:t>desaparecimento</w:t>
      </w:r>
      <w:r w:rsidR="00970B69" w:rsidRPr="00970B69">
        <w:rPr>
          <w:i/>
          <w:iCs/>
        </w:rPr>
        <w:t>»</w:t>
      </w:r>
      <w:r w:rsidR="00FF6D86" w:rsidRPr="00970B69">
        <w:rPr>
          <w:i/>
          <w:iCs/>
        </w:rPr>
        <w:t xml:space="preserve"> de turistas que representavam uma fatia importante do consumo em restauração</w:t>
      </w:r>
      <w:r w:rsidRPr="00970B69">
        <w:rPr>
          <w:i/>
          <w:iCs/>
        </w:rPr>
        <w:t>”</w:t>
      </w:r>
      <w:r>
        <w:t>.</w:t>
      </w:r>
    </w:p>
    <w:p w14:paraId="11359A5C" w14:textId="0E5A0BA8" w:rsidR="00A121EB" w:rsidRDefault="00A121EB" w:rsidP="00A121EB">
      <w:pPr>
        <w:pStyle w:val="BodyA"/>
        <w:widowControl w:val="0"/>
        <w:suppressAutoHyphens/>
        <w:spacing w:after="240" w:line="288" w:lineRule="auto"/>
      </w:pPr>
      <w:r>
        <w:lastRenderedPageBreak/>
        <w:t xml:space="preserve">Sobre as próximas semanas deste setor, Tiago Oom perspetiva que </w:t>
      </w:r>
      <w:r w:rsidRPr="00B1039E">
        <w:rPr>
          <w:i/>
          <w:iCs/>
        </w:rPr>
        <w:t xml:space="preserve">“se poderá assistir a um aumento da faturação em </w:t>
      </w:r>
      <w:r w:rsidR="00712B2F">
        <w:rPr>
          <w:i/>
          <w:iCs/>
        </w:rPr>
        <w:t>terminais de pagamento aut</w:t>
      </w:r>
      <w:r w:rsidR="00C371CC">
        <w:rPr>
          <w:i/>
          <w:iCs/>
        </w:rPr>
        <w:t>o</w:t>
      </w:r>
      <w:r w:rsidR="00712B2F">
        <w:rPr>
          <w:i/>
          <w:iCs/>
        </w:rPr>
        <w:t>mático</w:t>
      </w:r>
      <w:r w:rsidR="00970B69">
        <w:rPr>
          <w:i/>
          <w:iCs/>
        </w:rPr>
        <w:t xml:space="preserve"> </w:t>
      </w:r>
      <w:r w:rsidR="00712B2F">
        <w:rPr>
          <w:i/>
          <w:iCs/>
        </w:rPr>
        <w:t>(</w:t>
      </w:r>
      <w:r w:rsidRPr="00B1039E">
        <w:rPr>
          <w:i/>
          <w:iCs/>
        </w:rPr>
        <w:t>TPA</w:t>
      </w:r>
      <w:r w:rsidR="00712B2F">
        <w:rPr>
          <w:i/>
          <w:iCs/>
        </w:rPr>
        <w:t>)</w:t>
      </w:r>
      <w:r>
        <w:rPr>
          <w:i/>
          <w:iCs/>
        </w:rPr>
        <w:t xml:space="preserve">, </w:t>
      </w:r>
      <w:r w:rsidRPr="00B1039E">
        <w:rPr>
          <w:i/>
          <w:iCs/>
        </w:rPr>
        <w:t xml:space="preserve">por força da desmaterialização de um conjunto de pagamentos que antes da pandemia eram efetuados com dinheiro vivo, assim como a um crescimento da faturação de alguns </w:t>
      </w:r>
      <w:proofErr w:type="spellStart"/>
      <w:r w:rsidRPr="00B1039E">
        <w:rPr>
          <w:i/>
          <w:iCs/>
        </w:rPr>
        <w:t>players</w:t>
      </w:r>
      <w:proofErr w:type="spellEnd"/>
      <w:r w:rsidRPr="00B1039E">
        <w:rPr>
          <w:i/>
          <w:iCs/>
        </w:rPr>
        <w:t xml:space="preserve"> que têm a opção de </w:t>
      </w:r>
      <w:proofErr w:type="spellStart"/>
      <w:r w:rsidRPr="00B1039E">
        <w:rPr>
          <w:i/>
          <w:iCs/>
        </w:rPr>
        <w:t>delivery</w:t>
      </w:r>
      <w:proofErr w:type="spellEnd"/>
      <w:r w:rsidRPr="00B1039E">
        <w:rPr>
          <w:i/>
          <w:iCs/>
        </w:rPr>
        <w:t xml:space="preserve"> (entrega ao domicílio), uma vez que esta modalidade tem vindo a ganhar cada vez mais expressão junto do consumidor português”</w:t>
      </w:r>
      <w:r>
        <w:t>.</w:t>
      </w:r>
    </w:p>
    <w:p w14:paraId="506F7D48" w14:textId="0B504BC3" w:rsidR="00A121EB" w:rsidRDefault="00A121EB" w:rsidP="00A121EB">
      <w:pPr>
        <w:pStyle w:val="BodyA"/>
        <w:widowControl w:val="0"/>
        <w:suppressAutoHyphens/>
        <w:spacing w:after="240" w:line="288" w:lineRule="auto"/>
      </w:pPr>
      <w:r>
        <w:t>Outra área que demonstrou também uma evolução positiva na última semana é o</w:t>
      </w:r>
      <w:r w:rsidRPr="00B1039E">
        <w:t xml:space="preserve"> Retalho </w:t>
      </w:r>
      <w:r w:rsidRPr="00970B69">
        <w:t xml:space="preserve">Alimentar Tradicional, que da semana de 10 a 16 de maio até à semana de 17 a 23 de maio aumentou em </w:t>
      </w:r>
      <w:r w:rsidR="002B151E" w:rsidRPr="00970B69">
        <w:t>19</w:t>
      </w:r>
      <w:r w:rsidRPr="00970B69">
        <w:t xml:space="preserve">% a sua faturação, assim como o número de transações também cresceu </w:t>
      </w:r>
      <w:r w:rsidR="002B151E" w:rsidRPr="00970B69">
        <w:t>19</w:t>
      </w:r>
      <w:r w:rsidRPr="00970B69">
        <w:t>%</w:t>
      </w:r>
      <w:r>
        <w:t xml:space="preserve"> no mesmo período, </w:t>
      </w:r>
      <w:r w:rsidRPr="006D03B5">
        <w:rPr>
          <w:i/>
          <w:iCs/>
        </w:rPr>
        <w:t xml:space="preserve">“um claro reflexo </w:t>
      </w:r>
      <w:r>
        <w:rPr>
          <w:i/>
          <w:iCs/>
        </w:rPr>
        <w:t>da normalização</w:t>
      </w:r>
      <w:r w:rsidRPr="006D03B5">
        <w:rPr>
          <w:i/>
          <w:iCs/>
        </w:rPr>
        <w:t xml:space="preserve"> da vida de bairro”</w:t>
      </w:r>
      <w:r>
        <w:t xml:space="preserve">, explica Tiago Oom. Por outro lado, os </w:t>
      </w:r>
      <w:proofErr w:type="spellStart"/>
      <w:r>
        <w:t>hiper</w:t>
      </w:r>
      <w:proofErr w:type="spellEnd"/>
      <w:r>
        <w:t xml:space="preserve"> e supermercados têm </w:t>
      </w:r>
      <w:r w:rsidRPr="00B1039E">
        <w:t xml:space="preserve">evidenciado uma enorme estabilidade ao longo das 3 semanas de </w:t>
      </w:r>
      <w:proofErr w:type="spellStart"/>
      <w:r w:rsidRPr="00B1039E">
        <w:t>desconfinamento</w:t>
      </w:r>
      <w:proofErr w:type="spellEnd"/>
      <w:r>
        <w:t>, sendo que a sua faturação total representa agora 94% do total registado no período pré-pandemia, enquanto que o número de transações alcança 77% do total alcançado nesse mesmo período anterior à surto de coronavírus em Portugal.</w:t>
      </w:r>
    </w:p>
    <w:p w14:paraId="60262665" w14:textId="77777777" w:rsidR="00A121EB" w:rsidRDefault="00A121EB" w:rsidP="00A121EB">
      <w:pPr>
        <w:pStyle w:val="BodyA"/>
        <w:widowControl w:val="0"/>
        <w:suppressAutoHyphens/>
        <w:spacing w:after="240" w:line="288" w:lineRule="auto"/>
      </w:pPr>
      <w:r>
        <w:t xml:space="preserve">Com uma igual tendência de crescimento está o setor da moda, que, apesar de não sentir o efeito da reabertura dos centros comerciais, cresceu 113% face à segunda semana de </w:t>
      </w:r>
      <w:proofErr w:type="spellStart"/>
      <w:r>
        <w:t>desconfinamento</w:t>
      </w:r>
      <w:proofErr w:type="spellEnd"/>
      <w:r>
        <w:t>, tendo no passado dia 23 de maio (sábado) atingido um pico de faturação, que representou 68% do valor base de referência (o total de faturação atingido na primeira semana de março), em comparação com a média de 44% do valor base de referência observada ao longo da semana.</w:t>
      </w:r>
    </w:p>
    <w:p w14:paraId="329BD878" w14:textId="77777777" w:rsidR="00A121EB" w:rsidRDefault="00A121EB" w:rsidP="00A121EB">
      <w:pPr>
        <w:pStyle w:val="BodyA"/>
        <w:widowControl w:val="0"/>
        <w:suppressAutoHyphens/>
        <w:spacing w:after="240" w:line="288" w:lineRule="auto"/>
      </w:pPr>
      <w:r>
        <w:t>Da mesma forma as gasolineiras têm vindo a crescer em faturação consoante a retoma dos fluxos de mobilidade da população e das empresas, uma tendência que, para Tiago Oom, “</w:t>
      </w:r>
      <w:r w:rsidRPr="00095221">
        <w:rPr>
          <w:i/>
          <w:iCs/>
        </w:rPr>
        <w:t xml:space="preserve">se prevê manter-se estável nas próximas semanas e que possa vir a acelerar com o regresso de algumas atividades na terceira e última fase de </w:t>
      </w:r>
      <w:proofErr w:type="spellStart"/>
      <w:r w:rsidRPr="00095221">
        <w:rPr>
          <w:i/>
          <w:iCs/>
        </w:rPr>
        <w:t>desconfinamento</w:t>
      </w:r>
      <w:proofErr w:type="spellEnd"/>
      <w:r w:rsidRPr="00095221">
        <w:rPr>
          <w:i/>
          <w:iCs/>
        </w:rPr>
        <w:t>”</w:t>
      </w:r>
      <w:r>
        <w:t xml:space="preserve">. Em termos de valores, da segunda para a terceira semana de </w:t>
      </w:r>
      <w:proofErr w:type="spellStart"/>
      <w:r>
        <w:t>desconfinamento</w:t>
      </w:r>
      <w:proofErr w:type="spellEnd"/>
      <w:r>
        <w:t>, este setor cresceu 14% em faturação, tendo no dia 23 de maio alcançado pela primeira vez desde o fim do Estado de Emergência cerca de 90% dos níveis faturados no período pré Covid-19.</w:t>
      </w:r>
    </w:p>
    <w:p w14:paraId="22F23834" w14:textId="3E2BB55D" w:rsidR="00A121EB" w:rsidRDefault="00A121EB" w:rsidP="00A121EB">
      <w:pPr>
        <w:pStyle w:val="BodyA"/>
        <w:widowControl w:val="0"/>
        <w:suppressAutoHyphens/>
        <w:spacing w:after="240" w:line="288" w:lineRule="auto"/>
      </w:pPr>
      <w:r>
        <w:t xml:space="preserve">Tiago Oom destaca ainda algumas dinâmicas noutros setores já com atividade: </w:t>
      </w:r>
      <w:r w:rsidRPr="00095221">
        <w:rPr>
          <w:i/>
          <w:iCs/>
        </w:rPr>
        <w:t xml:space="preserve">“Enquanto que os cabeleireiros estão a </w:t>
      </w:r>
      <w:r w:rsidRPr="00970B69">
        <w:rPr>
          <w:i/>
          <w:iCs/>
        </w:rPr>
        <w:t xml:space="preserve">estabilizar a sua atividade (atualmente com </w:t>
      </w:r>
      <w:r w:rsidR="002B151E" w:rsidRPr="00970B69">
        <w:rPr>
          <w:i/>
          <w:iCs/>
        </w:rPr>
        <w:t>97</w:t>
      </w:r>
      <w:r w:rsidRPr="00970B69">
        <w:rPr>
          <w:i/>
          <w:iCs/>
        </w:rPr>
        <w:t xml:space="preserve">% do total faturado no período pré-pandemia), a saúde e as papelarias e tabacarias têm evidenciado uma contínua capacidade de recuperação (mais </w:t>
      </w:r>
      <w:r w:rsidR="002B151E" w:rsidRPr="00970B69">
        <w:rPr>
          <w:i/>
          <w:iCs/>
        </w:rPr>
        <w:t>18</w:t>
      </w:r>
      <w:r w:rsidRPr="00970B69">
        <w:rPr>
          <w:i/>
          <w:iCs/>
        </w:rPr>
        <w:t xml:space="preserve">% e </w:t>
      </w:r>
      <w:r w:rsidR="002B151E" w:rsidRPr="00970B69">
        <w:rPr>
          <w:i/>
          <w:iCs/>
        </w:rPr>
        <w:t>25</w:t>
      </w:r>
      <w:r w:rsidRPr="00970B69">
        <w:rPr>
          <w:i/>
          <w:iCs/>
        </w:rPr>
        <w:t>%, respetivamente, em relação</w:t>
      </w:r>
      <w:r w:rsidRPr="00095221">
        <w:rPr>
          <w:i/>
          <w:iCs/>
        </w:rPr>
        <w:t xml:space="preserve"> à semana de 10 a 16 de maio), que se prevê prolongar-se no futuro próximo, sobretudo no caso da saúde. Por outro lado, a cosmética e as perfumarias demonstram uma menor capacidade de recuperação, tendo estagnado num nível que equivale a uma perda de 80% face ao período pré Covid-19”</w:t>
      </w:r>
      <w:r>
        <w:t>.</w:t>
      </w:r>
    </w:p>
    <w:p w14:paraId="31FA10AB" w14:textId="7E98BEB6" w:rsidR="00DA172F" w:rsidRDefault="00CB5BE3" w:rsidP="00A121EB">
      <w:pPr>
        <w:pStyle w:val="BodyA"/>
        <w:widowControl w:val="0"/>
        <w:suppressAutoHyphens/>
        <w:spacing w:after="240" w:line="288" w:lineRule="auto"/>
      </w:pPr>
      <w:r>
        <w:t xml:space="preserve">Já a nível distrital, a faturação global encontra-se dividida entre os distritos com maior resiliência </w:t>
      </w:r>
      <w:r>
        <w:lastRenderedPageBreak/>
        <w:t xml:space="preserve">em relação à quebra da atividade económica, nomeadamente os distritos de Bragança, Vila Real, Santarém, Castelo Branco, Portalegre, Évora e Beja, e os distritos com maior atividade turística e que sentiram a redução de decréscimo da mobilidade de pessoas e do consumo, sendo estes Lisboa, Porto, Faro, Madeira e Açores. Enquanto Portalegre foi o primeiro distrito do país a registar na última semana </w:t>
      </w:r>
      <w:r w:rsidRPr="00970B69">
        <w:t xml:space="preserve">valores de faturação iguais </w:t>
      </w:r>
      <w:r w:rsidR="005115DA" w:rsidRPr="00970B69">
        <w:t xml:space="preserve">ao atingido no período pré-pandemia (1 a 7 de março), e com um crescimento da faturação global em </w:t>
      </w:r>
      <w:r w:rsidR="002B151E" w:rsidRPr="00970B69">
        <w:t>9</w:t>
      </w:r>
      <w:r w:rsidR="005115DA" w:rsidRPr="00970B69">
        <w:t>% face</w:t>
      </w:r>
      <w:r w:rsidR="005115DA">
        <w:t xml:space="preserve"> à </w:t>
      </w:r>
      <w:r w:rsidR="005115DA" w:rsidRPr="00970B69">
        <w:t>semana de 10 a 16 de maio, já Lisboa mantém os seus valores de faturação</w:t>
      </w:r>
      <w:r w:rsidR="005115DA">
        <w:t xml:space="preserve"> muito abaixo do que foi registado na primeira semana de março, o que representa quebras de faturação na ordem dos </w:t>
      </w:r>
      <w:r w:rsidR="002B151E">
        <w:t>38</w:t>
      </w:r>
      <w:r w:rsidR="005115DA">
        <w:t xml:space="preserve">% (na semana de 10 a 16 de maio esta quebra chegava aos </w:t>
      </w:r>
      <w:r w:rsidR="002B151E">
        <w:t>44</w:t>
      </w:r>
      <w:r w:rsidR="005115DA">
        <w:t>%).</w:t>
      </w:r>
    </w:p>
    <w:p w14:paraId="51F9E095" w14:textId="44D9365E" w:rsidR="005115DA" w:rsidRDefault="00A121EB" w:rsidP="00A121EB">
      <w:pPr>
        <w:pStyle w:val="BodyA"/>
        <w:widowControl w:val="0"/>
        <w:suppressAutoHyphens/>
        <w:spacing w:after="240" w:line="288" w:lineRule="auto"/>
      </w:pPr>
      <w:r>
        <w:t>Por fim, u</w:t>
      </w:r>
      <w:r w:rsidR="00095221">
        <w:t xml:space="preserve">ma clara </w:t>
      </w:r>
      <w:r w:rsidR="005115DA">
        <w:t xml:space="preserve">tendência de crescimento neste período de retoma económica é </w:t>
      </w:r>
      <w:r>
        <w:t>ainda o</w:t>
      </w:r>
      <w:r w:rsidR="005115DA">
        <w:t xml:space="preserve"> aumento da faturação através do </w:t>
      </w:r>
      <w:r w:rsidR="005115DA">
        <w:rPr>
          <w:i/>
          <w:iCs/>
        </w:rPr>
        <w:t>contactless</w:t>
      </w:r>
      <w:r w:rsidR="005115DA">
        <w:t>, que representa agora</w:t>
      </w:r>
      <w:r w:rsidR="00A43098">
        <w:t xml:space="preserve"> um valor 59% superior ao registado na primeira semana de março. Já entre as semanas de 10 a 16 de maio e 17 e 23 de maio, a faturação alcançada através das transações efetuadas com esta tecnologia é de mais 1</w:t>
      </w:r>
      <w:r w:rsidR="002B151E">
        <w:t>1</w:t>
      </w:r>
      <w:r w:rsidR="00A43098">
        <w:t>%, um valor que representa um total de 22,95% da faturação total dos negócios portugueses com aceitação de pagamentos da REDUNIQ.</w:t>
      </w:r>
    </w:p>
    <w:p w14:paraId="7396C2AF" w14:textId="77777777" w:rsidR="00D94EBF" w:rsidRPr="00D94EBF" w:rsidRDefault="00D94EBF" w:rsidP="00D94EBF">
      <w:pPr>
        <w:pStyle w:val="BodyA"/>
        <w:widowControl w:val="0"/>
        <w:suppressAutoHyphens/>
        <w:rPr>
          <w:rStyle w:val="None"/>
        </w:rPr>
      </w:pPr>
    </w:p>
    <w:p w14:paraId="6190B49B" w14:textId="48C1DF8E" w:rsidR="00805F09" w:rsidRDefault="00BA13A0">
      <w:pPr>
        <w:pStyle w:val="BodyA"/>
        <w:spacing w:after="80" w:line="288" w:lineRule="auto"/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Sobre a UNICRE:</w:t>
      </w:r>
    </w:p>
    <w:p w14:paraId="076D985F" w14:textId="77F3121E" w:rsidR="00805F09" w:rsidRDefault="00BA13A0">
      <w:pPr>
        <w:pStyle w:val="BodyA"/>
        <w:spacing w:after="240" w:line="288" w:lineRule="auto"/>
        <w:rPr>
          <w:rStyle w:val="None"/>
          <w:i/>
          <w:iCs/>
          <w:sz w:val="20"/>
          <w:szCs w:val="20"/>
        </w:rPr>
      </w:pPr>
      <w:r>
        <w:rPr>
          <w:rStyle w:val="None"/>
          <w:sz w:val="20"/>
          <w:szCs w:val="20"/>
        </w:rPr>
        <w:t xml:space="preserve">A UNICRE </w:t>
      </w:r>
      <w:r>
        <w:rPr>
          <w:rStyle w:val="None"/>
          <w:sz w:val="20"/>
          <w:szCs w:val="20"/>
          <w:lang w:val="fr-FR"/>
        </w:rPr>
        <w:t xml:space="preserve">é </w:t>
      </w:r>
      <w:r>
        <w:rPr>
          <w:rStyle w:val="None"/>
          <w:sz w:val="20"/>
          <w:szCs w:val="20"/>
        </w:rPr>
        <w:t xml:space="preserve">uma instituição portuguesa que atua no setor financeiro, especialista na gestão, </w:t>
      </w:r>
      <w:proofErr w:type="spellStart"/>
      <w:r>
        <w:rPr>
          <w:rStyle w:val="None"/>
          <w:sz w:val="20"/>
          <w:szCs w:val="20"/>
        </w:rPr>
        <w:t>emissã</w:t>
      </w:r>
      <w:proofErr w:type="spellEnd"/>
      <w:r>
        <w:rPr>
          <w:rStyle w:val="None"/>
          <w:sz w:val="20"/>
          <w:szCs w:val="20"/>
          <w:lang w:val="it-IT"/>
        </w:rPr>
        <w:t>o e disponibiliza</w:t>
      </w:r>
      <w:proofErr w:type="spellStart"/>
      <w:r>
        <w:rPr>
          <w:rStyle w:val="None"/>
          <w:sz w:val="20"/>
          <w:szCs w:val="20"/>
        </w:rPr>
        <w:t>ção</w:t>
      </w:r>
      <w:proofErr w:type="spellEnd"/>
      <w:r>
        <w:rPr>
          <w:rStyle w:val="None"/>
          <w:sz w:val="20"/>
          <w:szCs w:val="20"/>
        </w:rPr>
        <w:t xml:space="preserve"> de soluções de pagamento, cartões de pagamento e </w:t>
      </w:r>
      <w:proofErr w:type="spellStart"/>
      <w:r>
        <w:rPr>
          <w:rStyle w:val="None"/>
          <w:sz w:val="20"/>
          <w:szCs w:val="20"/>
        </w:rPr>
        <w:t>cr</w:t>
      </w:r>
      <w:proofErr w:type="spellEnd"/>
      <w:r>
        <w:rPr>
          <w:rStyle w:val="None"/>
          <w:sz w:val="20"/>
          <w:szCs w:val="20"/>
          <w:lang w:val="fr-FR"/>
        </w:rPr>
        <w:t>é</w:t>
      </w:r>
      <w:r>
        <w:rPr>
          <w:rStyle w:val="None"/>
          <w:sz w:val="20"/>
          <w:szCs w:val="20"/>
        </w:rPr>
        <w:t xml:space="preserve">dito ao consumo. Com uma experiência de 45 anos, </w:t>
      </w:r>
      <w:proofErr w:type="spellStart"/>
      <w:r>
        <w:rPr>
          <w:rStyle w:val="None"/>
          <w:sz w:val="20"/>
          <w:szCs w:val="20"/>
        </w:rPr>
        <w:t>det</w:t>
      </w:r>
      <w:proofErr w:type="spellEnd"/>
      <w:r>
        <w:rPr>
          <w:rStyle w:val="None"/>
          <w:sz w:val="20"/>
          <w:szCs w:val="20"/>
          <w:lang w:val="fr-FR"/>
        </w:rPr>
        <w:t>é</w:t>
      </w:r>
      <w:r>
        <w:rPr>
          <w:rStyle w:val="None"/>
          <w:sz w:val="20"/>
          <w:szCs w:val="20"/>
        </w:rPr>
        <w:t xml:space="preserve">m a marca UNIBANCO, responsável pela emissão de </w:t>
      </w:r>
      <w:proofErr w:type="spellStart"/>
      <w:r>
        <w:rPr>
          <w:rStyle w:val="None"/>
          <w:sz w:val="20"/>
          <w:szCs w:val="20"/>
        </w:rPr>
        <w:t>cartõ</w:t>
      </w:r>
      <w:proofErr w:type="spellEnd"/>
      <w:r>
        <w:rPr>
          <w:rStyle w:val="None"/>
          <w:sz w:val="20"/>
          <w:szCs w:val="20"/>
          <w:lang w:val="fr-FR"/>
        </w:rPr>
        <w:t xml:space="preserve">es de </w:t>
      </w:r>
      <w:proofErr w:type="spellStart"/>
      <w:r>
        <w:rPr>
          <w:rStyle w:val="None"/>
          <w:sz w:val="20"/>
          <w:szCs w:val="20"/>
          <w:lang w:val="fr-FR"/>
        </w:rPr>
        <w:t>cré</w:t>
      </w:r>
      <w:proofErr w:type="spellEnd"/>
      <w:r>
        <w:rPr>
          <w:rStyle w:val="None"/>
          <w:sz w:val="20"/>
          <w:szCs w:val="20"/>
          <w:lang w:val="it-IT"/>
        </w:rPr>
        <w:t>dito, cart</w:t>
      </w:r>
      <w:r>
        <w:rPr>
          <w:rStyle w:val="None"/>
          <w:sz w:val="20"/>
          <w:szCs w:val="20"/>
        </w:rPr>
        <w:t>õ</w:t>
      </w:r>
      <w:r>
        <w:rPr>
          <w:rStyle w:val="None"/>
          <w:sz w:val="20"/>
          <w:szCs w:val="20"/>
          <w:lang w:val="fr-FR"/>
        </w:rPr>
        <w:t>es pré</w:t>
      </w:r>
      <w:r>
        <w:rPr>
          <w:rStyle w:val="None"/>
          <w:sz w:val="20"/>
          <w:szCs w:val="20"/>
        </w:rPr>
        <w:t xml:space="preserve">-pagos, cartões </w:t>
      </w:r>
      <w:proofErr w:type="spellStart"/>
      <w:r>
        <w:rPr>
          <w:rStyle w:val="None"/>
          <w:sz w:val="20"/>
          <w:szCs w:val="20"/>
        </w:rPr>
        <w:t>refeiçã</w:t>
      </w:r>
      <w:proofErr w:type="spellEnd"/>
      <w:r>
        <w:rPr>
          <w:rStyle w:val="None"/>
          <w:sz w:val="20"/>
          <w:szCs w:val="20"/>
          <w:lang w:val="it-IT"/>
        </w:rPr>
        <w:t>o, cr</w:t>
      </w:r>
      <w:r>
        <w:rPr>
          <w:rStyle w:val="None"/>
          <w:sz w:val="20"/>
          <w:szCs w:val="20"/>
          <w:lang w:val="fr-FR"/>
        </w:rPr>
        <w:t>é</w:t>
      </w:r>
      <w:r>
        <w:rPr>
          <w:rStyle w:val="None"/>
          <w:sz w:val="20"/>
          <w:szCs w:val="20"/>
        </w:rPr>
        <w:t xml:space="preserve">dito pessoal e </w:t>
      </w:r>
      <w:proofErr w:type="spellStart"/>
      <w:r>
        <w:rPr>
          <w:rStyle w:val="None"/>
          <w:sz w:val="20"/>
          <w:szCs w:val="20"/>
        </w:rPr>
        <w:t>cr</w:t>
      </w:r>
      <w:proofErr w:type="spellEnd"/>
      <w:r>
        <w:rPr>
          <w:rStyle w:val="None"/>
          <w:sz w:val="20"/>
          <w:szCs w:val="20"/>
          <w:lang w:val="fr-FR"/>
        </w:rPr>
        <w:t>é</w:t>
      </w:r>
      <w:r>
        <w:rPr>
          <w:rStyle w:val="None"/>
          <w:sz w:val="20"/>
          <w:szCs w:val="20"/>
        </w:rPr>
        <w:t>dito consolidado, e a marca REDUNIQ, que disponibiliza soluções de aceitação de pagamentos para loja física ou com</w:t>
      </w:r>
      <w:r>
        <w:rPr>
          <w:rStyle w:val="None"/>
          <w:sz w:val="20"/>
          <w:szCs w:val="20"/>
          <w:lang w:val="fr-FR"/>
        </w:rPr>
        <w:t>é</w:t>
      </w:r>
      <w:proofErr w:type="spellStart"/>
      <w:r>
        <w:rPr>
          <w:rStyle w:val="None"/>
          <w:sz w:val="20"/>
          <w:szCs w:val="20"/>
        </w:rPr>
        <w:t>rcio</w:t>
      </w:r>
      <w:proofErr w:type="spellEnd"/>
      <w:r>
        <w:rPr>
          <w:rStyle w:val="None"/>
          <w:sz w:val="20"/>
          <w:szCs w:val="20"/>
        </w:rPr>
        <w:t xml:space="preserve"> </w:t>
      </w:r>
      <w:r>
        <w:rPr>
          <w:rStyle w:val="None"/>
          <w:i/>
          <w:iCs/>
          <w:sz w:val="20"/>
          <w:szCs w:val="20"/>
        </w:rPr>
        <w:t>online.</w:t>
      </w:r>
    </w:p>
    <w:p w14:paraId="70AAE052" w14:textId="3BF49B96" w:rsidR="004922EA" w:rsidRDefault="004922EA" w:rsidP="004922EA">
      <w:pPr>
        <w:pStyle w:val="BodyA"/>
        <w:spacing w:after="80" w:line="288" w:lineRule="auto"/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Sobre o REDUNIQ Insights:</w:t>
      </w:r>
    </w:p>
    <w:p w14:paraId="430B11DE" w14:textId="5E606242" w:rsidR="004922EA" w:rsidRDefault="004922EA" w:rsidP="004922EA">
      <w:pPr>
        <w:pStyle w:val="BodyA"/>
        <w:rPr>
          <w:rStyle w:val="None"/>
          <w:i/>
          <w:iCs/>
          <w:sz w:val="20"/>
          <w:szCs w:val="20"/>
        </w:rPr>
      </w:pPr>
      <w:r w:rsidRPr="004922EA">
        <w:rPr>
          <w:rStyle w:val="None"/>
          <w:sz w:val="20"/>
          <w:szCs w:val="20"/>
        </w:rPr>
        <w:t>O REDUNIQ Insights é uma solução de conhecimento que pretende disponibilizar informação analítica aos clientes</w:t>
      </w:r>
      <w:r>
        <w:rPr>
          <w:rStyle w:val="None"/>
          <w:sz w:val="20"/>
          <w:szCs w:val="20"/>
        </w:rPr>
        <w:t xml:space="preserve"> da REDUNIQ, </w:t>
      </w:r>
      <w:r w:rsidRPr="004922EA">
        <w:rPr>
          <w:rStyle w:val="None"/>
          <w:sz w:val="20"/>
          <w:szCs w:val="20"/>
        </w:rPr>
        <w:t xml:space="preserve">a maior rede de aceitação de cartões nacionais e estrangeiros em Portugal, com base em informação do retalho nacional, suportando empresas na geração de </w:t>
      </w:r>
      <w:r w:rsidRPr="004922EA">
        <w:rPr>
          <w:rStyle w:val="None"/>
          <w:i/>
          <w:iCs/>
          <w:sz w:val="20"/>
          <w:szCs w:val="20"/>
        </w:rPr>
        <w:t>insights</w:t>
      </w:r>
      <w:r w:rsidRPr="004922EA">
        <w:rPr>
          <w:rStyle w:val="None"/>
          <w:sz w:val="20"/>
          <w:szCs w:val="20"/>
        </w:rPr>
        <w:t xml:space="preserve"> e na tomada de decisões de desenvolvimento de negócio. </w:t>
      </w:r>
      <w:r>
        <w:rPr>
          <w:rStyle w:val="None"/>
          <w:sz w:val="20"/>
          <w:szCs w:val="20"/>
        </w:rPr>
        <w:t xml:space="preserve">A REDUNIQ, que só em 2019, transacionou </w:t>
      </w:r>
      <w:r w:rsidRPr="004922EA">
        <w:rPr>
          <w:rStyle w:val="None"/>
          <w:sz w:val="20"/>
          <w:szCs w:val="20"/>
        </w:rPr>
        <w:t>20 mil milhões de euros em compras em 2019, num total de 539 milhões de transações</w:t>
      </w:r>
      <w:r>
        <w:rPr>
          <w:rStyle w:val="None"/>
          <w:sz w:val="20"/>
          <w:szCs w:val="20"/>
        </w:rPr>
        <w:t>,</w:t>
      </w:r>
      <w:r w:rsidRPr="004922EA">
        <w:rPr>
          <w:rStyle w:val="None"/>
          <w:sz w:val="20"/>
          <w:szCs w:val="20"/>
        </w:rPr>
        <w:t xml:space="preserve"> dispõe de informação detalhada sobre os perfis de consumo realizados em estabelecimentos servidos pela sua rede.</w:t>
      </w:r>
    </w:p>
    <w:p w14:paraId="127B23DF" w14:textId="77777777" w:rsidR="00805F09" w:rsidRPr="00484549" w:rsidRDefault="00805F09">
      <w:pPr>
        <w:pStyle w:val="BodyA"/>
        <w:rPr>
          <w:rStyle w:val="None"/>
          <w:sz w:val="20"/>
          <w:szCs w:val="20"/>
        </w:rPr>
      </w:pPr>
    </w:p>
    <w:p w14:paraId="191BCDB3" w14:textId="7F958104" w:rsidR="00805F09" w:rsidRDefault="00BA13A0">
      <w:pPr>
        <w:pStyle w:val="Rodap"/>
        <w:tabs>
          <w:tab w:val="clear" w:pos="8504"/>
          <w:tab w:val="right" w:pos="8478"/>
        </w:tabs>
        <w:spacing w:after="80"/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Para mais informações, contacte:</w:t>
      </w:r>
    </w:p>
    <w:p w14:paraId="5AAEFB88" w14:textId="77777777" w:rsidR="00805F09" w:rsidRDefault="00BA13A0" w:rsidP="00FC74A9">
      <w:pPr>
        <w:pStyle w:val="Rodap"/>
        <w:tabs>
          <w:tab w:val="clear" w:pos="8504"/>
          <w:tab w:val="right" w:pos="8478"/>
        </w:tabs>
        <w:spacing w:after="0"/>
        <w:jc w:val="left"/>
        <w:rPr>
          <w:rStyle w:val="None"/>
          <w:sz w:val="20"/>
          <w:szCs w:val="20"/>
          <w:u w:val="single"/>
        </w:rPr>
      </w:pPr>
      <w:proofErr w:type="spellStart"/>
      <w:r>
        <w:rPr>
          <w:rStyle w:val="None"/>
          <w:sz w:val="20"/>
          <w:szCs w:val="20"/>
          <w:u w:val="single"/>
        </w:rPr>
        <w:t>Lift</w:t>
      </w:r>
      <w:proofErr w:type="spellEnd"/>
      <w:r>
        <w:rPr>
          <w:rStyle w:val="None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sz w:val="20"/>
          <w:szCs w:val="20"/>
          <w:u w:val="single"/>
        </w:rPr>
        <w:t>Consulting</w:t>
      </w:r>
      <w:proofErr w:type="spellEnd"/>
    </w:p>
    <w:p w14:paraId="05F47065" w14:textId="0E1CE6C7" w:rsidR="00805F09" w:rsidRDefault="00240B98" w:rsidP="00FC74A9">
      <w:pPr>
        <w:pStyle w:val="Rodap"/>
        <w:widowControl w:val="0"/>
        <w:tabs>
          <w:tab w:val="clear" w:pos="8504"/>
          <w:tab w:val="right" w:pos="8478"/>
        </w:tabs>
        <w:spacing w:after="0"/>
        <w:jc w:val="left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André Saramago</w:t>
      </w:r>
      <w:r w:rsidR="00BA13A0">
        <w:rPr>
          <w:rStyle w:val="None"/>
          <w:sz w:val="20"/>
          <w:szCs w:val="20"/>
        </w:rPr>
        <w:t xml:space="preserve"> | </w:t>
      </w:r>
      <w:r>
        <w:rPr>
          <w:rStyle w:val="None"/>
          <w:sz w:val="20"/>
          <w:szCs w:val="20"/>
        </w:rPr>
        <w:t>andre.saramago</w:t>
      </w:r>
      <w:r w:rsidR="00BA13A0">
        <w:rPr>
          <w:rStyle w:val="None"/>
          <w:sz w:val="20"/>
          <w:szCs w:val="20"/>
        </w:rPr>
        <w:t xml:space="preserve">@lift.com.pt | </w:t>
      </w:r>
      <w:r w:rsidRPr="00240B98">
        <w:rPr>
          <w:rStyle w:val="None"/>
          <w:sz w:val="20"/>
          <w:szCs w:val="20"/>
        </w:rPr>
        <w:t>912 896 471</w:t>
      </w:r>
    </w:p>
    <w:p w14:paraId="47BB665F" w14:textId="4191F91D" w:rsidR="00805F09" w:rsidRDefault="00BA13A0" w:rsidP="00FC74A9">
      <w:pPr>
        <w:pStyle w:val="Rodap"/>
        <w:widowControl w:val="0"/>
        <w:tabs>
          <w:tab w:val="clear" w:pos="8504"/>
          <w:tab w:val="right" w:pos="8478"/>
        </w:tabs>
        <w:jc w:val="left"/>
      </w:pPr>
      <w:r>
        <w:rPr>
          <w:rStyle w:val="None"/>
          <w:sz w:val="20"/>
          <w:szCs w:val="20"/>
        </w:rPr>
        <w:t>Fábio Duarte | fabio.duarte@lift.com.pt | 911 774 428</w:t>
      </w:r>
      <w:bookmarkEnd w:id="0"/>
    </w:p>
    <w:sectPr w:rsidR="00805F09">
      <w:headerReference w:type="default" r:id="rId11"/>
      <w:footerReference w:type="default" r:id="rId12"/>
      <w:pgSz w:w="11900" w:h="16840"/>
      <w:pgMar w:top="1985" w:right="1701" w:bottom="1702" w:left="1701" w:header="708" w:footer="321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8ACFC" w16cex:dateUtc="2020-05-27T08:10:00Z"/>
  <w16cex:commentExtensible w16cex:durableId="2278C1CD" w16cex:dateUtc="2020-05-27T09:39:00Z"/>
  <w16cex:commentExtensible w16cex:durableId="2278AD8F" w16cex:dateUtc="2020-05-27T08:12:00Z"/>
  <w16cex:commentExtensible w16cex:durableId="2278AD9C" w16cex:dateUtc="2020-05-27T08:13:00Z"/>
  <w16cex:commentExtensible w16cex:durableId="2278B767" w16cex:dateUtc="2020-05-27T08:54:00Z"/>
  <w16cex:commentExtensible w16cex:durableId="2278ADF8" w16cex:dateUtc="2020-05-27T08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B3141" w14:textId="77777777" w:rsidR="008623B4" w:rsidRDefault="008623B4">
      <w:r>
        <w:separator/>
      </w:r>
    </w:p>
  </w:endnote>
  <w:endnote w:type="continuationSeparator" w:id="0">
    <w:p w14:paraId="2A365722" w14:textId="77777777" w:rsidR="008623B4" w:rsidRDefault="0086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97C2A" w14:textId="77777777" w:rsidR="007568DB" w:rsidRDefault="007568DB">
    <w:pPr>
      <w:pStyle w:val="Rodap"/>
      <w:tabs>
        <w:tab w:val="clear" w:pos="8504"/>
        <w:tab w:val="right" w:pos="8478"/>
      </w:tabs>
      <w:jc w:val="right"/>
    </w:pPr>
    <w: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953F8" w14:textId="77777777" w:rsidR="008623B4" w:rsidRDefault="008623B4">
      <w:r>
        <w:separator/>
      </w:r>
    </w:p>
  </w:footnote>
  <w:footnote w:type="continuationSeparator" w:id="0">
    <w:p w14:paraId="3EB80D04" w14:textId="77777777" w:rsidR="008623B4" w:rsidRDefault="0086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3901F" w14:textId="3017AA62" w:rsidR="007568DB" w:rsidRDefault="007568DB">
    <w:pPr>
      <w:pStyle w:val="Cabealho"/>
      <w:tabs>
        <w:tab w:val="clear" w:pos="8504"/>
        <w:tab w:val="right" w:pos="8478"/>
      </w:tabs>
    </w:pPr>
    <w:r>
      <w:rPr>
        <w:noProof/>
      </w:rPr>
      <w:drawing>
        <wp:inline distT="0" distB="0" distL="0" distR="0" wp14:anchorId="088AC153" wp14:editId="027CACCA">
          <wp:extent cx="4749025" cy="9735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53" cy="98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4B97"/>
    <w:multiLevelType w:val="hybridMultilevel"/>
    <w:tmpl w:val="0DC8FFB0"/>
    <w:numStyleLink w:val="ImportedStyle1"/>
  </w:abstractNum>
  <w:abstractNum w:abstractNumId="1" w15:restartNumberingAfterBreak="0">
    <w:nsid w:val="3173472A"/>
    <w:multiLevelType w:val="hybridMultilevel"/>
    <w:tmpl w:val="D026EE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994B49"/>
    <w:multiLevelType w:val="hybridMultilevel"/>
    <w:tmpl w:val="E83846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76CE9"/>
    <w:multiLevelType w:val="hybridMultilevel"/>
    <w:tmpl w:val="0DC8FFB0"/>
    <w:styleLink w:val="ImportedStyle1"/>
    <w:lvl w:ilvl="0" w:tplc="AF76E922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B48"/>
        <w:spacing w:val="0"/>
        <w:w w:val="100"/>
        <w:kern w:val="0"/>
        <w:position w:val="0"/>
        <w:highlight w:val="none"/>
        <w:vertAlign w:val="baseline"/>
      </w:rPr>
    </w:lvl>
    <w:lvl w:ilvl="1" w:tplc="5792174A">
      <w:start w:val="1"/>
      <w:numFmt w:val="bullet"/>
      <w:lvlText w:val="o"/>
      <w:lvlJc w:val="left"/>
      <w:pPr>
        <w:ind w:left="86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B48"/>
        <w:spacing w:val="0"/>
        <w:w w:val="100"/>
        <w:kern w:val="0"/>
        <w:position w:val="0"/>
        <w:highlight w:val="none"/>
        <w:vertAlign w:val="baseline"/>
      </w:rPr>
    </w:lvl>
    <w:lvl w:ilvl="2" w:tplc="C188071C">
      <w:start w:val="1"/>
      <w:numFmt w:val="bullet"/>
      <w:lvlText w:val="▪"/>
      <w:lvlJc w:val="left"/>
      <w:pPr>
        <w:ind w:left="158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B48"/>
        <w:spacing w:val="0"/>
        <w:w w:val="100"/>
        <w:kern w:val="0"/>
        <w:position w:val="0"/>
        <w:highlight w:val="none"/>
        <w:vertAlign w:val="baseline"/>
      </w:rPr>
    </w:lvl>
    <w:lvl w:ilvl="3" w:tplc="36663C2C">
      <w:start w:val="1"/>
      <w:numFmt w:val="bullet"/>
      <w:lvlText w:val="·"/>
      <w:lvlJc w:val="left"/>
      <w:pPr>
        <w:ind w:left="230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B48"/>
        <w:spacing w:val="0"/>
        <w:w w:val="100"/>
        <w:kern w:val="0"/>
        <w:position w:val="0"/>
        <w:highlight w:val="none"/>
        <w:vertAlign w:val="baseline"/>
      </w:rPr>
    </w:lvl>
    <w:lvl w:ilvl="4" w:tplc="E9BC83A6">
      <w:start w:val="1"/>
      <w:numFmt w:val="bullet"/>
      <w:lvlText w:val="o"/>
      <w:lvlJc w:val="left"/>
      <w:pPr>
        <w:ind w:left="302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B48"/>
        <w:spacing w:val="0"/>
        <w:w w:val="100"/>
        <w:kern w:val="0"/>
        <w:position w:val="0"/>
        <w:highlight w:val="none"/>
        <w:vertAlign w:val="baseline"/>
      </w:rPr>
    </w:lvl>
    <w:lvl w:ilvl="5" w:tplc="F404EA16">
      <w:start w:val="1"/>
      <w:numFmt w:val="bullet"/>
      <w:lvlText w:val="▪"/>
      <w:lvlJc w:val="left"/>
      <w:pPr>
        <w:ind w:left="374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B48"/>
        <w:spacing w:val="0"/>
        <w:w w:val="100"/>
        <w:kern w:val="0"/>
        <w:position w:val="0"/>
        <w:highlight w:val="none"/>
        <w:vertAlign w:val="baseline"/>
      </w:rPr>
    </w:lvl>
    <w:lvl w:ilvl="6" w:tplc="02BA0FFA">
      <w:start w:val="1"/>
      <w:numFmt w:val="bullet"/>
      <w:lvlText w:val="·"/>
      <w:lvlJc w:val="left"/>
      <w:pPr>
        <w:ind w:left="446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B48"/>
        <w:spacing w:val="0"/>
        <w:w w:val="100"/>
        <w:kern w:val="0"/>
        <w:position w:val="0"/>
        <w:highlight w:val="none"/>
        <w:vertAlign w:val="baseline"/>
      </w:rPr>
    </w:lvl>
    <w:lvl w:ilvl="7" w:tplc="46EE7A20">
      <w:start w:val="1"/>
      <w:numFmt w:val="bullet"/>
      <w:lvlText w:val="o"/>
      <w:lvlJc w:val="left"/>
      <w:pPr>
        <w:ind w:left="518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B48"/>
        <w:spacing w:val="0"/>
        <w:w w:val="100"/>
        <w:kern w:val="0"/>
        <w:position w:val="0"/>
        <w:highlight w:val="none"/>
        <w:vertAlign w:val="baseline"/>
      </w:rPr>
    </w:lvl>
    <w:lvl w:ilvl="8" w:tplc="9964374E">
      <w:start w:val="1"/>
      <w:numFmt w:val="bullet"/>
      <w:lvlText w:val="▪"/>
      <w:lvlJc w:val="left"/>
      <w:pPr>
        <w:ind w:left="590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B4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4925E09"/>
    <w:multiLevelType w:val="hybridMultilevel"/>
    <w:tmpl w:val="9F4A61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F09"/>
    <w:rsid w:val="00032126"/>
    <w:rsid w:val="00047DA1"/>
    <w:rsid w:val="0005069C"/>
    <w:rsid w:val="00053EC8"/>
    <w:rsid w:val="0006007E"/>
    <w:rsid w:val="00064ACD"/>
    <w:rsid w:val="00086C76"/>
    <w:rsid w:val="00095221"/>
    <w:rsid w:val="000A07A0"/>
    <w:rsid w:val="000B7F28"/>
    <w:rsid w:val="000D763F"/>
    <w:rsid w:val="000E3706"/>
    <w:rsid w:val="000E4E34"/>
    <w:rsid w:val="0010128B"/>
    <w:rsid w:val="00134DC8"/>
    <w:rsid w:val="001643AE"/>
    <w:rsid w:val="00166E29"/>
    <w:rsid w:val="001802E8"/>
    <w:rsid w:val="0018045E"/>
    <w:rsid w:val="001834AB"/>
    <w:rsid w:val="001967F2"/>
    <w:rsid w:val="001D5137"/>
    <w:rsid w:val="001E7572"/>
    <w:rsid w:val="001E7EEC"/>
    <w:rsid w:val="001F0856"/>
    <w:rsid w:val="00211482"/>
    <w:rsid w:val="0022342B"/>
    <w:rsid w:val="00237496"/>
    <w:rsid w:val="00240B98"/>
    <w:rsid w:val="002604AA"/>
    <w:rsid w:val="00293BAA"/>
    <w:rsid w:val="00294FC1"/>
    <w:rsid w:val="00295A23"/>
    <w:rsid w:val="002B151E"/>
    <w:rsid w:val="003577D2"/>
    <w:rsid w:val="00367B03"/>
    <w:rsid w:val="003A6EDC"/>
    <w:rsid w:val="003B0EC7"/>
    <w:rsid w:val="003B51E1"/>
    <w:rsid w:val="003D1580"/>
    <w:rsid w:val="003E07BE"/>
    <w:rsid w:val="003E4C69"/>
    <w:rsid w:val="003F3068"/>
    <w:rsid w:val="00431173"/>
    <w:rsid w:val="004368AE"/>
    <w:rsid w:val="00446913"/>
    <w:rsid w:val="00447C8A"/>
    <w:rsid w:val="00447E47"/>
    <w:rsid w:val="00456E51"/>
    <w:rsid w:val="00481CDC"/>
    <w:rsid w:val="00484549"/>
    <w:rsid w:val="004847BC"/>
    <w:rsid w:val="00492255"/>
    <w:rsid w:val="004922EA"/>
    <w:rsid w:val="004923C9"/>
    <w:rsid w:val="00495E1A"/>
    <w:rsid w:val="00497087"/>
    <w:rsid w:val="004B2B1C"/>
    <w:rsid w:val="004B33B2"/>
    <w:rsid w:val="004C056A"/>
    <w:rsid w:val="004F5BE3"/>
    <w:rsid w:val="005009E2"/>
    <w:rsid w:val="00506254"/>
    <w:rsid w:val="005115DA"/>
    <w:rsid w:val="00511FC0"/>
    <w:rsid w:val="00515FD6"/>
    <w:rsid w:val="0051695E"/>
    <w:rsid w:val="0052216A"/>
    <w:rsid w:val="0056131B"/>
    <w:rsid w:val="00566FC4"/>
    <w:rsid w:val="00581304"/>
    <w:rsid w:val="00596420"/>
    <w:rsid w:val="005A580B"/>
    <w:rsid w:val="005B4276"/>
    <w:rsid w:val="005C6072"/>
    <w:rsid w:val="005C6833"/>
    <w:rsid w:val="005D0313"/>
    <w:rsid w:val="005D4C45"/>
    <w:rsid w:val="005D4E4E"/>
    <w:rsid w:val="005E1964"/>
    <w:rsid w:val="00615A2E"/>
    <w:rsid w:val="0061646C"/>
    <w:rsid w:val="0063660C"/>
    <w:rsid w:val="00642790"/>
    <w:rsid w:val="00674AC4"/>
    <w:rsid w:val="0068115B"/>
    <w:rsid w:val="006D03B5"/>
    <w:rsid w:val="006D3C06"/>
    <w:rsid w:val="006D6A69"/>
    <w:rsid w:val="006E52EE"/>
    <w:rsid w:val="007024F6"/>
    <w:rsid w:val="00707072"/>
    <w:rsid w:val="00712928"/>
    <w:rsid w:val="00712B2F"/>
    <w:rsid w:val="00726F65"/>
    <w:rsid w:val="00742B34"/>
    <w:rsid w:val="00743EE0"/>
    <w:rsid w:val="00744B4D"/>
    <w:rsid w:val="007568DB"/>
    <w:rsid w:val="007731F4"/>
    <w:rsid w:val="007A2332"/>
    <w:rsid w:val="007B1964"/>
    <w:rsid w:val="007D5A01"/>
    <w:rsid w:val="00801AF4"/>
    <w:rsid w:val="00805F09"/>
    <w:rsid w:val="0081146A"/>
    <w:rsid w:val="00830F91"/>
    <w:rsid w:val="0083479C"/>
    <w:rsid w:val="00834B19"/>
    <w:rsid w:val="008513E1"/>
    <w:rsid w:val="008623B4"/>
    <w:rsid w:val="00864092"/>
    <w:rsid w:val="00876447"/>
    <w:rsid w:val="00896050"/>
    <w:rsid w:val="008B1E28"/>
    <w:rsid w:val="008B3DEA"/>
    <w:rsid w:val="008C2E2D"/>
    <w:rsid w:val="008F2358"/>
    <w:rsid w:val="008F3AB0"/>
    <w:rsid w:val="00955033"/>
    <w:rsid w:val="00970B69"/>
    <w:rsid w:val="00977FA1"/>
    <w:rsid w:val="009815BB"/>
    <w:rsid w:val="009B652B"/>
    <w:rsid w:val="009C1815"/>
    <w:rsid w:val="009C1DD4"/>
    <w:rsid w:val="009C2CAE"/>
    <w:rsid w:val="009C3985"/>
    <w:rsid w:val="009C5BBB"/>
    <w:rsid w:val="00A121EB"/>
    <w:rsid w:val="00A25F2B"/>
    <w:rsid w:val="00A27CBB"/>
    <w:rsid w:val="00A43098"/>
    <w:rsid w:val="00A47A25"/>
    <w:rsid w:val="00A63F18"/>
    <w:rsid w:val="00A67E4C"/>
    <w:rsid w:val="00AA3E07"/>
    <w:rsid w:val="00AC1302"/>
    <w:rsid w:val="00B04AF7"/>
    <w:rsid w:val="00B04C14"/>
    <w:rsid w:val="00B1039E"/>
    <w:rsid w:val="00B34A24"/>
    <w:rsid w:val="00B72636"/>
    <w:rsid w:val="00B8559F"/>
    <w:rsid w:val="00B93431"/>
    <w:rsid w:val="00B9464C"/>
    <w:rsid w:val="00B978F6"/>
    <w:rsid w:val="00BA13A0"/>
    <w:rsid w:val="00BB0C5F"/>
    <w:rsid w:val="00BB3AD0"/>
    <w:rsid w:val="00BC1299"/>
    <w:rsid w:val="00BC591F"/>
    <w:rsid w:val="00BC698D"/>
    <w:rsid w:val="00BF559D"/>
    <w:rsid w:val="00BF7044"/>
    <w:rsid w:val="00C15987"/>
    <w:rsid w:val="00C1687E"/>
    <w:rsid w:val="00C272CC"/>
    <w:rsid w:val="00C371CC"/>
    <w:rsid w:val="00C471BC"/>
    <w:rsid w:val="00C55DC9"/>
    <w:rsid w:val="00C61BAA"/>
    <w:rsid w:val="00C6551C"/>
    <w:rsid w:val="00C866D8"/>
    <w:rsid w:val="00CA3B83"/>
    <w:rsid w:val="00CA6CD2"/>
    <w:rsid w:val="00CB5BE3"/>
    <w:rsid w:val="00CE2BB2"/>
    <w:rsid w:val="00D11F44"/>
    <w:rsid w:val="00D15491"/>
    <w:rsid w:val="00D45F66"/>
    <w:rsid w:val="00D55C9C"/>
    <w:rsid w:val="00D8129C"/>
    <w:rsid w:val="00D82307"/>
    <w:rsid w:val="00D94EBF"/>
    <w:rsid w:val="00DA01D3"/>
    <w:rsid w:val="00DA172F"/>
    <w:rsid w:val="00DB73AF"/>
    <w:rsid w:val="00DC5A41"/>
    <w:rsid w:val="00DD5CD4"/>
    <w:rsid w:val="00DE726E"/>
    <w:rsid w:val="00DF5512"/>
    <w:rsid w:val="00E03192"/>
    <w:rsid w:val="00E210EE"/>
    <w:rsid w:val="00E8183A"/>
    <w:rsid w:val="00E9566F"/>
    <w:rsid w:val="00EA22B1"/>
    <w:rsid w:val="00EA7F6C"/>
    <w:rsid w:val="00EB679C"/>
    <w:rsid w:val="00ED6094"/>
    <w:rsid w:val="00EF1A10"/>
    <w:rsid w:val="00EF3A16"/>
    <w:rsid w:val="00F00D33"/>
    <w:rsid w:val="00F01B87"/>
    <w:rsid w:val="00F02A85"/>
    <w:rsid w:val="00F05850"/>
    <w:rsid w:val="00F257EC"/>
    <w:rsid w:val="00F673CC"/>
    <w:rsid w:val="00FB2420"/>
    <w:rsid w:val="00FC2E1B"/>
    <w:rsid w:val="00FC74A9"/>
    <w:rsid w:val="00FD3498"/>
    <w:rsid w:val="00FF4305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7609"/>
  <w15:docId w15:val="{5C8B511A-8911-49CC-91DB-AEADB48C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grafodaLista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563C1"/>
      <w:u w:val="single" w:color="0563C1"/>
      <w:lang w:val="pt-PT"/>
    </w:rPr>
  </w:style>
  <w:style w:type="character" w:customStyle="1" w:styleId="Hyperlink1">
    <w:name w:val="Hyperlink.1"/>
    <w:basedOn w:val="None"/>
    <w:rPr>
      <w:outline w:val="0"/>
      <w:color w:val="0563C1"/>
      <w:u w:val="single" w:color="0563C1"/>
      <w:lang w:val="fr-FR"/>
    </w:rPr>
  </w:style>
  <w:style w:type="character" w:customStyle="1" w:styleId="Hyperlink2">
    <w:name w:val="Hyperlink.2"/>
    <w:basedOn w:val="None"/>
    <w:rPr>
      <w:outline w:val="0"/>
      <w:color w:val="0563C1"/>
      <w:u w:val="single" w:color="0563C1"/>
      <w:lang w:val="de-DE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009E2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09E2"/>
    <w:rPr>
      <w:rFonts w:ascii="Segoe UI" w:hAnsi="Segoe UI" w:cs="Segoe UI"/>
      <w:sz w:val="18"/>
      <w:szCs w:val="18"/>
      <w:lang w:val="en-US"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C2E2D"/>
    <w:rPr>
      <w:color w:val="605E5C"/>
      <w:shd w:val="clear" w:color="auto" w:fill="E1DFDD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94FC1"/>
    <w:pPr>
      <w:spacing w:line="240" w:lineRule="auto"/>
    </w:pPr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94FC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085F834535AF4CBAF1B40B360EB83D" ma:contentTypeVersion="13" ma:contentTypeDescription="Criar um novo documento." ma:contentTypeScope="" ma:versionID="2ee1732ee8d056d7fcd8cdd18f30c5db">
  <xsd:schema xmlns:xsd="http://www.w3.org/2001/XMLSchema" xmlns:xs="http://www.w3.org/2001/XMLSchema" xmlns:p="http://schemas.microsoft.com/office/2006/metadata/properties" xmlns:ns3="8653520d-b694-47b2-ae1a-9c918cf6dd6f" xmlns:ns4="14fe7562-c9d3-4c6b-b51e-671dee077b91" targetNamespace="http://schemas.microsoft.com/office/2006/metadata/properties" ma:root="true" ma:fieldsID="14d84796da536001b1e8639d9ccafaaa" ns3:_="" ns4:_="">
    <xsd:import namespace="8653520d-b694-47b2-ae1a-9c918cf6dd6f"/>
    <xsd:import namespace="14fe7562-c9d3-4c6b-b51e-671dee077b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3520d-b694-47b2-ae1a-9c918cf6d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e7562-c9d3-4c6b-b51e-671dee077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4FFC-436A-4625-9FF8-6AFA43580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C3BBF4-4767-4A8E-9963-586D03528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3520d-b694-47b2-ae1a-9c918cf6dd6f"/>
    <ds:schemaRef ds:uri="14fe7562-c9d3-4c6b-b51e-671dee077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3392D-CCF1-4F40-885C-29871C1B6D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DA66F-257D-4B16-A487-B9A74100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1256</Words>
  <Characters>6786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Inês Saltão</dc:creator>
  <cp:lastModifiedBy>Fábio Duarte</cp:lastModifiedBy>
  <cp:revision>3</cp:revision>
  <dcterms:created xsi:type="dcterms:W3CDTF">2020-05-27T09:10:00Z</dcterms:created>
  <dcterms:modified xsi:type="dcterms:W3CDTF">2020-05-27T11:00:00Z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0x01010033085F834535AF4CBAF1B40B360EB83D</vt:lpwstr>
  </property>
</Properties>
</file>