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164F" w14:textId="07E0C35B" w:rsidR="00A120B4" w:rsidRPr="00677FA7" w:rsidRDefault="003B1168" w:rsidP="00A120B4">
      <w:pPr>
        <w:ind w:leftChars="0" w:left="0"/>
        <w:jc w:val="center"/>
        <w:rPr>
          <w:rFonts w:ascii="Tahoma" w:eastAsia="Arial Unicode MS" w:hAnsi="Tahoma" w:cs="Tahoma"/>
          <w:b/>
          <w:bCs/>
          <w:sz w:val="24"/>
          <w:szCs w:val="24"/>
          <w:lang w:val="pl-PL"/>
        </w:rPr>
      </w:pPr>
      <w:r>
        <w:rPr>
          <w:rFonts w:ascii="Tahoma" w:eastAsia="Arial Unicode MS" w:hAnsi="Tahoma" w:cs="Tahoma"/>
          <w:b/>
          <w:bCs/>
          <w:sz w:val="24"/>
          <w:szCs w:val="24"/>
          <w:lang w:val="pl-PL"/>
        </w:rPr>
        <w:t>Oxford E</w:t>
      </w:r>
      <w:r w:rsidR="00ED1A23">
        <w:rPr>
          <w:rFonts w:ascii="Tahoma" w:eastAsia="Arial Unicode MS" w:hAnsi="Tahoma" w:cs="Tahoma"/>
          <w:b/>
          <w:bCs/>
          <w:sz w:val="24"/>
          <w:szCs w:val="24"/>
          <w:lang w:val="pl-PL"/>
        </w:rPr>
        <w:t>c</w:t>
      </w:r>
      <w:r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onomics: </w:t>
      </w:r>
      <w:r w:rsidR="00BB5DA4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koszty </w:t>
      </w:r>
      <w:r w:rsidR="00D30A07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ewentualnego </w:t>
      </w:r>
      <w:r w:rsidR="00BB5DA4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wykluczenia Huawei w Europie </w:t>
      </w:r>
      <w:r w:rsidR="00D30A07">
        <w:rPr>
          <w:rFonts w:ascii="Tahoma" w:eastAsia="Arial Unicode MS" w:hAnsi="Tahoma" w:cs="Tahoma"/>
          <w:b/>
          <w:bCs/>
          <w:sz w:val="24"/>
          <w:szCs w:val="24"/>
          <w:lang w:val="pl-PL"/>
        </w:rPr>
        <w:t>wyniosłyby</w:t>
      </w:r>
      <w:r w:rsidR="00BB5DA4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 miliardy</w:t>
      </w:r>
      <w:r w:rsidR="00A02DD6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 e</w:t>
      </w:r>
      <w:r w:rsidR="00BB5DA4">
        <w:rPr>
          <w:rFonts w:ascii="Tahoma" w:eastAsia="Arial Unicode MS" w:hAnsi="Tahoma" w:cs="Tahoma"/>
          <w:b/>
          <w:bCs/>
          <w:sz w:val="24"/>
          <w:szCs w:val="24"/>
          <w:lang w:val="pl-PL"/>
        </w:rPr>
        <w:t>uro</w:t>
      </w:r>
    </w:p>
    <w:p w14:paraId="5C82D73C" w14:textId="77777777" w:rsidR="00767E0E" w:rsidRPr="00956E59" w:rsidRDefault="00767E0E" w:rsidP="00A120B4">
      <w:pPr>
        <w:ind w:leftChars="0" w:left="0"/>
        <w:jc w:val="center"/>
        <w:rPr>
          <w:rFonts w:ascii="Tahoma" w:hAnsi="Tahoma" w:cs="Tahoma"/>
          <w:b/>
          <w:bCs/>
          <w:i/>
          <w:lang w:val="pl-PL"/>
        </w:rPr>
      </w:pPr>
    </w:p>
    <w:p w14:paraId="6255BF87" w14:textId="55CA2B0D" w:rsidR="00BB5DA4" w:rsidRPr="00956E59" w:rsidRDefault="003B1168" w:rsidP="00BB5DA4">
      <w:pPr>
        <w:spacing w:line="240" w:lineRule="auto"/>
        <w:ind w:leftChars="0" w:left="0"/>
        <w:jc w:val="both"/>
        <w:rPr>
          <w:rFonts w:ascii="Tahoma" w:eastAsia="Arial Unicode MS" w:hAnsi="Tahoma" w:cs="Tahoma"/>
          <w:b/>
          <w:sz w:val="20"/>
          <w:szCs w:val="20"/>
          <w:lang w:val="pl-PL"/>
        </w:rPr>
      </w:pPr>
      <w:r>
        <w:rPr>
          <w:rFonts w:ascii="Tahoma" w:eastAsia="Arial Unicode MS" w:hAnsi="Tahoma" w:cs="Tahoma"/>
          <w:b/>
          <w:sz w:val="20"/>
          <w:szCs w:val="20"/>
          <w:lang w:val="pl-PL"/>
        </w:rPr>
        <w:t>Instytut</w:t>
      </w:r>
      <w:r w:rsidR="00BB5DA4" w:rsidRPr="00956E59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 Oxford Economics opracował obszerne badanie dotyczące kosztów</w:t>
      </w:r>
      <w:r w:rsidR="00ED1A23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 ewentualnego</w:t>
      </w:r>
      <w:r w:rsidR="00BB5DA4" w:rsidRPr="00956E59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 wyłączenia Huawei z części sieci europejskich. W zależności od scenariusza</w:t>
      </w:r>
      <w:r w:rsidR="00A5424A">
        <w:rPr>
          <w:rFonts w:ascii="Tahoma" w:eastAsia="Arial Unicode MS" w:hAnsi="Tahoma" w:cs="Tahoma"/>
          <w:b/>
          <w:sz w:val="20"/>
          <w:szCs w:val="20"/>
          <w:lang w:val="pl-PL"/>
        </w:rPr>
        <w:t>,</w:t>
      </w:r>
      <w:r w:rsidR="00BB5DA4" w:rsidRPr="00956E59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 koszty te mogą wynieść </w:t>
      </w:r>
      <w:r w:rsidR="00956E59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nawet </w:t>
      </w:r>
      <w:r w:rsidR="00BB5DA4" w:rsidRPr="00956E59">
        <w:rPr>
          <w:rFonts w:ascii="Tahoma" w:eastAsia="Arial Unicode MS" w:hAnsi="Tahoma" w:cs="Tahoma"/>
          <w:b/>
          <w:sz w:val="20"/>
          <w:szCs w:val="20"/>
          <w:lang w:val="pl-PL"/>
        </w:rPr>
        <w:t>3 m</w:t>
      </w:r>
      <w:r w:rsidR="00BD3B0F">
        <w:rPr>
          <w:rFonts w:ascii="Tahoma" w:eastAsia="Arial Unicode MS" w:hAnsi="Tahoma" w:cs="Tahoma"/>
          <w:b/>
          <w:sz w:val="20"/>
          <w:szCs w:val="20"/>
          <w:lang w:val="pl-PL"/>
        </w:rPr>
        <w:t>iliardy Euro</w:t>
      </w:r>
      <w:r w:rsidR="00BB5DA4" w:rsidRPr="00956E59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 rocznie</w:t>
      </w:r>
      <w:r w:rsidR="00BD3B0F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 w całej Europie</w:t>
      </w:r>
      <w:r w:rsidR="00BB5DA4" w:rsidRPr="00956E59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. </w:t>
      </w:r>
      <w:r w:rsidR="00BD3B0F">
        <w:rPr>
          <w:rFonts w:ascii="Tahoma" w:eastAsia="Arial Unicode MS" w:hAnsi="Tahoma" w:cs="Tahoma"/>
          <w:b/>
          <w:sz w:val="20"/>
          <w:szCs w:val="20"/>
          <w:lang w:val="pl-PL"/>
        </w:rPr>
        <w:t>Mniejsza konkurencja</w:t>
      </w:r>
      <w:r w:rsidR="00420586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, opóźnienia i spadek innowacyjności </w:t>
      </w:r>
      <w:r w:rsidR="00BD3B0F">
        <w:rPr>
          <w:rFonts w:ascii="Tahoma" w:eastAsia="Arial Unicode MS" w:hAnsi="Tahoma" w:cs="Tahoma"/>
          <w:b/>
          <w:sz w:val="20"/>
          <w:szCs w:val="20"/>
          <w:lang w:val="pl-PL"/>
        </w:rPr>
        <w:t>wpłynęł</w:t>
      </w:r>
      <w:r w:rsidR="00420586">
        <w:rPr>
          <w:rFonts w:ascii="Tahoma" w:eastAsia="Arial Unicode MS" w:hAnsi="Tahoma" w:cs="Tahoma"/>
          <w:b/>
          <w:sz w:val="20"/>
          <w:szCs w:val="20"/>
          <w:lang w:val="pl-PL"/>
        </w:rPr>
        <w:t>y</w:t>
      </w:r>
      <w:r w:rsidR="00BD3B0F">
        <w:rPr>
          <w:rFonts w:ascii="Tahoma" w:eastAsia="Arial Unicode MS" w:hAnsi="Tahoma" w:cs="Tahoma"/>
          <w:b/>
          <w:sz w:val="20"/>
          <w:szCs w:val="20"/>
          <w:lang w:val="pl-PL"/>
        </w:rPr>
        <w:t>by też na utratę</w:t>
      </w:r>
      <w:r w:rsidR="00956E59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 </w:t>
      </w:r>
      <w:r w:rsidR="00BD3B0F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w Polsce </w:t>
      </w:r>
      <w:r w:rsidR="00BD3B0F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nawet </w:t>
      </w:r>
      <w:r w:rsidR="00956E59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120 milionów Euro </w:t>
      </w:r>
      <w:r w:rsidR="00BD3B0F">
        <w:rPr>
          <w:rFonts w:ascii="Tahoma" w:eastAsia="Arial Unicode MS" w:hAnsi="Tahoma" w:cs="Tahoma"/>
          <w:b/>
          <w:sz w:val="20"/>
          <w:szCs w:val="20"/>
          <w:lang w:val="pl-PL"/>
        </w:rPr>
        <w:t>PKB każdego roku</w:t>
      </w:r>
      <w:r w:rsidR="00956E59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, prowadząc do </w:t>
      </w:r>
      <w:r w:rsidR="00BD3B0F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łącznej </w:t>
      </w:r>
      <w:r w:rsidR="00956E59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straty rzędu nawet 2,2 miliarda Euro do 2035. </w:t>
      </w:r>
    </w:p>
    <w:p w14:paraId="7F1FF01B" w14:textId="004BF84C" w:rsidR="00956E59" w:rsidRPr="00BB5DA4" w:rsidRDefault="00956E59" w:rsidP="00BB5DA4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0EA19256" w14:textId="4A979E5C" w:rsidR="00BB5DA4" w:rsidRDefault="00BB5DA4" w:rsidP="00BB5DA4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Opóźnienie we wprowadzeniu 5G </w:t>
      </w:r>
      <w:r w:rsidR="00A5424A">
        <w:rPr>
          <w:rFonts w:ascii="Tahoma" w:eastAsia="Arial Unicode MS" w:hAnsi="Tahoma" w:cs="Tahoma"/>
          <w:sz w:val="20"/>
          <w:szCs w:val="20"/>
          <w:lang w:val="pl-PL"/>
        </w:rPr>
        <w:t>spowodowałoby</w:t>
      </w:r>
      <w:r w:rsidR="00A5424A"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BB5DA4">
        <w:rPr>
          <w:rFonts w:ascii="Tahoma" w:eastAsia="Arial Unicode MS" w:hAnsi="Tahoma" w:cs="Tahoma"/>
          <w:sz w:val="20"/>
          <w:szCs w:val="20"/>
          <w:lang w:val="pl-PL"/>
        </w:rPr>
        <w:t>również spowolnieni</w:t>
      </w:r>
      <w:r w:rsidR="00A5424A">
        <w:rPr>
          <w:rFonts w:ascii="Tahoma" w:eastAsia="Arial Unicode MS" w:hAnsi="Tahoma" w:cs="Tahoma"/>
          <w:sz w:val="20"/>
          <w:szCs w:val="20"/>
          <w:lang w:val="pl-PL"/>
        </w:rPr>
        <w:t>e</w:t>
      </w:r>
      <w:r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 innowacji technologicznych i ograniczeni</w:t>
      </w:r>
      <w:r w:rsidR="00A5424A">
        <w:rPr>
          <w:rFonts w:ascii="Tahoma" w:eastAsia="Arial Unicode MS" w:hAnsi="Tahoma" w:cs="Tahoma"/>
          <w:sz w:val="20"/>
          <w:szCs w:val="20"/>
          <w:lang w:val="pl-PL"/>
        </w:rPr>
        <w:t>e</w:t>
      </w:r>
      <w:r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 wzrostu g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ospodarczego. </w:t>
      </w:r>
      <w:r w:rsidR="00BD3B0F">
        <w:rPr>
          <w:rFonts w:ascii="Tahoma" w:eastAsia="Arial Unicode MS" w:hAnsi="Tahoma" w:cs="Tahoma"/>
          <w:sz w:val="20"/>
          <w:szCs w:val="20"/>
          <w:lang w:val="pl-PL"/>
        </w:rPr>
        <w:t>Eksperci z</w:t>
      </w:r>
      <w:r w:rsidR="00956E59">
        <w:rPr>
          <w:rFonts w:ascii="Tahoma" w:eastAsia="Arial Unicode MS" w:hAnsi="Tahoma" w:cs="Tahoma"/>
          <w:sz w:val="20"/>
          <w:szCs w:val="20"/>
          <w:lang w:val="pl-PL"/>
        </w:rPr>
        <w:t xml:space="preserve"> Oxford Economics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BD3B0F">
        <w:rPr>
          <w:rFonts w:ascii="Tahoma" w:eastAsia="Arial Unicode MS" w:hAnsi="Tahoma" w:cs="Tahoma"/>
          <w:sz w:val="20"/>
          <w:szCs w:val="20"/>
          <w:lang w:val="pl-PL"/>
        </w:rPr>
        <w:t xml:space="preserve">przeanalizowali </w:t>
      </w:r>
      <w:r w:rsidR="002A0E07">
        <w:rPr>
          <w:rFonts w:ascii="Tahoma" w:eastAsia="Arial Unicode MS" w:hAnsi="Tahoma" w:cs="Tahoma"/>
          <w:sz w:val="20"/>
          <w:szCs w:val="20"/>
          <w:lang w:val="pl-PL"/>
        </w:rPr>
        <w:t>o ile w związku z tym zmniejszyłyby się krajowe</w:t>
      </w:r>
      <w:r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 PKB </w:t>
      </w:r>
      <w:r w:rsidR="002A0E07">
        <w:rPr>
          <w:rFonts w:ascii="Tahoma" w:eastAsia="Arial Unicode MS" w:hAnsi="Tahoma" w:cs="Tahoma"/>
          <w:sz w:val="20"/>
          <w:szCs w:val="20"/>
          <w:lang w:val="pl-PL"/>
        </w:rPr>
        <w:t>do</w:t>
      </w:r>
      <w:r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 2035 r</w:t>
      </w:r>
      <w:r w:rsidR="002A0E07">
        <w:rPr>
          <w:rFonts w:ascii="Tahoma" w:eastAsia="Arial Unicode MS" w:hAnsi="Tahoma" w:cs="Tahoma"/>
          <w:sz w:val="20"/>
          <w:szCs w:val="20"/>
          <w:lang w:val="pl-PL"/>
        </w:rPr>
        <w:t>oku. Straty wyniosłyby</w:t>
      </w:r>
      <w:r w:rsidR="00E45E9E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BB5DA4">
        <w:rPr>
          <w:rFonts w:ascii="Tahoma" w:eastAsia="Arial Unicode MS" w:hAnsi="Tahoma" w:cs="Tahoma"/>
          <w:sz w:val="20"/>
          <w:szCs w:val="20"/>
          <w:lang w:val="pl-PL"/>
        </w:rPr>
        <w:t>od 13 m</w:t>
      </w:r>
      <w:r w:rsidR="002A0E07">
        <w:rPr>
          <w:rFonts w:ascii="Tahoma" w:eastAsia="Arial Unicode MS" w:hAnsi="Tahoma" w:cs="Tahoma"/>
          <w:sz w:val="20"/>
          <w:szCs w:val="20"/>
          <w:lang w:val="pl-PL"/>
        </w:rPr>
        <w:t>ln Euro w Islandii do 7,3 mld Euro</w:t>
      </w:r>
      <w:r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 we Francji. </w:t>
      </w:r>
      <w:r w:rsidR="00420586">
        <w:rPr>
          <w:rFonts w:ascii="Tahoma" w:eastAsia="Arial Unicode MS" w:hAnsi="Tahoma" w:cs="Tahoma"/>
          <w:sz w:val="20"/>
          <w:szCs w:val="20"/>
          <w:lang w:val="pl-PL"/>
        </w:rPr>
        <w:t>Całkowity</w:t>
      </w:r>
      <w:r w:rsidR="00E45E9E" w:rsidRPr="00E45E9E">
        <w:rPr>
          <w:rFonts w:ascii="Tahoma" w:eastAsia="Arial Unicode MS" w:hAnsi="Tahoma" w:cs="Tahoma"/>
          <w:sz w:val="20"/>
          <w:szCs w:val="20"/>
          <w:lang w:val="pl-PL"/>
        </w:rPr>
        <w:t xml:space="preserve"> PKB, który zostałby utracony</w:t>
      </w:r>
      <w:r w:rsidR="00956E59">
        <w:rPr>
          <w:rFonts w:ascii="Tahoma" w:eastAsia="Arial Unicode MS" w:hAnsi="Tahoma" w:cs="Tahoma"/>
          <w:sz w:val="20"/>
          <w:szCs w:val="20"/>
          <w:lang w:val="pl-PL"/>
        </w:rPr>
        <w:t xml:space="preserve"> w Europie</w:t>
      </w:r>
      <w:r w:rsidR="00E45E9E" w:rsidRPr="00E45E9E">
        <w:rPr>
          <w:rFonts w:ascii="Tahoma" w:eastAsia="Arial Unicode MS" w:hAnsi="Tahoma" w:cs="Tahoma"/>
          <w:sz w:val="20"/>
          <w:szCs w:val="20"/>
          <w:lang w:val="pl-PL"/>
        </w:rPr>
        <w:t>, szacuje się na 40</w:t>
      </w:r>
      <w:r w:rsidR="002A0E07">
        <w:rPr>
          <w:rFonts w:ascii="Tahoma" w:eastAsia="Arial Unicode MS" w:hAnsi="Tahoma" w:cs="Tahoma"/>
          <w:sz w:val="20"/>
          <w:szCs w:val="20"/>
          <w:lang w:val="pl-PL"/>
        </w:rPr>
        <w:t xml:space="preserve"> mld Euro</w:t>
      </w:r>
      <w:r w:rsidR="00956E59">
        <w:rPr>
          <w:rFonts w:ascii="Tahoma" w:eastAsia="Arial Unicode MS" w:hAnsi="Tahoma" w:cs="Tahoma"/>
          <w:sz w:val="20"/>
          <w:szCs w:val="20"/>
          <w:lang w:val="pl-PL"/>
        </w:rPr>
        <w:t xml:space="preserve"> do</w:t>
      </w:r>
      <w:r w:rsidR="00E45E9E" w:rsidRPr="00E45E9E">
        <w:rPr>
          <w:rFonts w:ascii="Tahoma" w:eastAsia="Arial Unicode MS" w:hAnsi="Tahoma" w:cs="Tahoma"/>
          <w:sz w:val="20"/>
          <w:szCs w:val="20"/>
          <w:lang w:val="pl-PL"/>
        </w:rPr>
        <w:t xml:space="preserve"> 2035 r. </w:t>
      </w:r>
    </w:p>
    <w:p w14:paraId="4EE2B8F4" w14:textId="77777777" w:rsidR="00AE766F" w:rsidRDefault="00AE766F" w:rsidP="00BB5DA4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FA4396F" w14:textId="7D2AF06D" w:rsidR="00A5424A" w:rsidRDefault="00C176CD" w:rsidP="00BB5DA4">
      <w:pPr>
        <w:spacing w:line="240" w:lineRule="auto"/>
        <w:ind w:leftChars="0" w:left="0"/>
        <w:jc w:val="both"/>
        <w:rPr>
          <w:rFonts w:ascii="Tahoma" w:eastAsia="Arial Unicode MS" w:hAnsi="Tahoma" w:cs="Tahoma"/>
          <w:b/>
          <w:sz w:val="20"/>
          <w:szCs w:val="20"/>
          <w:lang w:val="pl-PL"/>
        </w:rPr>
      </w:pPr>
      <w:r>
        <w:rPr>
          <w:rFonts w:ascii="Tahoma" w:eastAsia="Arial Unicode MS" w:hAnsi="Tahoma" w:cs="Tahoma"/>
          <w:b/>
          <w:sz w:val="20"/>
          <w:szCs w:val="20"/>
          <w:lang w:val="pl-PL"/>
        </w:rPr>
        <w:t>Wpływ na</w:t>
      </w:r>
      <w:r w:rsidR="00A5424A" w:rsidRPr="00424F73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 PKB</w:t>
      </w:r>
      <w:r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 Polski</w:t>
      </w:r>
    </w:p>
    <w:p w14:paraId="00F7D84A" w14:textId="77777777" w:rsidR="00A5424A" w:rsidRPr="00424F73" w:rsidRDefault="00A5424A" w:rsidP="00BB5DA4">
      <w:pPr>
        <w:spacing w:line="240" w:lineRule="auto"/>
        <w:ind w:leftChars="0" w:left="0"/>
        <w:jc w:val="both"/>
        <w:rPr>
          <w:rFonts w:ascii="Tahoma" w:eastAsia="Arial Unicode MS" w:hAnsi="Tahoma" w:cs="Tahoma"/>
          <w:b/>
          <w:sz w:val="20"/>
          <w:szCs w:val="20"/>
          <w:lang w:val="pl-PL"/>
        </w:rPr>
      </w:pPr>
    </w:p>
    <w:p w14:paraId="15DD8205" w14:textId="515DA763" w:rsidR="00AE766F" w:rsidRPr="00AE766F" w:rsidRDefault="00AE766F" w:rsidP="00AE766F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AE766F">
        <w:rPr>
          <w:rFonts w:ascii="Tahoma" w:eastAsia="Arial Unicode MS" w:hAnsi="Tahoma" w:cs="Tahoma"/>
          <w:sz w:val="20"/>
          <w:szCs w:val="20"/>
          <w:lang w:val="pl-PL"/>
        </w:rPr>
        <w:t>Usługi 5G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FE186D">
        <w:rPr>
          <w:rFonts w:ascii="Tahoma" w:eastAsia="Arial Unicode MS" w:hAnsi="Tahoma" w:cs="Tahoma"/>
          <w:sz w:val="20"/>
          <w:szCs w:val="20"/>
          <w:lang w:val="pl-PL"/>
        </w:rPr>
        <w:t xml:space="preserve">oraz 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powiązane 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z nimi nowe technologie i modele biznesowe 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>będą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>stymulować działalność gospodarczą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przynosząc nawet 13 mld Euro wzrostu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 PKB i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FE186D">
        <w:rPr>
          <w:rFonts w:ascii="Tahoma" w:eastAsia="Arial Unicode MS" w:hAnsi="Tahoma" w:cs="Tahoma"/>
          <w:sz w:val="20"/>
          <w:szCs w:val="20"/>
          <w:lang w:val="pl-PL"/>
        </w:rPr>
        <w:t>stworzą nawet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>
        <w:rPr>
          <w:rFonts w:ascii="Tahoma" w:eastAsia="Arial Unicode MS" w:hAnsi="Tahoma" w:cs="Tahoma"/>
          <w:sz w:val="20"/>
          <w:szCs w:val="20"/>
          <w:lang w:val="pl-PL"/>
        </w:rPr>
        <w:t>570 000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 miejsc pracy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>w Polsce.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>Z drugiej strony</w:t>
      </w:r>
      <w:r w:rsidR="00A5424A">
        <w:rPr>
          <w:rFonts w:ascii="Tahoma" w:eastAsia="Arial Unicode MS" w:hAnsi="Tahoma" w:cs="Tahoma"/>
          <w:sz w:val="20"/>
          <w:szCs w:val="20"/>
          <w:lang w:val="pl-PL"/>
        </w:rPr>
        <w:t>,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 ograniczenie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>konkurencj</w:t>
      </w:r>
      <w:r>
        <w:rPr>
          <w:rFonts w:ascii="Tahoma" w:eastAsia="Arial Unicode MS" w:hAnsi="Tahoma" w:cs="Tahoma"/>
          <w:sz w:val="20"/>
          <w:szCs w:val="20"/>
          <w:lang w:val="pl-PL"/>
        </w:rPr>
        <w:t>i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 może mieć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>niekorzystne ekonomiczne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efekty. Eksperci przygotowujący raport szacują, że </w:t>
      </w:r>
      <w:r w:rsidR="00A5424A">
        <w:rPr>
          <w:rFonts w:ascii="Tahoma" w:eastAsia="Arial Unicode MS" w:hAnsi="Tahoma" w:cs="Tahoma"/>
          <w:sz w:val="20"/>
          <w:szCs w:val="20"/>
          <w:lang w:val="pl-PL"/>
        </w:rPr>
        <w:t xml:space="preserve">w przypadku wykluczenia jednego z dostawców koszty </w:t>
      </w:r>
      <w:r>
        <w:rPr>
          <w:rFonts w:ascii="Tahoma" w:eastAsia="Arial Unicode MS" w:hAnsi="Tahoma" w:cs="Tahoma"/>
          <w:sz w:val="20"/>
          <w:szCs w:val="20"/>
          <w:lang w:val="pl-PL"/>
        </w:rPr>
        <w:t>budowy sieci 5G</w:t>
      </w:r>
      <w:r w:rsidR="00A5424A">
        <w:rPr>
          <w:rFonts w:ascii="Tahoma" w:eastAsia="Arial Unicode MS" w:hAnsi="Tahoma" w:cs="Tahoma"/>
          <w:sz w:val="20"/>
          <w:szCs w:val="20"/>
          <w:lang w:val="pl-PL"/>
        </w:rPr>
        <w:t xml:space="preserve"> w Polsce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A5424A">
        <w:rPr>
          <w:rFonts w:ascii="Tahoma" w:eastAsia="Arial Unicode MS" w:hAnsi="Tahoma" w:cs="Tahoma"/>
          <w:sz w:val="20"/>
          <w:szCs w:val="20"/>
          <w:lang w:val="pl-PL"/>
        </w:rPr>
        <w:t xml:space="preserve">mogłyby 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wzrosnąć nawet o 120 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mln </w:t>
      </w:r>
      <w:r w:rsidR="002A0E07">
        <w:rPr>
          <w:rFonts w:ascii="Tahoma" w:eastAsia="Arial Unicode MS" w:hAnsi="Tahoma" w:cs="Tahoma"/>
          <w:sz w:val="20"/>
          <w:szCs w:val="20"/>
          <w:lang w:val="pl-PL"/>
        </w:rPr>
        <w:t>Euro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>
        <w:rPr>
          <w:rFonts w:ascii="Tahoma" w:eastAsia="Arial Unicode MS" w:hAnsi="Tahoma" w:cs="Tahoma"/>
          <w:sz w:val="20"/>
          <w:szCs w:val="20"/>
          <w:lang w:val="pl-PL"/>
        </w:rPr>
        <w:t>rocznie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 w ciągu następnej dekady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. 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>Z powodu podwyżek cen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3,3 miliona Polaków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 (9% </w:t>
      </w:r>
      <w:r>
        <w:rPr>
          <w:rFonts w:ascii="Tahoma" w:eastAsia="Arial Unicode MS" w:hAnsi="Tahoma" w:cs="Tahoma"/>
          <w:sz w:val="20"/>
          <w:szCs w:val="20"/>
          <w:lang w:val="pl-PL"/>
        </w:rPr>
        <w:t>ludnośći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) </w:t>
      </w:r>
      <w:r w:rsidR="00FE186D">
        <w:rPr>
          <w:rFonts w:ascii="Tahoma" w:eastAsia="Arial Unicode MS" w:hAnsi="Tahoma" w:cs="Tahoma"/>
          <w:sz w:val="20"/>
          <w:szCs w:val="20"/>
          <w:lang w:val="pl-PL"/>
        </w:rPr>
        <w:t>utraci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możliwość dostępu do korzyści płynących z sieci 5G przed 2023 rokiem.</w:t>
      </w:r>
      <w:r w:rsidR="00FE186D">
        <w:rPr>
          <w:rFonts w:ascii="Tahoma" w:eastAsia="Arial Unicode MS" w:hAnsi="Tahoma" w:cs="Tahoma"/>
          <w:sz w:val="20"/>
          <w:szCs w:val="20"/>
          <w:lang w:val="pl-PL"/>
        </w:rPr>
        <w:t xml:space="preserve"> Z kolei n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>iższy wzrost gospodarczy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spowodowany opóźnieniami 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>we wdrożeniu 5G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i związany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 z tym wolniej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szy </w:t>
      </w:r>
      <w:r w:rsidR="00FE186D">
        <w:rPr>
          <w:rFonts w:ascii="Tahoma" w:eastAsia="Arial Unicode MS" w:hAnsi="Tahoma" w:cs="Tahoma"/>
          <w:sz w:val="20"/>
          <w:szCs w:val="20"/>
          <w:lang w:val="pl-PL"/>
        </w:rPr>
        <w:t>rozwój</w:t>
      </w:r>
      <w:r w:rsidRPr="00AE766F">
        <w:rPr>
          <w:rFonts w:ascii="Tahoma" w:eastAsia="Arial Unicode MS" w:hAnsi="Tahoma" w:cs="Tahoma"/>
          <w:sz w:val="20"/>
          <w:szCs w:val="20"/>
          <w:lang w:val="pl-PL"/>
        </w:rPr>
        <w:t xml:space="preserve"> technologiczny zmniejsz</w:t>
      </w:r>
      <w:r>
        <w:rPr>
          <w:rFonts w:ascii="Tahoma" w:eastAsia="Arial Unicode MS" w:hAnsi="Tahoma" w:cs="Tahoma"/>
          <w:sz w:val="20"/>
          <w:szCs w:val="20"/>
          <w:lang w:val="pl-PL"/>
        </w:rPr>
        <w:t>ą PKB Polski o kwotę sięgającą</w:t>
      </w:r>
      <w:r w:rsidR="00A5424A">
        <w:rPr>
          <w:rFonts w:ascii="Tahoma" w:eastAsia="Arial Unicode MS" w:hAnsi="Tahoma" w:cs="Tahoma"/>
          <w:sz w:val="20"/>
          <w:szCs w:val="20"/>
          <w:lang w:val="pl-PL"/>
        </w:rPr>
        <w:t xml:space="preserve"> w najgorszym scenariuszu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nawet 2,2 miliarda Euro do 2035 roku.</w:t>
      </w:r>
    </w:p>
    <w:p w14:paraId="19418659" w14:textId="77777777" w:rsidR="00AE766F" w:rsidRDefault="00AE766F" w:rsidP="00BB5DA4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67779D1F" w14:textId="70FC4720" w:rsidR="00BB5DA4" w:rsidRPr="00BB5DA4" w:rsidRDefault="00E45E9E" w:rsidP="00BB5DA4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>
        <w:rPr>
          <w:rFonts w:ascii="Tahoma" w:eastAsia="Arial Unicode MS" w:hAnsi="Tahoma" w:cs="Tahoma"/>
          <w:sz w:val="20"/>
          <w:szCs w:val="20"/>
          <w:lang w:val="pl-PL"/>
        </w:rPr>
        <w:t>Oxford Economics przedstawił</w:t>
      </w:r>
      <w:r w:rsidR="00AE766F">
        <w:rPr>
          <w:rFonts w:ascii="Tahoma" w:eastAsia="Arial Unicode MS" w:hAnsi="Tahoma" w:cs="Tahoma"/>
          <w:sz w:val="20"/>
          <w:szCs w:val="20"/>
          <w:lang w:val="pl-PL"/>
        </w:rPr>
        <w:t xml:space="preserve"> swoje wnioski z badania</w:t>
      </w:r>
      <w:r w:rsidR="00BB5DA4"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 wpływu </w:t>
      </w:r>
      <w:r w:rsidR="00AE766F">
        <w:rPr>
          <w:rFonts w:ascii="Tahoma" w:eastAsia="Arial Unicode MS" w:hAnsi="Tahoma" w:cs="Tahoma"/>
          <w:sz w:val="20"/>
          <w:szCs w:val="20"/>
          <w:lang w:val="pl-PL"/>
        </w:rPr>
        <w:t xml:space="preserve">wykluczenia Huawei na PKB krajów europejskich w raporcie </w:t>
      </w:r>
      <w:r w:rsidR="00BB5DA4" w:rsidRPr="00BB5DA4">
        <w:rPr>
          <w:rFonts w:ascii="Tahoma" w:eastAsia="Arial Unicode MS" w:hAnsi="Tahoma" w:cs="Tahoma"/>
          <w:sz w:val="20"/>
          <w:szCs w:val="20"/>
          <w:lang w:val="pl-PL"/>
        </w:rPr>
        <w:t>„Ograniczanie konkurencji w</w:t>
      </w:r>
      <w:r>
        <w:rPr>
          <w:rFonts w:ascii="Tahoma" w:eastAsia="Arial Unicode MS" w:hAnsi="Tahoma" w:cs="Tahoma"/>
          <w:sz w:val="20"/>
          <w:szCs w:val="20"/>
          <w:lang w:val="pl-PL"/>
        </w:rPr>
        <w:t>śród dostawców</w:t>
      </w:r>
      <w:r w:rsidR="00BB5DA4"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 sprzę</w:t>
      </w:r>
      <w:r>
        <w:rPr>
          <w:rFonts w:ascii="Tahoma" w:eastAsia="Arial Unicode MS" w:hAnsi="Tahoma" w:cs="Tahoma"/>
          <w:sz w:val="20"/>
          <w:szCs w:val="20"/>
          <w:lang w:val="pl-PL"/>
        </w:rPr>
        <w:t>tu sieciowego</w:t>
      </w:r>
      <w:r w:rsidR="00BB5DA4"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 5G w całej Europie”. </w:t>
      </w:r>
      <w:r>
        <w:rPr>
          <w:rFonts w:ascii="Tahoma" w:eastAsia="Arial Unicode MS" w:hAnsi="Tahoma" w:cs="Tahoma"/>
          <w:sz w:val="20"/>
          <w:szCs w:val="20"/>
          <w:lang w:val="pl-PL"/>
        </w:rPr>
        <w:t>N</w:t>
      </w:r>
      <w:r w:rsidR="00BB5DA4"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aukowcy twierdzą, że infrastruktura cyfrowa odgrywa coraz ważniejszą rolę w utrzymywaniu gospodarki, </w:t>
      </w:r>
      <w:r w:rsidR="00AE766F">
        <w:rPr>
          <w:rFonts w:ascii="Tahoma" w:eastAsia="Arial Unicode MS" w:hAnsi="Tahoma" w:cs="Tahoma"/>
          <w:sz w:val="20"/>
          <w:szCs w:val="20"/>
          <w:lang w:val="pl-PL"/>
        </w:rPr>
        <w:t>co szczególne znaczenie będzie miało</w:t>
      </w:r>
      <w:r w:rsidR="00BB5DA4"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 podczas ożywienia gospodarczego po pandemii koronawirusa:</w:t>
      </w:r>
    </w:p>
    <w:p w14:paraId="418E8BCB" w14:textId="11F0B6E4" w:rsidR="00BB5DA4" w:rsidRPr="00BB5DA4" w:rsidRDefault="00BB5DA4" w:rsidP="00BB5DA4">
      <w:pPr>
        <w:pStyle w:val="ListParagraph"/>
        <w:numPr>
          <w:ilvl w:val="0"/>
          <w:numId w:val="40"/>
        </w:numPr>
        <w:spacing w:line="240" w:lineRule="auto"/>
        <w:ind w:leftChars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BB5DA4">
        <w:rPr>
          <w:rFonts w:ascii="Tahoma" w:eastAsia="Arial Unicode MS" w:hAnsi="Tahoma" w:cs="Tahoma"/>
          <w:sz w:val="20"/>
          <w:szCs w:val="20"/>
          <w:lang w:val="pl-PL"/>
        </w:rPr>
        <w:t>Wyższe prędkości p</w:t>
      </w:r>
      <w:r w:rsidR="00AE766F">
        <w:rPr>
          <w:rFonts w:ascii="Tahoma" w:eastAsia="Arial Unicode MS" w:hAnsi="Tahoma" w:cs="Tahoma"/>
          <w:sz w:val="20"/>
          <w:szCs w:val="20"/>
          <w:lang w:val="pl-PL"/>
        </w:rPr>
        <w:t>ołączeń, osiągane w sieciach 5G,</w:t>
      </w:r>
      <w:r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 oraz potencjalne nowe zastosowania tej technologii są kluczowe dla zwiększenia poziomów wydajności, które upadły w wyniku pandemii koronawirusa.</w:t>
      </w:r>
    </w:p>
    <w:p w14:paraId="387DBA97" w14:textId="2FAE01F9" w:rsidR="00BB5DA4" w:rsidRPr="00BB5DA4" w:rsidRDefault="00BB5DA4" w:rsidP="00BB5DA4">
      <w:pPr>
        <w:pStyle w:val="ListParagraph"/>
        <w:numPr>
          <w:ilvl w:val="0"/>
          <w:numId w:val="40"/>
        </w:numPr>
        <w:spacing w:line="240" w:lineRule="auto"/>
        <w:ind w:leftChars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BB5DA4">
        <w:rPr>
          <w:rFonts w:ascii="Tahoma" w:eastAsia="Arial Unicode MS" w:hAnsi="Tahoma" w:cs="Tahoma"/>
          <w:sz w:val="20"/>
          <w:szCs w:val="20"/>
          <w:lang w:val="pl-PL"/>
        </w:rPr>
        <w:t>W szczytowym momencie kryzysu sieci telekomunikacyjne utrzymywały w Internecie niezbędne usługi zdrowotne, edukacyjne i ratownicze, utrzymywały działalność firm oraz łączyły przyjaciół i rodzinę.</w:t>
      </w:r>
    </w:p>
    <w:p w14:paraId="24B568B6" w14:textId="3FC2A462" w:rsidR="007A512B" w:rsidRPr="00BB5DA4" w:rsidRDefault="00BB5DA4" w:rsidP="00BB5DA4">
      <w:pPr>
        <w:pStyle w:val="ListParagraph"/>
        <w:numPr>
          <w:ilvl w:val="0"/>
          <w:numId w:val="40"/>
        </w:numPr>
        <w:spacing w:line="240" w:lineRule="auto"/>
        <w:ind w:leftChars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BB5DA4">
        <w:rPr>
          <w:rFonts w:ascii="Tahoma" w:eastAsia="Arial Unicode MS" w:hAnsi="Tahoma" w:cs="Tahoma"/>
          <w:sz w:val="20"/>
          <w:szCs w:val="20"/>
          <w:lang w:val="pl-PL"/>
        </w:rPr>
        <w:t xml:space="preserve">Wprowadzenie 5G może pomóc w pobudzeniu ożywienia gospodarczego w krótkim </w:t>
      </w:r>
      <w:r w:rsidRPr="00BB5DA4">
        <w:rPr>
          <w:rFonts w:ascii="Tahoma" w:eastAsia="Arial Unicode MS" w:hAnsi="Tahoma" w:cs="Tahoma"/>
          <w:sz w:val="20"/>
          <w:szCs w:val="20"/>
          <w:lang w:val="pl-PL"/>
        </w:rPr>
        <w:lastRenderedPageBreak/>
        <w:t>okresie</w:t>
      </w:r>
      <w:r w:rsidR="281805E6" w:rsidRPr="00BB5DA4">
        <w:rPr>
          <w:rFonts w:ascii="Tahoma" w:eastAsia="Arial Unicode MS" w:hAnsi="Tahoma" w:cs="Tahoma"/>
          <w:sz w:val="20"/>
          <w:szCs w:val="20"/>
          <w:lang w:val="pl-PL"/>
        </w:rPr>
        <w:t>.</w:t>
      </w:r>
    </w:p>
    <w:p w14:paraId="7FD9E9BF" w14:textId="77777777" w:rsidR="007A512B" w:rsidRPr="00304E88" w:rsidRDefault="007A512B" w:rsidP="007A512B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02D35EA9" w14:textId="1F3F8D86" w:rsidR="00E45E9E" w:rsidRDefault="00E45E9E" w:rsidP="00E45E9E">
      <w:pPr>
        <w:spacing w:line="240" w:lineRule="auto"/>
        <w:ind w:leftChars="0" w:left="0"/>
        <w:jc w:val="both"/>
        <w:rPr>
          <w:rFonts w:ascii="Tahoma" w:eastAsia="Arial Unicode MS" w:hAnsi="Tahoma" w:cs="Tahoma"/>
          <w:b/>
          <w:iCs/>
          <w:sz w:val="20"/>
          <w:szCs w:val="20"/>
          <w:lang w:val="pl-PL"/>
        </w:rPr>
      </w:pPr>
      <w:r w:rsidRPr="00E45E9E">
        <w:rPr>
          <w:rFonts w:ascii="Tahoma" w:eastAsia="Arial Unicode MS" w:hAnsi="Tahoma" w:cs="Tahoma"/>
          <w:b/>
          <w:iCs/>
          <w:sz w:val="20"/>
          <w:szCs w:val="20"/>
          <w:lang w:val="pl-PL"/>
        </w:rPr>
        <w:t>Dobrze funkcjonujący rynek telekomunikacyjny w UE</w:t>
      </w:r>
    </w:p>
    <w:p w14:paraId="6DDC1329" w14:textId="77777777" w:rsidR="00C176CD" w:rsidRPr="00E45E9E" w:rsidRDefault="00C176CD" w:rsidP="00E45E9E">
      <w:pPr>
        <w:spacing w:line="240" w:lineRule="auto"/>
        <w:ind w:leftChars="0" w:left="0"/>
        <w:jc w:val="both"/>
        <w:rPr>
          <w:rFonts w:ascii="Tahoma" w:eastAsia="Arial Unicode MS" w:hAnsi="Tahoma" w:cs="Tahoma"/>
          <w:b/>
          <w:iCs/>
          <w:sz w:val="20"/>
          <w:szCs w:val="20"/>
          <w:lang w:val="pl-PL"/>
        </w:rPr>
      </w:pPr>
    </w:p>
    <w:p w14:paraId="5E7EC689" w14:textId="0621433C" w:rsidR="007A512B" w:rsidRDefault="00E45E9E" w:rsidP="00E45E9E">
      <w:pPr>
        <w:spacing w:line="240" w:lineRule="auto"/>
        <w:ind w:leftChars="0" w:left="0"/>
        <w:jc w:val="both"/>
        <w:rPr>
          <w:rFonts w:ascii="Tahoma" w:eastAsia="Arial Unicode MS" w:hAnsi="Tahoma" w:cs="Tahoma"/>
          <w:iCs/>
          <w:sz w:val="20"/>
          <w:szCs w:val="20"/>
          <w:lang w:val="pl-PL"/>
        </w:rPr>
      </w:pP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Wyłączenie Huawei byłoby dramatyczne dla Europy pod względem długoterminowych strat netto w zakresie dobrobytu gospodarczego. Ograniczanie konkurencji </w:t>
      </w:r>
      <w:r w:rsidR="00AE766F">
        <w:rPr>
          <w:rFonts w:ascii="Tahoma" w:eastAsia="Arial Unicode MS" w:hAnsi="Tahoma" w:cs="Tahoma"/>
          <w:iCs/>
          <w:sz w:val="20"/>
          <w:szCs w:val="20"/>
          <w:lang w:val="pl-PL"/>
        </w:rPr>
        <w:t>zawsze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 prowadzi do </w:t>
      </w:r>
      <w:r w:rsidR="00AE766F"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dyktowania 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>wyższych cen</w:t>
      </w:r>
      <w:r w:rsidR="00AE766F"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 przez pozostałe na rynku podmioty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. </w:t>
      </w:r>
      <w:r>
        <w:rPr>
          <w:rFonts w:ascii="Tahoma" w:eastAsia="Arial Unicode MS" w:hAnsi="Tahoma" w:cs="Tahoma"/>
          <w:iCs/>
          <w:sz w:val="20"/>
          <w:szCs w:val="20"/>
          <w:lang w:val="pl-PL"/>
        </w:rPr>
        <w:t>U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trudnianie </w:t>
      </w:r>
      <w:r w:rsidR="00AE766F">
        <w:rPr>
          <w:rFonts w:ascii="Tahoma" w:eastAsia="Arial Unicode MS" w:hAnsi="Tahoma" w:cs="Tahoma"/>
          <w:iCs/>
          <w:sz w:val="20"/>
          <w:szCs w:val="20"/>
          <w:lang w:val="pl-PL"/>
        </w:rPr>
        <w:t>naj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>większemu graczowi konkurowania w sieci 5G, a</w:t>
      </w:r>
      <w:r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 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w konsekwencji ograniczenie </w:t>
      </w:r>
      <w:r w:rsidR="00AE766F">
        <w:rPr>
          <w:rFonts w:ascii="Tahoma" w:eastAsia="Arial Unicode MS" w:hAnsi="Tahoma" w:cs="Tahoma"/>
          <w:iCs/>
          <w:sz w:val="20"/>
          <w:szCs w:val="20"/>
          <w:lang w:val="pl-PL"/>
        </w:rPr>
        <w:t>rywalizacji o klienta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>, spowodow</w:t>
      </w:r>
      <w:r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ałoby wyższe koszty inwestycji i 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>opóźni</w:t>
      </w:r>
      <w:r>
        <w:rPr>
          <w:rFonts w:ascii="Tahoma" w:eastAsia="Arial Unicode MS" w:hAnsi="Tahoma" w:cs="Tahoma"/>
          <w:iCs/>
          <w:sz w:val="20"/>
          <w:szCs w:val="20"/>
          <w:lang w:val="pl-PL"/>
        </w:rPr>
        <w:t>enie wdrożenia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 5G. To z kolei </w:t>
      </w:r>
      <w:r w:rsidR="00AE766F">
        <w:rPr>
          <w:rFonts w:ascii="Tahoma" w:eastAsia="Arial Unicode MS" w:hAnsi="Tahoma" w:cs="Tahoma"/>
          <w:iCs/>
          <w:sz w:val="20"/>
          <w:szCs w:val="20"/>
          <w:lang w:val="pl-PL"/>
        </w:rPr>
        <w:t>prowadzi do wolniejszego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 </w:t>
      </w:r>
      <w:r w:rsidR="00AE766F">
        <w:rPr>
          <w:rFonts w:ascii="Tahoma" w:eastAsia="Arial Unicode MS" w:hAnsi="Tahoma" w:cs="Tahoma"/>
          <w:iCs/>
          <w:sz w:val="20"/>
          <w:szCs w:val="20"/>
          <w:lang w:val="pl-PL"/>
        </w:rPr>
        <w:t>rozwoju technologicznego i innowacyjnego, niższych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 dochod</w:t>
      </w:r>
      <w:r w:rsidR="00AE766F">
        <w:rPr>
          <w:rFonts w:ascii="Tahoma" w:eastAsia="Arial Unicode MS" w:hAnsi="Tahoma" w:cs="Tahoma"/>
          <w:iCs/>
          <w:sz w:val="20"/>
          <w:szCs w:val="20"/>
          <w:lang w:val="pl-PL"/>
        </w:rPr>
        <w:t>ów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 g</w:t>
      </w:r>
      <w:r w:rsidR="00AE766F">
        <w:rPr>
          <w:rFonts w:ascii="Tahoma" w:eastAsia="Arial Unicode MS" w:hAnsi="Tahoma" w:cs="Tahoma"/>
          <w:iCs/>
          <w:sz w:val="20"/>
          <w:szCs w:val="20"/>
          <w:lang w:val="pl-PL"/>
        </w:rPr>
        <w:t>ospodarstw domowych i wolniejszego wychodzenia</w:t>
      </w:r>
      <w:r w:rsidRPr="00E45E9E">
        <w:rPr>
          <w:rFonts w:ascii="Tahoma" w:eastAsia="Arial Unicode MS" w:hAnsi="Tahoma" w:cs="Tahoma"/>
          <w:iCs/>
          <w:sz w:val="20"/>
          <w:szCs w:val="20"/>
          <w:lang w:val="pl-PL"/>
        </w:rPr>
        <w:t xml:space="preserve"> z przewidywanej recesji.</w:t>
      </w:r>
    </w:p>
    <w:p w14:paraId="6135A45E" w14:textId="77777777" w:rsidR="00A02DD6" w:rsidRDefault="00A02DD6" w:rsidP="00E45E9E">
      <w:pPr>
        <w:spacing w:line="240" w:lineRule="auto"/>
        <w:ind w:leftChars="0" w:left="0"/>
        <w:jc w:val="both"/>
        <w:rPr>
          <w:rFonts w:ascii="Tahoma" w:eastAsia="Arial Unicode MS" w:hAnsi="Tahoma" w:cs="Tahoma"/>
          <w:iCs/>
          <w:sz w:val="20"/>
          <w:szCs w:val="20"/>
          <w:lang w:val="pl-PL"/>
        </w:rPr>
      </w:pPr>
    </w:p>
    <w:p w14:paraId="5B74DAE9" w14:textId="26755F1C" w:rsidR="00A02DD6" w:rsidRDefault="00AE766F" w:rsidP="00E45E9E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>
        <w:rPr>
          <w:rFonts w:ascii="Tahoma" w:eastAsia="Arial Unicode MS" w:hAnsi="Tahoma" w:cs="Tahoma"/>
          <w:sz w:val="20"/>
          <w:szCs w:val="20"/>
          <w:lang w:val="pl-PL"/>
        </w:rPr>
        <w:t xml:space="preserve">W przypadku </w:t>
      </w:r>
      <w:r w:rsidR="006A3C45">
        <w:rPr>
          <w:rFonts w:ascii="Tahoma" w:eastAsia="Arial Unicode MS" w:hAnsi="Tahoma" w:cs="Tahoma"/>
          <w:sz w:val="20"/>
          <w:szCs w:val="20"/>
          <w:lang w:val="pl-PL"/>
        </w:rPr>
        <w:t xml:space="preserve">ewentualnego 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wykluczenia Huawei, nawet </w:t>
      </w:r>
      <w:r w:rsidR="00A02DD6" w:rsidRPr="00A02DD6">
        <w:rPr>
          <w:rFonts w:ascii="Tahoma" w:eastAsia="Arial Unicode MS" w:hAnsi="Tahoma" w:cs="Tahoma"/>
          <w:sz w:val="20"/>
          <w:szCs w:val="20"/>
          <w:lang w:val="pl-PL"/>
        </w:rPr>
        <w:t>56 milionów ludzi będzie miało opóźniony dostęp do 5G do 2023</w:t>
      </w:r>
      <w:r w:rsidR="00A02DD6">
        <w:rPr>
          <w:rFonts w:ascii="Tahoma" w:eastAsia="Arial Unicode MS" w:hAnsi="Tahoma" w:cs="Tahoma"/>
          <w:sz w:val="20"/>
          <w:szCs w:val="20"/>
          <w:lang w:val="pl-PL"/>
        </w:rPr>
        <w:t xml:space="preserve"> r. Szacuje się, że do 2035 r. t</w:t>
      </w:r>
      <w:r w:rsidR="00A02DD6" w:rsidRPr="00A02DD6">
        <w:rPr>
          <w:rFonts w:ascii="Tahoma" w:eastAsia="Arial Unicode MS" w:hAnsi="Tahoma" w:cs="Tahoma"/>
          <w:sz w:val="20"/>
          <w:szCs w:val="20"/>
          <w:lang w:val="pl-PL"/>
        </w:rPr>
        <w:t>rwała utrata</w:t>
      </w:r>
      <w:r w:rsidR="00A02DD6">
        <w:rPr>
          <w:rFonts w:ascii="Tahoma" w:eastAsia="Arial Unicode MS" w:hAnsi="Tahoma" w:cs="Tahoma"/>
          <w:sz w:val="20"/>
          <w:szCs w:val="20"/>
          <w:lang w:val="pl-PL"/>
        </w:rPr>
        <w:t xml:space="preserve"> PKB </w:t>
      </w:r>
      <w:r w:rsidR="006A3C45">
        <w:rPr>
          <w:rFonts w:ascii="Tahoma" w:eastAsia="Arial Unicode MS" w:hAnsi="Tahoma" w:cs="Tahoma"/>
          <w:sz w:val="20"/>
          <w:szCs w:val="20"/>
          <w:lang w:val="pl-PL"/>
        </w:rPr>
        <w:t xml:space="preserve">wyniosłaby wtedy </w:t>
      </w:r>
      <w:r w:rsidR="00A02DD6">
        <w:rPr>
          <w:rFonts w:ascii="Tahoma" w:eastAsia="Arial Unicode MS" w:hAnsi="Tahoma" w:cs="Tahoma"/>
          <w:sz w:val="20"/>
          <w:szCs w:val="20"/>
          <w:lang w:val="pl-PL"/>
        </w:rPr>
        <w:t xml:space="preserve">40 </w:t>
      </w:r>
      <w:r w:rsidR="002A0E07">
        <w:rPr>
          <w:rFonts w:ascii="Tahoma" w:eastAsia="Arial Unicode MS" w:hAnsi="Tahoma" w:cs="Tahoma"/>
          <w:sz w:val="20"/>
          <w:szCs w:val="20"/>
          <w:lang w:val="pl-PL"/>
        </w:rPr>
        <w:t>miliardów E</w:t>
      </w:r>
      <w:r w:rsidR="00A02DD6">
        <w:rPr>
          <w:rFonts w:ascii="Tahoma" w:eastAsia="Arial Unicode MS" w:hAnsi="Tahoma" w:cs="Tahoma"/>
          <w:sz w:val="20"/>
          <w:szCs w:val="20"/>
          <w:lang w:val="pl-PL"/>
        </w:rPr>
        <w:t>uro</w:t>
      </w:r>
      <w:r w:rsidR="00A02DD6" w:rsidRPr="00A02DD6">
        <w:rPr>
          <w:rFonts w:ascii="Tahoma" w:eastAsia="Arial Unicode MS" w:hAnsi="Tahoma" w:cs="Tahoma"/>
          <w:sz w:val="20"/>
          <w:szCs w:val="20"/>
          <w:lang w:val="pl-PL"/>
        </w:rPr>
        <w:t xml:space="preserve"> z powodu potencjalnego opóźnienia we wdrożeniu 5G.</w:t>
      </w:r>
    </w:p>
    <w:p w14:paraId="42C1A9A9" w14:textId="5C9A6DCF" w:rsidR="00A02DD6" w:rsidRDefault="00A02DD6" w:rsidP="00E45E9E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6CF9DCDD" w14:textId="6CDE1DF2" w:rsidR="00A02DD6" w:rsidRPr="00A02DD6" w:rsidRDefault="00A02DD6" w:rsidP="00A02DD6">
      <w:pPr>
        <w:spacing w:line="240" w:lineRule="auto"/>
        <w:ind w:leftChars="0" w:left="0"/>
        <w:jc w:val="both"/>
        <w:rPr>
          <w:rFonts w:ascii="Tahoma" w:eastAsia="Arial Unicode MS" w:hAnsi="Tahoma" w:cs="Tahoma"/>
          <w:b/>
          <w:sz w:val="20"/>
          <w:szCs w:val="20"/>
          <w:lang w:val="pl-PL"/>
        </w:rPr>
      </w:pPr>
      <w:r w:rsidRPr="00A02DD6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5G </w:t>
      </w:r>
      <w:r>
        <w:rPr>
          <w:rFonts w:ascii="Tahoma" w:eastAsia="Arial Unicode MS" w:hAnsi="Tahoma" w:cs="Tahoma"/>
          <w:b/>
          <w:sz w:val="20"/>
          <w:szCs w:val="20"/>
          <w:lang w:val="pl-PL"/>
        </w:rPr>
        <w:t>poprawi ożywienie gospodarcze</w:t>
      </w:r>
      <w:r w:rsidRPr="00A02DD6">
        <w:rPr>
          <w:rFonts w:ascii="Tahoma" w:eastAsia="Arial Unicode MS" w:hAnsi="Tahoma" w:cs="Tahoma"/>
          <w:b/>
          <w:sz w:val="20"/>
          <w:szCs w:val="20"/>
          <w:lang w:val="pl-PL"/>
        </w:rPr>
        <w:t xml:space="preserve"> po pandemii koronawirusa</w:t>
      </w:r>
    </w:p>
    <w:p w14:paraId="489B02FF" w14:textId="3452726B" w:rsidR="00A02DD6" w:rsidRDefault="00A02DD6" w:rsidP="00A02DD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A02DD6">
        <w:rPr>
          <w:rFonts w:ascii="Tahoma" w:eastAsia="Arial Unicode MS" w:hAnsi="Tahoma" w:cs="Tahoma"/>
          <w:sz w:val="20"/>
          <w:szCs w:val="20"/>
          <w:lang w:val="pl-PL"/>
        </w:rPr>
        <w:t>Następna generacja technologii mobilnej 5G, oferuje ogromne możliwości dla krajów, które ułatwiają jej powszechne udostępnianie.</w:t>
      </w:r>
    </w:p>
    <w:p w14:paraId="226F0E57" w14:textId="77777777" w:rsidR="00A02DD6" w:rsidRPr="00A02DD6" w:rsidRDefault="00A02DD6" w:rsidP="00A02DD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7DCEBC16" w14:textId="36104986" w:rsidR="00A02DD6" w:rsidRDefault="00A02DD6" w:rsidP="00A02DD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A02DD6">
        <w:rPr>
          <w:rFonts w:ascii="Tahoma" w:eastAsia="Arial Unicode MS" w:hAnsi="Tahoma" w:cs="Tahoma"/>
          <w:sz w:val="20"/>
          <w:szCs w:val="20"/>
          <w:lang w:val="pl-PL"/>
        </w:rPr>
        <w:t>Ponieważ dystans społeczny stał się obecnie obowiązującą normą, infrastruktura cyfrowa odgrywa coraz ważniejszą rolę w utrzymywaniu koniunktury w gospodarce. Wyższe prędkości połączenia osiągnięte dzięki sieci 5G i potencjalne nowe zastos</w:t>
      </w:r>
      <w:r w:rsidRPr="00203563">
        <w:rPr>
          <w:rFonts w:ascii="Tahoma" w:eastAsia="Arial Unicode MS" w:hAnsi="Tahoma" w:cs="Tahoma"/>
          <w:sz w:val="20"/>
          <w:szCs w:val="20"/>
          <w:lang w:val="pl-PL"/>
        </w:rPr>
        <w:t>owania tej technologii będą miały kluczowe znaczenie dla zwiększenia poziomów wydajności,</w:t>
      </w:r>
      <w:r w:rsidRPr="00A02DD6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9056BC">
        <w:rPr>
          <w:rFonts w:ascii="Tahoma" w:eastAsia="Arial Unicode MS" w:hAnsi="Tahoma" w:cs="Tahoma"/>
          <w:sz w:val="20"/>
          <w:szCs w:val="20"/>
          <w:lang w:val="pl-PL"/>
        </w:rPr>
        <w:t>szczególnie w kontekście wyjścia k</w:t>
      </w:r>
      <w:r w:rsidRPr="00A02DD6">
        <w:rPr>
          <w:rFonts w:ascii="Tahoma" w:eastAsia="Arial Unicode MS" w:hAnsi="Tahoma" w:cs="Tahoma"/>
          <w:sz w:val="20"/>
          <w:szCs w:val="20"/>
          <w:lang w:val="pl-PL"/>
        </w:rPr>
        <w:t>raj</w:t>
      </w:r>
      <w:r w:rsidR="009056BC">
        <w:rPr>
          <w:rFonts w:ascii="Tahoma" w:eastAsia="Arial Unicode MS" w:hAnsi="Tahoma" w:cs="Tahoma"/>
          <w:sz w:val="20"/>
          <w:szCs w:val="20"/>
          <w:lang w:val="pl-PL"/>
        </w:rPr>
        <w:t>ów</w:t>
      </w:r>
      <w:r w:rsidRPr="00A02DD6">
        <w:rPr>
          <w:rFonts w:ascii="Tahoma" w:eastAsia="Arial Unicode MS" w:hAnsi="Tahoma" w:cs="Tahoma"/>
          <w:sz w:val="20"/>
          <w:szCs w:val="20"/>
          <w:lang w:val="pl-PL"/>
        </w:rPr>
        <w:t xml:space="preserve"> z kryzysu finansowego. </w:t>
      </w:r>
    </w:p>
    <w:p w14:paraId="7708C1E4" w14:textId="77777777" w:rsidR="00A02DD6" w:rsidRPr="00A02DD6" w:rsidRDefault="00A02DD6" w:rsidP="00A02DD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7F1294D2" w14:textId="0B4A8054" w:rsidR="00A02DD6" w:rsidRDefault="00A02DD6" w:rsidP="00A02DD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A02DD6">
        <w:rPr>
          <w:rFonts w:ascii="Tahoma" w:eastAsia="Arial Unicode MS" w:hAnsi="Tahoma" w:cs="Tahoma"/>
          <w:sz w:val="20"/>
          <w:szCs w:val="20"/>
          <w:lang w:val="pl-PL"/>
        </w:rPr>
        <w:t xml:space="preserve">Jednak recesja związana z </w:t>
      </w:r>
      <w:r w:rsidR="009056BC">
        <w:rPr>
          <w:rFonts w:ascii="Tahoma" w:eastAsia="Arial Unicode MS" w:hAnsi="Tahoma" w:cs="Tahoma"/>
          <w:sz w:val="20"/>
          <w:szCs w:val="20"/>
          <w:lang w:val="pl-PL"/>
        </w:rPr>
        <w:t>pandemią koronawirusa opóźni jej</w:t>
      </w:r>
      <w:r w:rsidR="00203563">
        <w:rPr>
          <w:rFonts w:ascii="Tahoma" w:eastAsia="Arial Unicode MS" w:hAnsi="Tahoma" w:cs="Tahoma"/>
          <w:sz w:val="20"/>
          <w:szCs w:val="20"/>
          <w:lang w:val="pl-PL"/>
        </w:rPr>
        <w:t xml:space="preserve"> wdrożenie, </w:t>
      </w:r>
      <w:r w:rsidR="009056BC">
        <w:rPr>
          <w:rFonts w:ascii="Tahoma" w:eastAsia="Arial Unicode MS" w:hAnsi="Tahoma" w:cs="Tahoma"/>
          <w:sz w:val="20"/>
          <w:szCs w:val="20"/>
          <w:lang w:val="pl-PL"/>
        </w:rPr>
        <w:t>tym samym</w:t>
      </w:r>
      <w:r w:rsidRPr="00A02DD6">
        <w:rPr>
          <w:rFonts w:ascii="Tahoma" w:eastAsia="Arial Unicode MS" w:hAnsi="Tahoma" w:cs="Tahoma"/>
          <w:sz w:val="20"/>
          <w:szCs w:val="20"/>
          <w:lang w:val="pl-PL"/>
        </w:rPr>
        <w:t xml:space="preserve"> zagrażając </w:t>
      </w:r>
      <w:r w:rsidR="00203563">
        <w:rPr>
          <w:rFonts w:ascii="Tahoma" w:eastAsia="Arial Unicode MS" w:hAnsi="Tahoma" w:cs="Tahoma"/>
          <w:sz w:val="20"/>
          <w:szCs w:val="20"/>
          <w:lang w:val="pl-PL"/>
        </w:rPr>
        <w:t>wykorzystanie</w:t>
      </w:r>
      <w:r w:rsidRPr="00A02DD6">
        <w:rPr>
          <w:rFonts w:ascii="Tahoma" w:eastAsia="Arial Unicode MS" w:hAnsi="Tahoma" w:cs="Tahoma"/>
          <w:sz w:val="20"/>
          <w:szCs w:val="20"/>
          <w:lang w:val="pl-PL"/>
        </w:rPr>
        <w:t xml:space="preserve"> możliwości</w:t>
      </w:r>
      <w:r w:rsidR="00203563">
        <w:rPr>
          <w:rFonts w:ascii="Tahoma" w:eastAsia="Arial Unicode MS" w:hAnsi="Tahoma" w:cs="Tahoma"/>
          <w:sz w:val="20"/>
          <w:szCs w:val="20"/>
          <w:lang w:val="pl-PL"/>
        </w:rPr>
        <w:t>, która ona oferuje</w:t>
      </w:r>
      <w:r w:rsidRPr="00A02DD6">
        <w:rPr>
          <w:rFonts w:ascii="Tahoma" w:eastAsia="Arial Unicode MS" w:hAnsi="Tahoma" w:cs="Tahoma"/>
          <w:sz w:val="20"/>
          <w:szCs w:val="20"/>
          <w:lang w:val="pl-PL"/>
        </w:rPr>
        <w:t>. Wolniejszy wzrost gospodarczy i większa niepewność doprowadziły do ​​ograniczenia inwestycji przez operatorów telekomunikacyjnych - działania, które nieuchronnie opóźnią wdrożenie 5G.</w:t>
      </w:r>
    </w:p>
    <w:p w14:paraId="4429DA64" w14:textId="77777777" w:rsidR="005A27FB" w:rsidRPr="00A02DD6" w:rsidRDefault="005A27FB" w:rsidP="00A02DD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B7380E2" w14:textId="6AE2C1E7" w:rsidR="00A02DD6" w:rsidRPr="00E45E9E" w:rsidRDefault="005A27FB" w:rsidP="00A02DD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hyperlink r:id="rId8" w:history="1">
        <w:r w:rsidR="00A02DD6" w:rsidRPr="005A27FB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>Pobierz raport Oxford Economics</w:t>
        </w:r>
      </w:hyperlink>
    </w:p>
    <w:p w14:paraId="34E95D19" w14:textId="0CACA583" w:rsidR="00767E0E" w:rsidRPr="00A120B4" w:rsidRDefault="00767E0E" w:rsidP="00767E0E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290C370" w14:textId="66D4EAD9" w:rsidR="00A120B4" w:rsidRDefault="00A120B4" w:rsidP="00A120B4">
      <w:pPr>
        <w:spacing w:line="240" w:lineRule="auto"/>
        <w:ind w:leftChars="0" w:left="0"/>
        <w:jc w:val="center"/>
        <w:rPr>
          <w:rFonts w:ascii="Tahoma" w:eastAsia="Arial Unicode MS" w:hAnsi="Tahoma" w:cs="Tahoma"/>
          <w:sz w:val="20"/>
          <w:szCs w:val="20"/>
          <w:lang w:val="pl-PL"/>
        </w:rPr>
      </w:pPr>
      <w:r w:rsidRPr="00A120B4">
        <w:rPr>
          <w:rFonts w:ascii="Tahoma" w:eastAsia="Arial Unicode MS" w:hAnsi="Tahoma" w:cs="Tahoma"/>
          <w:sz w:val="20"/>
          <w:szCs w:val="20"/>
          <w:lang w:val="pl-PL"/>
        </w:rPr>
        <w:t>----koniec---</w:t>
      </w:r>
    </w:p>
    <w:p w14:paraId="63BCB55E" w14:textId="46D6C667" w:rsidR="00A120B4" w:rsidRDefault="00A120B4" w:rsidP="00A120B4">
      <w:pPr>
        <w:spacing w:line="240" w:lineRule="auto"/>
        <w:ind w:leftChars="0" w:left="0"/>
        <w:jc w:val="both"/>
        <w:rPr>
          <w:rFonts w:ascii="Tahoma" w:eastAsia="Arial Unicode MS" w:hAnsi="Tahoma" w:cs="Tahoma"/>
          <w:i/>
          <w:sz w:val="20"/>
          <w:szCs w:val="20"/>
          <w:lang w:val="pl-PL"/>
        </w:rPr>
      </w:pPr>
    </w:p>
    <w:p w14:paraId="5C2D8287" w14:textId="6C86D297" w:rsidR="00203563" w:rsidRPr="00203563" w:rsidRDefault="00203563" w:rsidP="00203563">
      <w:pPr>
        <w:spacing w:line="240" w:lineRule="auto"/>
        <w:ind w:leftChars="0" w:left="0"/>
        <w:jc w:val="both"/>
        <w:rPr>
          <w:rFonts w:ascii="Tahoma" w:hAnsi="Tahoma" w:cs="Tahoma"/>
          <w:b/>
          <w:bCs/>
          <w:lang w:val="pl-PL"/>
        </w:rPr>
      </w:pPr>
      <w:r w:rsidRPr="00203563">
        <w:rPr>
          <w:rFonts w:ascii="Tahoma" w:hAnsi="Tahoma" w:cs="Tahoma"/>
          <w:b/>
          <w:bCs/>
          <w:lang w:val="pl-PL"/>
        </w:rPr>
        <w:t>Oxford Economics</w:t>
      </w:r>
    </w:p>
    <w:p w14:paraId="58F56775" w14:textId="0292571F" w:rsidR="00203563" w:rsidRDefault="00203563" w:rsidP="00203563">
      <w:pPr>
        <w:spacing w:line="240" w:lineRule="auto"/>
        <w:ind w:leftChars="0" w:left="0"/>
        <w:jc w:val="both"/>
        <w:rPr>
          <w:rFonts w:ascii="Tahoma" w:hAnsi="Tahoma" w:cs="Tahoma"/>
          <w:bCs/>
          <w:lang w:val="pl-PL"/>
        </w:rPr>
      </w:pPr>
      <w:r w:rsidRPr="00203563">
        <w:rPr>
          <w:rFonts w:ascii="Tahoma" w:hAnsi="Tahoma" w:cs="Tahoma"/>
          <w:bCs/>
          <w:lang w:val="pl-PL"/>
        </w:rPr>
        <w:t>Oxford Economics została założona w 1981 roku jako przedsięwzięcie komercyjne z college'em biznesowym Oxford University w celu dostarczania prognoz i modeli ekonomicznych brytyjskim firmom i instytucjom finansowym rozwijającym się za granicą. Od tego czasu stała się jedną z wiodących na świecie niezależnych globalnych firm doradczych, dostarczających raporty, prognozy i narzędzia analityczne w ponad 200 krajach, 250 sektorach przemysłowych oraz 7 000 miastach i regionach.</w:t>
      </w:r>
    </w:p>
    <w:p w14:paraId="4324FF47" w14:textId="77777777" w:rsidR="00203563" w:rsidRPr="00203563" w:rsidRDefault="00203563" w:rsidP="00203563">
      <w:pPr>
        <w:spacing w:line="240" w:lineRule="auto"/>
        <w:ind w:leftChars="0" w:left="0"/>
        <w:jc w:val="both"/>
        <w:rPr>
          <w:rFonts w:ascii="Tahoma" w:hAnsi="Tahoma" w:cs="Tahoma"/>
          <w:bCs/>
          <w:lang w:val="pl-PL"/>
        </w:rPr>
      </w:pPr>
    </w:p>
    <w:p w14:paraId="598EDB5A" w14:textId="66285845" w:rsidR="00203563" w:rsidRDefault="00203563" w:rsidP="00203563">
      <w:pPr>
        <w:spacing w:line="240" w:lineRule="auto"/>
        <w:ind w:leftChars="0" w:left="0"/>
        <w:jc w:val="both"/>
        <w:rPr>
          <w:rFonts w:ascii="Tahoma" w:hAnsi="Tahoma" w:cs="Tahoma"/>
          <w:bCs/>
          <w:lang w:val="pl-PL"/>
        </w:rPr>
      </w:pPr>
      <w:r w:rsidRPr="00203563">
        <w:rPr>
          <w:rFonts w:ascii="Tahoma" w:hAnsi="Tahoma" w:cs="Tahoma"/>
          <w:bCs/>
          <w:lang w:val="pl-PL"/>
        </w:rPr>
        <w:lastRenderedPageBreak/>
        <w:t>Siedziba główna firmy znajduje się w Oksfordzie w Anglii - z regionalnymi centrami w Londynie, Nowym Jorku i Singapurze - Oxford Economics ma biura na całym świecie w Belfaście, Bostonie, Kapsztadzie, Chicago, Dubaju, Frankfurcie, Hongkongu, Houston, Johannesburgu, Los Angeles, Melbourne , Meksyku, Mediolanie, Paryżu, Filadelfii, Sydney, Tokio i Toronto.</w:t>
      </w:r>
    </w:p>
    <w:p w14:paraId="34CF387E" w14:textId="77777777" w:rsidR="00203563" w:rsidRPr="00203563" w:rsidRDefault="00203563" w:rsidP="00203563">
      <w:pPr>
        <w:spacing w:line="240" w:lineRule="auto"/>
        <w:ind w:leftChars="0" w:left="0"/>
        <w:jc w:val="both"/>
        <w:rPr>
          <w:rFonts w:ascii="Tahoma" w:hAnsi="Tahoma" w:cs="Tahoma"/>
          <w:bCs/>
          <w:lang w:val="pl-PL"/>
        </w:rPr>
      </w:pPr>
    </w:p>
    <w:p w14:paraId="3BDE680B" w14:textId="13108690" w:rsidR="00203563" w:rsidRDefault="00203563" w:rsidP="00203563">
      <w:pPr>
        <w:spacing w:line="240" w:lineRule="auto"/>
        <w:ind w:leftChars="0" w:left="0"/>
        <w:jc w:val="both"/>
        <w:rPr>
          <w:rFonts w:ascii="Tahoma" w:hAnsi="Tahoma" w:cs="Tahoma"/>
          <w:bCs/>
          <w:lang w:val="pl-PL"/>
        </w:rPr>
      </w:pPr>
      <w:r w:rsidRPr="00203563">
        <w:rPr>
          <w:rFonts w:ascii="Tahoma" w:hAnsi="Tahoma" w:cs="Tahoma"/>
          <w:bCs/>
          <w:lang w:val="pl-PL"/>
        </w:rPr>
        <w:t xml:space="preserve">Zatrudnia 400 pełnoetatowych pracowników, w tym ponad 250 profesjonalnych ekonomistów, ekspertów branżowych i redaktorów biznesowych; jeden z największych zespołów makroekonomistów i specjalistów od przywództwa myślowego. </w:t>
      </w:r>
      <w:r>
        <w:rPr>
          <w:rFonts w:ascii="Tahoma" w:hAnsi="Tahoma" w:cs="Tahoma"/>
          <w:bCs/>
          <w:lang w:val="pl-PL"/>
        </w:rPr>
        <w:t>G</w:t>
      </w:r>
      <w:r w:rsidRPr="00203563">
        <w:rPr>
          <w:rFonts w:ascii="Tahoma" w:hAnsi="Tahoma" w:cs="Tahoma"/>
          <w:bCs/>
          <w:lang w:val="pl-PL"/>
        </w:rPr>
        <w:t>lobalny zespół posiada wysokie umiejętności w zakresie wielu technik badawczych i zdolności przywódczych, od modelowania ekonometrycznego, kształtowania scenariuszy i analizy wpływu ekonomicznego po ankiety rynkowe, studia przypadków, panele ekspertów i analitykę internetową.</w:t>
      </w:r>
    </w:p>
    <w:p w14:paraId="4E18F29C" w14:textId="77777777" w:rsidR="00203563" w:rsidRPr="00203563" w:rsidRDefault="00203563" w:rsidP="00203563">
      <w:pPr>
        <w:spacing w:line="240" w:lineRule="auto"/>
        <w:ind w:leftChars="0" w:left="0"/>
        <w:jc w:val="both"/>
        <w:rPr>
          <w:rFonts w:ascii="Tahoma" w:hAnsi="Tahoma" w:cs="Tahoma"/>
          <w:bCs/>
          <w:lang w:val="pl-PL"/>
        </w:rPr>
      </w:pPr>
    </w:p>
    <w:p w14:paraId="6DEC18FC" w14:textId="5D87C005" w:rsidR="00E03218" w:rsidRPr="00E03218" w:rsidRDefault="00E03218" w:rsidP="00A120B4">
      <w:pPr>
        <w:spacing w:line="240" w:lineRule="auto"/>
        <w:ind w:leftChars="0" w:left="0"/>
        <w:jc w:val="both"/>
        <w:rPr>
          <w:rFonts w:ascii="Tahoma" w:eastAsia="STXihei" w:hAnsi="Tahoma" w:cs="Tahoma"/>
          <w:b/>
          <w:lang w:val="pl-PL"/>
        </w:rPr>
      </w:pPr>
      <w:r w:rsidRPr="00E03218">
        <w:rPr>
          <w:rFonts w:ascii="Tahoma" w:hAnsi="Tahoma" w:cs="Tahoma"/>
          <w:b/>
          <w:bCs/>
          <w:lang w:val="pl-PL"/>
        </w:rPr>
        <w:t>HUAWEI</w:t>
      </w:r>
      <w:r w:rsidRPr="00E03218">
        <w:rPr>
          <w:rFonts w:ascii="Tahoma" w:hAnsi="Tahoma" w:cs="Tahoma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E03218">
        <w:rPr>
          <w:rFonts w:ascii="Tahoma" w:hAnsi="Tahoma" w:cs="Tahoma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E03218">
        <w:rPr>
          <w:rFonts w:ascii="Tahoma" w:hAnsi="Tahoma" w:cs="Tahoma"/>
          <w:lang w:val="pl-PL"/>
        </w:rPr>
        <w:t xml:space="preserve">teleinformatyczne typu end-to-end, umożliwiając klientom przewagę konkurencyjną w zakresie </w:t>
      </w:r>
      <w:r w:rsidRPr="00E03218">
        <w:rPr>
          <w:rFonts w:ascii="Tahoma" w:hAnsi="Tahoma" w:cs="Tahoma"/>
          <w:shd w:val="clear" w:color="auto" w:fill="FFFFFF"/>
          <w:lang w:val="pl-PL"/>
        </w:rPr>
        <w:t>infrastruktury telekomunikacyjnej, sieciowej</w:t>
      </w:r>
      <w:r w:rsidRPr="00E03218">
        <w:rPr>
          <w:rFonts w:ascii="Tahoma" w:hAnsi="Tahoma" w:cs="Tahoma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15877E73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lang w:val="pl-PL"/>
        </w:rPr>
      </w:pPr>
    </w:p>
    <w:p w14:paraId="59BB3A8F" w14:textId="5D27A8DD" w:rsidR="00E03218" w:rsidRPr="005A27FB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lang w:val="pl-PL"/>
        </w:rPr>
      </w:pPr>
      <w:r w:rsidRPr="00E03218">
        <w:rPr>
          <w:rFonts w:ascii="Tahoma" w:hAnsi="Tahoma" w:cs="Tahoma"/>
          <w:lang w:val="pl-PL"/>
        </w:rPr>
        <w:t xml:space="preserve">Aby uzyskać więcej informacji odwiedź stronę </w:t>
      </w:r>
      <w:hyperlink r:id="rId9" w:history="1">
        <w:r w:rsidRPr="00E03218">
          <w:rPr>
            <w:rStyle w:val="Hyperlink"/>
            <w:rFonts w:ascii="Tahoma" w:hAnsi="Tahoma" w:cs="Tahoma"/>
            <w:lang w:val="pl-PL"/>
          </w:rPr>
          <w:t>www.huawei.com</w:t>
        </w:r>
      </w:hyperlink>
      <w:r w:rsidRPr="00E03218">
        <w:rPr>
          <w:rFonts w:ascii="Tahoma" w:hAnsi="Tahoma" w:cs="Tahoma"/>
          <w:color w:val="000000"/>
          <w:lang w:val="pl-PL"/>
        </w:rPr>
        <w:t xml:space="preserve"> lub </w:t>
      </w:r>
      <w:r w:rsidRPr="00E03218">
        <w:rPr>
          <w:rFonts w:ascii="Tahoma" w:hAnsi="Tahoma" w:cs="Tahoma"/>
          <w:lang w:val="pl-PL"/>
        </w:rPr>
        <w:t xml:space="preserve">śledź nas na: </w:t>
      </w:r>
    </w:p>
    <w:p w14:paraId="7EC25789" w14:textId="77777777" w:rsidR="00E03218" w:rsidRPr="00E03218" w:rsidRDefault="00E15206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hyperlink r:id="rId10" w:history="1">
        <w:r w:rsidR="00E03218" w:rsidRPr="00E03218">
          <w:rPr>
            <w:rStyle w:val="Hyperlink"/>
            <w:rFonts w:ascii="Tahoma" w:hAnsi="Tahoma" w:cs="Tahoma"/>
            <w:lang w:val="pl-PL"/>
          </w:rPr>
          <w:t>http://www.linkedin.com/company/Huawei</w:t>
        </w:r>
      </w:hyperlink>
      <w:r w:rsidR="00E03218" w:rsidRPr="00E03218">
        <w:rPr>
          <w:rFonts w:ascii="Tahoma" w:hAnsi="Tahoma" w:cs="Tahoma"/>
          <w:color w:val="000000"/>
          <w:lang w:val="pl-PL"/>
        </w:rPr>
        <w:t xml:space="preserve"> </w:t>
      </w:r>
    </w:p>
    <w:p w14:paraId="00A52FF0" w14:textId="77777777" w:rsidR="00E03218" w:rsidRPr="00E03218" w:rsidRDefault="00E15206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hyperlink r:id="rId11" w:history="1">
        <w:r w:rsidR="00E03218" w:rsidRPr="00E03218">
          <w:rPr>
            <w:rStyle w:val="Hyperlink"/>
            <w:rFonts w:ascii="Tahoma" w:hAnsi="Tahoma" w:cs="Tahoma"/>
            <w:lang w:val="pl-PL"/>
          </w:rPr>
          <w:t>http://www.twitter.com/Huawei</w:t>
        </w:r>
      </w:hyperlink>
      <w:r w:rsidR="00E03218" w:rsidRPr="00E03218">
        <w:rPr>
          <w:rFonts w:ascii="Tahoma" w:hAnsi="Tahoma" w:cs="Tahoma"/>
          <w:color w:val="000000"/>
          <w:lang w:val="pl-PL"/>
        </w:rPr>
        <w:t xml:space="preserve"> </w:t>
      </w:r>
    </w:p>
    <w:p w14:paraId="5C2CC5C1" w14:textId="77777777" w:rsidR="00E03218" w:rsidRPr="00E03218" w:rsidRDefault="00E15206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hyperlink r:id="rId12" w:history="1">
        <w:r w:rsidR="00E03218" w:rsidRPr="00E03218">
          <w:rPr>
            <w:rStyle w:val="Hyperlink"/>
            <w:rFonts w:ascii="Tahoma" w:hAnsi="Tahoma" w:cs="Tahoma"/>
            <w:lang w:val="pl-PL"/>
          </w:rPr>
          <w:t>http://www.facebook.com/Huawei</w:t>
        </w:r>
      </w:hyperlink>
      <w:r w:rsidR="00E03218" w:rsidRPr="00E03218">
        <w:rPr>
          <w:rFonts w:ascii="Tahoma" w:hAnsi="Tahoma" w:cs="Tahoma"/>
          <w:color w:val="000000"/>
          <w:lang w:val="pl-PL"/>
        </w:rPr>
        <w:t xml:space="preserve"> </w:t>
      </w:r>
    </w:p>
    <w:p w14:paraId="3CAB6677" w14:textId="07EBBA0C" w:rsidR="00E03218" w:rsidRPr="00A120B4" w:rsidRDefault="00E15206" w:rsidP="0006109B">
      <w:pPr>
        <w:spacing w:line="240" w:lineRule="auto"/>
        <w:ind w:leftChars="0" w:left="0"/>
        <w:jc w:val="both"/>
        <w:rPr>
          <w:rStyle w:val="Hyperlink"/>
          <w:lang w:val="pl-PL"/>
        </w:rPr>
      </w:pPr>
      <w:hyperlink r:id="rId13" w:history="1">
        <w:r w:rsidR="0074483D" w:rsidRPr="0074483D">
          <w:rPr>
            <w:rStyle w:val="Hyperlink"/>
            <w:rFonts w:ascii="Tahoma" w:hAnsi="Tahoma" w:cs="Tahoma"/>
            <w:lang w:val="pl-PL"/>
          </w:rPr>
          <w:t>http://www/youtube.com/Huawei</w:t>
        </w:r>
      </w:hyperlink>
    </w:p>
    <w:p w14:paraId="1686B102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</w:p>
    <w:p w14:paraId="48416208" w14:textId="6EA2AF73" w:rsidR="00E03218" w:rsidRPr="0074483D" w:rsidRDefault="00E03218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lang w:val="pl-PL"/>
        </w:rPr>
      </w:pPr>
      <w:r w:rsidRPr="00E03218">
        <w:rPr>
          <w:rFonts w:ascii="Tahoma" w:hAnsi="Tahoma" w:cs="Tahoma"/>
          <w:lang w:val="pl-PL"/>
        </w:rPr>
        <w:t xml:space="preserve">Więcej informacji na temat działalności Huawei Polska (Carrier Network Business Group) można znaleźć na stronie </w:t>
      </w:r>
      <w:hyperlink r:id="rId14" w:history="1">
        <w:r w:rsidR="0074483D" w:rsidRPr="0074483D">
          <w:rPr>
            <w:rStyle w:val="Hyperlink"/>
            <w:rFonts w:ascii="Tahoma" w:hAnsi="Tahoma" w:cs="Tahoma"/>
            <w:lang w:val="pl-PL"/>
          </w:rPr>
          <w:t>Biura Prasowego.</w:t>
        </w:r>
      </w:hyperlink>
    </w:p>
    <w:p w14:paraId="0F5AB19D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u w:val="single"/>
          <w:lang w:val="pl-PL"/>
        </w:rPr>
      </w:pPr>
    </w:p>
    <w:p w14:paraId="255C8C4F" w14:textId="48B1C559" w:rsidR="00E03218" w:rsidRPr="00151D0F" w:rsidRDefault="006E228C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Kontakt dla mediów:</w:t>
      </w:r>
    </w:p>
    <w:p w14:paraId="36DE22BC" w14:textId="6651E577" w:rsidR="00E03218" w:rsidRPr="00877F31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  <w:r w:rsidRPr="00151D0F">
        <w:rPr>
          <w:rFonts w:ascii="Tahoma" w:hAnsi="Tahoma" w:cs="Tahoma"/>
          <w:color w:val="414141"/>
          <w:lang w:eastAsia="pl-PL"/>
        </w:rPr>
        <w:t>Mateusz Kaczor</w:t>
      </w:r>
      <w:r w:rsidR="0006109B">
        <w:rPr>
          <w:rFonts w:ascii="Tahoma" w:hAnsi="Tahoma" w:cs="Tahoma"/>
          <w:color w:val="414141"/>
          <w:lang w:eastAsia="pl-PL"/>
        </w:rPr>
        <w:br/>
      </w:r>
      <w:r w:rsidRPr="00877F31">
        <w:rPr>
          <w:rFonts w:ascii="Tahoma" w:hAnsi="Tahoma" w:cs="Tahoma"/>
          <w:color w:val="414141"/>
          <w:lang w:eastAsia="pl-PL"/>
        </w:rPr>
        <w:t>Senior Account Executive</w:t>
      </w:r>
    </w:p>
    <w:p w14:paraId="02E74624" w14:textId="77777777" w:rsidR="00E03218" w:rsidRPr="00877F31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  <w:r w:rsidRPr="00877F31">
        <w:rPr>
          <w:rFonts w:ascii="Tahoma" w:hAnsi="Tahoma" w:cs="Tahoma"/>
          <w:color w:val="414141"/>
          <w:lang w:eastAsia="pl-PL"/>
        </w:rPr>
        <w:t xml:space="preserve">MSL </w:t>
      </w:r>
    </w:p>
    <w:p w14:paraId="0176CB38" w14:textId="77777777" w:rsidR="005A27FB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hd w:val="clear" w:color="auto" w:fill="FFFFFF"/>
        </w:rPr>
      </w:pPr>
      <w:r>
        <w:rPr>
          <w:rFonts w:ascii="Tahoma" w:hAnsi="Tahoma" w:cs="Tahoma"/>
          <w:color w:val="555555"/>
          <w:shd w:val="clear" w:color="auto" w:fill="FFFFFF"/>
        </w:rPr>
        <w:t>m</w:t>
      </w:r>
      <w:r w:rsidRPr="00877F31">
        <w:rPr>
          <w:rFonts w:ascii="Tahoma" w:hAnsi="Tahoma" w:cs="Tahoma"/>
          <w:color w:val="555555"/>
          <w:shd w:val="clear" w:color="auto" w:fill="FFFFFF"/>
        </w:rPr>
        <w:t>ateusz.kaczor@mslgroup.com</w:t>
      </w:r>
      <w:r w:rsidRPr="00877F31">
        <w:rPr>
          <w:rFonts w:ascii="Tahoma" w:hAnsi="Tahoma" w:cs="Tahoma"/>
          <w:color w:val="555555"/>
          <w:shd w:val="clear" w:color="auto" w:fill="FFFFFF"/>
        </w:rPr>
        <w:tab/>
      </w:r>
    </w:p>
    <w:p w14:paraId="5178D048" w14:textId="4E4220E2" w:rsidR="00604F4D" w:rsidRPr="009500FC" w:rsidRDefault="00E03218" w:rsidP="005A27FB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2"/>
          <w:szCs w:val="22"/>
        </w:rPr>
      </w:pPr>
      <w:r w:rsidRPr="00877F31">
        <w:rPr>
          <w:rFonts w:ascii="Tahoma" w:hAnsi="Tahoma" w:cs="Tahoma"/>
          <w:color w:val="555555"/>
          <w:shd w:val="clear" w:color="auto" w:fill="FFFFFF"/>
        </w:rPr>
        <w:t>608 389</w:t>
      </w:r>
      <w:r>
        <w:rPr>
          <w:rFonts w:ascii="Tahoma" w:hAnsi="Tahoma" w:cs="Tahoma"/>
          <w:color w:val="555555"/>
          <w:shd w:val="clear" w:color="auto" w:fill="FFFFFF"/>
        </w:rPr>
        <w:t> </w:t>
      </w:r>
      <w:r w:rsidRPr="00877F31">
        <w:rPr>
          <w:rFonts w:ascii="Tahoma" w:hAnsi="Tahoma" w:cs="Tahoma"/>
          <w:color w:val="555555"/>
          <w:shd w:val="clear" w:color="auto" w:fill="FFFFFF"/>
        </w:rPr>
        <w:t>441</w:t>
      </w:r>
      <w:bookmarkStart w:id="0" w:name="_GoBack"/>
      <w:bookmarkEnd w:id="0"/>
    </w:p>
    <w:sectPr w:rsidR="00604F4D" w:rsidRPr="009500FC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AE79" w14:textId="77777777" w:rsidR="000700FC" w:rsidRDefault="000700FC">
      <w:pPr>
        <w:ind w:left="420"/>
      </w:pPr>
      <w:r>
        <w:separator/>
      </w:r>
    </w:p>
  </w:endnote>
  <w:endnote w:type="continuationSeparator" w:id="0">
    <w:p w14:paraId="145D9015" w14:textId="77777777" w:rsidR="000700FC" w:rsidRDefault="000700FC">
      <w:pPr>
        <w:ind w:left="420"/>
      </w:pPr>
      <w:r>
        <w:continuationSeparator/>
      </w:r>
    </w:p>
  </w:endnote>
  <w:endnote w:type="continuationNotice" w:id="1">
    <w:p w14:paraId="4AB7C384" w14:textId="77777777" w:rsidR="000700FC" w:rsidRDefault="000700FC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 UI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7CB3FBD2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424F73">
            <w:rPr>
              <w:noProof/>
            </w:rPr>
            <w:t>2020-07-01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32139C62" w:rsidR="00B15FFE" w:rsidRDefault="00E03218" w:rsidP="001B2A88">
          <w:pPr>
            <w:pStyle w:val="Footer"/>
            <w:ind w:right="360" w:firstLineChars="500" w:firstLine="900"/>
          </w:pPr>
          <w:r>
            <w:t xml:space="preserve">Strona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5A27FB">
            <w:rPr>
              <w:noProof/>
            </w:rPr>
            <w:t>3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5A27FB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B2B0E" w14:textId="77777777" w:rsidR="000700FC" w:rsidRDefault="000700FC">
      <w:pPr>
        <w:ind w:left="420"/>
      </w:pPr>
      <w:r>
        <w:separator/>
      </w:r>
    </w:p>
  </w:footnote>
  <w:footnote w:type="continuationSeparator" w:id="0">
    <w:p w14:paraId="0A5B6ED5" w14:textId="77777777" w:rsidR="000700FC" w:rsidRDefault="000700FC">
      <w:pPr>
        <w:ind w:left="420"/>
      </w:pPr>
      <w:r>
        <w:continuationSeparator/>
      </w:r>
    </w:p>
  </w:footnote>
  <w:footnote w:type="continuationNotice" w:id="1">
    <w:p w14:paraId="4D71DA22" w14:textId="77777777" w:rsidR="000700FC" w:rsidRDefault="000700FC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2E7A53A9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2846DEB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A3E67AC"/>
    <w:multiLevelType w:val="hybridMultilevel"/>
    <w:tmpl w:val="2050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8"/>
  </w:num>
  <w:num w:numId="5">
    <w:abstractNumId w:val="8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0"/>
  </w:num>
  <w:num w:numId="25">
    <w:abstractNumId w:val="10"/>
  </w:num>
  <w:num w:numId="26">
    <w:abstractNumId w:val="15"/>
  </w:num>
  <w:num w:numId="27">
    <w:abstractNumId w:val="15"/>
  </w:num>
  <w:num w:numId="28">
    <w:abstractNumId w:val="15"/>
  </w:num>
  <w:num w:numId="29">
    <w:abstractNumId w:val="1"/>
  </w:num>
  <w:num w:numId="30">
    <w:abstractNumId w:val="10"/>
  </w:num>
  <w:num w:numId="31">
    <w:abstractNumId w:val="10"/>
  </w:num>
  <w:num w:numId="32">
    <w:abstractNumId w:val="15"/>
  </w:num>
  <w:num w:numId="33">
    <w:abstractNumId w:val="12"/>
  </w:num>
  <w:num w:numId="34">
    <w:abstractNumId w:val="12"/>
  </w:num>
  <w:num w:numId="35">
    <w:abstractNumId w:val="12"/>
  </w:num>
  <w:num w:numId="36">
    <w:abstractNumId w:val="4"/>
  </w:num>
  <w:num w:numId="37">
    <w:abstractNumId w:val="11"/>
  </w:num>
  <w:num w:numId="38">
    <w:abstractNumId w:val="13"/>
  </w:num>
  <w:num w:numId="39">
    <w:abstractNumId w:val="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132C9"/>
    <w:rsid w:val="000220DD"/>
    <w:rsid w:val="000355A1"/>
    <w:rsid w:val="00040703"/>
    <w:rsid w:val="0006109B"/>
    <w:rsid w:val="000700FC"/>
    <w:rsid w:val="00072CD8"/>
    <w:rsid w:val="00096FBD"/>
    <w:rsid w:val="00097037"/>
    <w:rsid w:val="000A122E"/>
    <w:rsid w:val="000A1763"/>
    <w:rsid w:val="000A48EB"/>
    <w:rsid w:val="000B5C6E"/>
    <w:rsid w:val="000F1DC9"/>
    <w:rsid w:val="000F64DE"/>
    <w:rsid w:val="000F7621"/>
    <w:rsid w:val="00103086"/>
    <w:rsid w:val="00104597"/>
    <w:rsid w:val="00140A6A"/>
    <w:rsid w:val="0016416F"/>
    <w:rsid w:val="00170DCE"/>
    <w:rsid w:val="001B2A88"/>
    <w:rsid w:val="001D7342"/>
    <w:rsid w:val="001D75A2"/>
    <w:rsid w:val="001E0299"/>
    <w:rsid w:val="001F61F3"/>
    <w:rsid w:val="001F65CE"/>
    <w:rsid w:val="00201BA2"/>
    <w:rsid w:val="00203563"/>
    <w:rsid w:val="0022172F"/>
    <w:rsid w:val="002217F0"/>
    <w:rsid w:val="0026473B"/>
    <w:rsid w:val="00285F0B"/>
    <w:rsid w:val="002A0E07"/>
    <w:rsid w:val="002A3E65"/>
    <w:rsid w:val="002A4F97"/>
    <w:rsid w:val="002B5CAE"/>
    <w:rsid w:val="002C02DE"/>
    <w:rsid w:val="002C2962"/>
    <w:rsid w:val="002C3830"/>
    <w:rsid w:val="002E3B0D"/>
    <w:rsid w:val="002F0052"/>
    <w:rsid w:val="00304E88"/>
    <w:rsid w:val="0032367D"/>
    <w:rsid w:val="003262DD"/>
    <w:rsid w:val="003371BD"/>
    <w:rsid w:val="003413ED"/>
    <w:rsid w:val="0037721A"/>
    <w:rsid w:val="003812B4"/>
    <w:rsid w:val="00386A1C"/>
    <w:rsid w:val="00392A6E"/>
    <w:rsid w:val="003A16EA"/>
    <w:rsid w:val="003A2DDD"/>
    <w:rsid w:val="003B1168"/>
    <w:rsid w:val="003B79F0"/>
    <w:rsid w:val="003D646E"/>
    <w:rsid w:val="003F4435"/>
    <w:rsid w:val="003F58A3"/>
    <w:rsid w:val="004030A1"/>
    <w:rsid w:val="0040417C"/>
    <w:rsid w:val="0041004A"/>
    <w:rsid w:val="00420586"/>
    <w:rsid w:val="00424F73"/>
    <w:rsid w:val="0045571B"/>
    <w:rsid w:val="00457890"/>
    <w:rsid w:val="00463FBE"/>
    <w:rsid w:val="00496D3F"/>
    <w:rsid w:val="004A5061"/>
    <w:rsid w:val="004B67E4"/>
    <w:rsid w:val="004C2050"/>
    <w:rsid w:val="00504B3C"/>
    <w:rsid w:val="00505569"/>
    <w:rsid w:val="00510708"/>
    <w:rsid w:val="00513C8E"/>
    <w:rsid w:val="00516471"/>
    <w:rsid w:val="005506A1"/>
    <w:rsid w:val="00580B75"/>
    <w:rsid w:val="005A27FB"/>
    <w:rsid w:val="005A6947"/>
    <w:rsid w:val="005B014A"/>
    <w:rsid w:val="005E5A60"/>
    <w:rsid w:val="005F3936"/>
    <w:rsid w:val="00601939"/>
    <w:rsid w:val="00604F4D"/>
    <w:rsid w:val="00606A84"/>
    <w:rsid w:val="00637294"/>
    <w:rsid w:val="006502F9"/>
    <w:rsid w:val="00675AB0"/>
    <w:rsid w:val="0067609A"/>
    <w:rsid w:val="00677FA7"/>
    <w:rsid w:val="00684F22"/>
    <w:rsid w:val="006A3C45"/>
    <w:rsid w:val="006A43F5"/>
    <w:rsid w:val="006C07FD"/>
    <w:rsid w:val="006E07E2"/>
    <w:rsid w:val="006E093B"/>
    <w:rsid w:val="006E228C"/>
    <w:rsid w:val="006E44CB"/>
    <w:rsid w:val="006E7A0B"/>
    <w:rsid w:val="00706C12"/>
    <w:rsid w:val="007070F5"/>
    <w:rsid w:val="00712420"/>
    <w:rsid w:val="00743970"/>
    <w:rsid w:val="0074483D"/>
    <w:rsid w:val="007555E7"/>
    <w:rsid w:val="007646E6"/>
    <w:rsid w:val="00767E0E"/>
    <w:rsid w:val="00770920"/>
    <w:rsid w:val="007717F6"/>
    <w:rsid w:val="007852B2"/>
    <w:rsid w:val="00792DB0"/>
    <w:rsid w:val="007A512B"/>
    <w:rsid w:val="007B4B07"/>
    <w:rsid w:val="007D0CC4"/>
    <w:rsid w:val="007D750F"/>
    <w:rsid w:val="00810311"/>
    <w:rsid w:val="008106D1"/>
    <w:rsid w:val="00810A24"/>
    <w:rsid w:val="008238F1"/>
    <w:rsid w:val="00824085"/>
    <w:rsid w:val="00831C68"/>
    <w:rsid w:val="008404E5"/>
    <w:rsid w:val="008469CC"/>
    <w:rsid w:val="008469F4"/>
    <w:rsid w:val="00862BA7"/>
    <w:rsid w:val="00871389"/>
    <w:rsid w:val="008769EF"/>
    <w:rsid w:val="00886488"/>
    <w:rsid w:val="0089522F"/>
    <w:rsid w:val="008A3295"/>
    <w:rsid w:val="008D0277"/>
    <w:rsid w:val="008E1FAA"/>
    <w:rsid w:val="008F0FD9"/>
    <w:rsid w:val="008F7681"/>
    <w:rsid w:val="009056BC"/>
    <w:rsid w:val="00907B2F"/>
    <w:rsid w:val="0091442C"/>
    <w:rsid w:val="00924123"/>
    <w:rsid w:val="009318F7"/>
    <w:rsid w:val="00943F13"/>
    <w:rsid w:val="009500FC"/>
    <w:rsid w:val="00956E59"/>
    <w:rsid w:val="00963437"/>
    <w:rsid w:val="009662C5"/>
    <w:rsid w:val="009C1767"/>
    <w:rsid w:val="009F403B"/>
    <w:rsid w:val="00A02DD6"/>
    <w:rsid w:val="00A120B4"/>
    <w:rsid w:val="00A5424A"/>
    <w:rsid w:val="00A56418"/>
    <w:rsid w:val="00A61813"/>
    <w:rsid w:val="00A65025"/>
    <w:rsid w:val="00A666CD"/>
    <w:rsid w:val="00A83291"/>
    <w:rsid w:val="00AA4AFC"/>
    <w:rsid w:val="00AB140B"/>
    <w:rsid w:val="00AB2FC4"/>
    <w:rsid w:val="00AE766F"/>
    <w:rsid w:val="00B006C2"/>
    <w:rsid w:val="00B15FFE"/>
    <w:rsid w:val="00B17F34"/>
    <w:rsid w:val="00B26D82"/>
    <w:rsid w:val="00B555EE"/>
    <w:rsid w:val="00B61BEE"/>
    <w:rsid w:val="00B92448"/>
    <w:rsid w:val="00BB5DA4"/>
    <w:rsid w:val="00BC013C"/>
    <w:rsid w:val="00BC17C3"/>
    <w:rsid w:val="00BC7343"/>
    <w:rsid w:val="00BD3B0F"/>
    <w:rsid w:val="00C10654"/>
    <w:rsid w:val="00C14C07"/>
    <w:rsid w:val="00C176CD"/>
    <w:rsid w:val="00C230AC"/>
    <w:rsid w:val="00C32435"/>
    <w:rsid w:val="00C3322F"/>
    <w:rsid w:val="00C34B82"/>
    <w:rsid w:val="00C47EB9"/>
    <w:rsid w:val="00C5260E"/>
    <w:rsid w:val="00C53250"/>
    <w:rsid w:val="00C67AFF"/>
    <w:rsid w:val="00C8361D"/>
    <w:rsid w:val="00CA4231"/>
    <w:rsid w:val="00CA6E12"/>
    <w:rsid w:val="00CB304F"/>
    <w:rsid w:val="00CC2358"/>
    <w:rsid w:val="00CD5949"/>
    <w:rsid w:val="00CE1E4B"/>
    <w:rsid w:val="00D00418"/>
    <w:rsid w:val="00D1293C"/>
    <w:rsid w:val="00D2365D"/>
    <w:rsid w:val="00D30A07"/>
    <w:rsid w:val="00D54A23"/>
    <w:rsid w:val="00D55B82"/>
    <w:rsid w:val="00D76E29"/>
    <w:rsid w:val="00D90D3C"/>
    <w:rsid w:val="00DA65BC"/>
    <w:rsid w:val="00DE205E"/>
    <w:rsid w:val="00DE4C37"/>
    <w:rsid w:val="00DF5E3D"/>
    <w:rsid w:val="00E03218"/>
    <w:rsid w:val="00E15206"/>
    <w:rsid w:val="00E25590"/>
    <w:rsid w:val="00E45E9E"/>
    <w:rsid w:val="00E762A6"/>
    <w:rsid w:val="00E77FD6"/>
    <w:rsid w:val="00E90248"/>
    <w:rsid w:val="00E97AE5"/>
    <w:rsid w:val="00EB0630"/>
    <w:rsid w:val="00EB4497"/>
    <w:rsid w:val="00EB731E"/>
    <w:rsid w:val="00EC5261"/>
    <w:rsid w:val="00ED0065"/>
    <w:rsid w:val="00ED1A23"/>
    <w:rsid w:val="00ED5E16"/>
    <w:rsid w:val="00EE3D5B"/>
    <w:rsid w:val="00EE5130"/>
    <w:rsid w:val="00EF283A"/>
    <w:rsid w:val="00F00A8F"/>
    <w:rsid w:val="00F03F2B"/>
    <w:rsid w:val="00F04A64"/>
    <w:rsid w:val="00F30E7E"/>
    <w:rsid w:val="00F40862"/>
    <w:rsid w:val="00F435DC"/>
    <w:rsid w:val="00F535C5"/>
    <w:rsid w:val="00F57AC3"/>
    <w:rsid w:val="00F622D1"/>
    <w:rsid w:val="00F738B4"/>
    <w:rsid w:val="00F87B3F"/>
    <w:rsid w:val="00FB0B54"/>
    <w:rsid w:val="00FC72E0"/>
    <w:rsid w:val="00FD507F"/>
    <w:rsid w:val="00FE186D"/>
    <w:rsid w:val="00FF4F84"/>
    <w:rsid w:val="020D18CE"/>
    <w:rsid w:val="026769E2"/>
    <w:rsid w:val="030BB7DA"/>
    <w:rsid w:val="04244C22"/>
    <w:rsid w:val="05412A16"/>
    <w:rsid w:val="064E5F52"/>
    <w:rsid w:val="0686BD0E"/>
    <w:rsid w:val="06C2B69D"/>
    <w:rsid w:val="08DE459B"/>
    <w:rsid w:val="09CB5547"/>
    <w:rsid w:val="0AFA6213"/>
    <w:rsid w:val="0BE2BD23"/>
    <w:rsid w:val="0C6DCD56"/>
    <w:rsid w:val="0C7EE64E"/>
    <w:rsid w:val="0DFDA66C"/>
    <w:rsid w:val="0E89585A"/>
    <w:rsid w:val="0EABC80D"/>
    <w:rsid w:val="10F35570"/>
    <w:rsid w:val="11282BB1"/>
    <w:rsid w:val="1128B119"/>
    <w:rsid w:val="117BFFC9"/>
    <w:rsid w:val="132C5B6F"/>
    <w:rsid w:val="13DD9897"/>
    <w:rsid w:val="14636CDF"/>
    <w:rsid w:val="154AF297"/>
    <w:rsid w:val="158426E7"/>
    <w:rsid w:val="17867D71"/>
    <w:rsid w:val="1AE17C9B"/>
    <w:rsid w:val="1B566546"/>
    <w:rsid w:val="21CB9B42"/>
    <w:rsid w:val="250B2260"/>
    <w:rsid w:val="251366DF"/>
    <w:rsid w:val="274FEEB9"/>
    <w:rsid w:val="281805E6"/>
    <w:rsid w:val="285108E4"/>
    <w:rsid w:val="2859B6DF"/>
    <w:rsid w:val="28762F17"/>
    <w:rsid w:val="29439FFA"/>
    <w:rsid w:val="29AC1852"/>
    <w:rsid w:val="2B6A1A38"/>
    <w:rsid w:val="2BADC333"/>
    <w:rsid w:val="2C32154C"/>
    <w:rsid w:val="2CB19D44"/>
    <w:rsid w:val="2CC81E38"/>
    <w:rsid w:val="2D51C89D"/>
    <w:rsid w:val="2DDB6BFB"/>
    <w:rsid w:val="2DF85A40"/>
    <w:rsid w:val="2E7A53A9"/>
    <w:rsid w:val="2F4AA1D1"/>
    <w:rsid w:val="30665459"/>
    <w:rsid w:val="32F90983"/>
    <w:rsid w:val="338C0A0B"/>
    <w:rsid w:val="375B4F33"/>
    <w:rsid w:val="37B2A940"/>
    <w:rsid w:val="37D04289"/>
    <w:rsid w:val="3856FFF5"/>
    <w:rsid w:val="39F170BF"/>
    <w:rsid w:val="3A1718EB"/>
    <w:rsid w:val="3AAA3ED1"/>
    <w:rsid w:val="3C46BFE1"/>
    <w:rsid w:val="3CA035CF"/>
    <w:rsid w:val="3D92ABE7"/>
    <w:rsid w:val="3E65F948"/>
    <w:rsid w:val="3F017726"/>
    <w:rsid w:val="3F0409A7"/>
    <w:rsid w:val="40BC7329"/>
    <w:rsid w:val="40E54309"/>
    <w:rsid w:val="40FA2D32"/>
    <w:rsid w:val="41C34438"/>
    <w:rsid w:val="42B57D0C"/>
    <w:rsid w:val="43A096C0"/>
    <w:rsid w:val="43D74A2A"/>
    <w:rsid w:val="48B93DDD"/>
    <w:rsid w:val="49F619A8"/>
    <w:rsid w:val="4AD08901"/>
    <w:rsid w:val="4D5615B0"/>
    <w:rsid w:val="4DF3A466"/>
    <w:rsid w:val="4E01C55D"/>
    <w:rsid w:val="4F88ABC7"/>
    <w:rsid w:val="50DC6299"/>
    <w:rsid w:val="51784CBE"/>
    <w:rsid w:val="52612AFF"/>
    <w:rsid w:val="5263ED58"/>
    <w:rsid w:val="5675017D"/>
    <w:rsid w:val="58143F38"/>
    <w:rsid w:val="590CE19F"/>
    <w:rsid w:val="5B457111"/>
    <w:rsid w:val="5B6E71A2"/>
    <w:rsid w:val="5B80DFAD"/>
    <w:rsid w:val="5B96E182"/>
    <w:rsid w:val="5CBBCF2E"/>
    <w:rsid w:val="5D3B47B6"/>
    <w:rsid w:val="5D82081B"/>
    <w:rsid w:val="5FFC39E9"/>
    <w:rsid w:val="605F5A45"/>
    <w:rsid w:val="6089E45B"/>
    <w:rsid w:val="60BA591C"/>
    <w:rsid w:val="60F7D621"/>
    <w:rsid w:val="623CFA67"/>
    <w:rsid w:val="63674218"/>
    <w:rsid w:val="638E29E9"/>
    <w:rsid w:val="63C233B6"/>
    <w:rsid w:val="661DF333"/>
    <w:rsid w:val="6629B9B9"/>
    <w:rsid w:val="6647E9E8"/>
    <w:rsid w:val="6660895A"/>
    <w:rsid w:val="66AE0EC2"/>
    <w:rsid w:val="6705134E"/>
    <w:rsid w:val="674471BE"/>
    <w:rsid w:val="6762F625"/>
    <w:rsid w:val="682B946A"/>
    <w:rsid w:val="6985A7ED"/>
    <w:rsid w:val="69974EC8"/>
    <w:rsid w:val="699F8401"/>
    <w:rsid w:val="6AEE0936"/>
    <w:rsid w:val="6C19039D"/>
    <w:rsid w:val="6CCE304E"/>
    <w:rsid w:val="6E835884"/>
    <w:rsid w:val="6F8B3193"/>
    <w:rsid w:val="70B75BA8"/>
    <w:rsid w:val="72B2963A"/>
    <w:rsid w:val="74260EE5"/>
    <w:rsid w:val="74CD8006"/>
    <w:rsid w:val="74E63D96"/>
    <w:rsid w:val="763E36AB"/>
    <w:rsid w:val="76E7A0C2"/>
    <w:rsid w:val="77189B8C"/>
    <w:rsid w:val="7A94E1DF"/>
    <w:rsid w:val="7BF136CC"/>
    <w:rsid w:val="7BF92141"/>
    <w:rsid w:val="7E9B0B85"/>
    <w:rsid w:val="7F46320F"/>
    <w:rsid w:val="7F8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969D1E9F-7809-4975-B718-A2D254DE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5DA4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E45E9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45E9E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E45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economics.com/publication/open/336607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276E-2F2F-4809-B387-2C10C692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309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87</cp:revision>
  <dcterms:created xsi:type="dcterms:W3CDTF">2020-06-17T19:18:00Z</dcterms:created>
  <dcterms:modified xsi:type="dcterms:W3CDTF">2020-07-01T13:56:00Z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