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91670" w14:textId="2219871F" w:rsidR="00805F09" w:rsidRPr="006546D2" w:rsidRDefault="00945826" w:rsidP="001967F2">
      <w:pPr>
        <w:pStyle w:val="BodyA"/>
        <w:widowControl w:val="0"/>
        <w:suppressAutoHyphens/>
        <w:spacing w:after="240" w:line="264" w:lineRule="auto"/>
        <w:jc w:val="center"/>
        <w:rPr>
          <w:b/>
          <w:bCs/>
          <w:sz w:val="36"/>
          <w:szCs w:val="36"/>
        </w:rPr>
      </w:pPr>
      <w:bookmarkStart w:id="0" w:name="_Hlk40201835"/>
      <w:r w:rsidRPr="006546D2">
        <w:rPr>
          <w:b/>
          <w:bCs/>
          <w:sz w:val="36"/>
          <w:szCs w:val="36"/>
        </w:rPr>
        <w:t xml:space="preserve">Faturação ultrapassa valores pré-pandemia na </w:t>
      </w:r>
      <w:r w:rsidR="009A7039" w:rsidRPr="006546D2">
        <w:rPr>
          <w:b/>
          <w:bCs/>
          <w:sz w:val="36"/>
          <w:szCs w:val="36"/>
        </w:rPr>
        <w:t xml:space="preserve">segunda e </w:t>
      </w:r>
      <w:r w:rsidRPr="006546D2">
        <w:rPr>
          <w:b/>
          <w:bCs/>
          <w:sz w:val="36"/>
          <w:szCs w:val="36"/>
        </w:rPr>
        <w:t>terceira semana</w:t>
      </w:r>
      <w:r w:rsidR="009A7039" w:rsidRPr="006546D2">
        <w:rPr>
          <w:b/>
          <w:bCs/>
          <w:sz w:val="36"/>
          <w:szCs w:val="36"/>
        </w:rPr>
        <w:t>s</w:t>
      </w:r>
      <w:r w:rsidRPr="006546D2">
        <w:rPr>
          <w:b/>
          <w:bCs/>
          <w:sz w:val="36"/>
          <w:szCs w:val="36"/>
        </w:rPr>
        <w:t xml:space="preserve"> de julho</w:t>
      </w:r>
    </w:p>
    <w:p w14:paraId="55AD83EC" w14:textId="6FB121E3" w:rsidR="00805F09" w:rsidRPr="009A7039" w:rsidRDefault="009A7039" w:rsidP="0025084F">
      <w:pPr>
        <w:pStyle w:val="PargrafodaLista"/>
        <w:keepNext/>
        <w:widowControl w:val="0"/>
        <w:numPr>
          <w:ilvl w:val="0"/>
          <w:numId w:val="2"/>
        </w:numPr>
        <w:suppressAutoHyphens/>
        <w:spacing w:after="120" w:line="288" w:lineRule="auto"/>
        <w:ind w:left="567"/>
        <w:rPr>
          <w:rFonts w:cs="Calibri"/>
        </w:rPr>
      </w:pPr>
      <w:r>
        <w:rPr>
          <w:b/>
          <w:bCs/>
        </w:rPr>
        <w:t xml:space="preserve">Só na </w:t>
      </w:r>
      <w:r w:rsidR="006546D2">
        <w:rPr>
          <w:b/>
          <w:bCs/>
        </w:rPr>
        <w:t xml:space="preserve">terceira </w:t>
      </w:r>
      <w:r>
        <w:rPr>
          <w:b/>
          <w:bCs/>
        </w:rPr>
        <w:t>semana</w:t>
      </w:r>
      <w:r w:rsidR="006546D2">
        <w:rPr>
          <w:b/>
          <w:bCs/>
        </w:rPr>
        <w:t xml:space="preserve"> de julho</w:t>
      </w:r>
      <w:r>
        <w:rPr>
          <w:b/>
          <w:bCs/>
        </w:rPr>
        <w:t>, o valor total faturado pelos negócios em Portugal superou em 5% os números registados na primeira semana de março. Já na semana anterior (de 5 a 11 de julho), a faturação alcançou mais 1% face ao período pré-pandémico;</w:t>
      </w:r>
    </w:p>
    <w:p w14:paraId="27A5F074" w14:textId="0C1D70A1" w:rsidR="009A7039" w:rsidRPr="00414A33" w:rsidRDefault="006546D2" w:rsidP="0025084F">
      <w:pPr>
        <w:pStyle w:val="PargrafodaLista"/>
        <w:keepNext/>
        <w:widowControl w:val="0"/>
        <w:numPr>
          <w:ilvl w:val="0"/>
          <w:numId w:val="2"/>
        </w:numPr>
        <w:suppressAutoHyphens/>
        <w:spacing w:after="120" w:line="288" w:lineRule="auto"/>
        <w:ind w:left="567"/>
        <w:rPr>
          <w:rFonts w:cs="Calibri"/>
          <w:b/>
          <w:bCs/>
        </w:rPr>
      </w:pPr>
      <w:r>
        <w:rPr>
          <w:rFonts w:cs="Calibri"/>
          <w:b/>
          <w:bCs/>
        </w:rPr>
        <w:t>A</w:t>
      </w:r>
      <w:r w:rsidR="009A7039" w:rsidRPr="00414A33">
        <w:rPr>
          <w:rFonts w:cs="Calibri"/>
          <w:b/>
          <w:bCs/>
        </w:rPr>
        <w:t xml:space="preserve"> nível mensal, verifica-se que durante o mês de junho o número de transações e a faturação total tiveram muito próximos dos valores registados no mês anterior à pandemia (fevereiro), alcançando 89 e 93% desse total, respetivamente;</w:t>
      </w:r>
    </w:p>
    <w:p w14:paraId="1B853FCF" w14:textId="6222BD1E" w:rsidR="009A7039" w:rsidRPr="006546D2" w:rsidRDefault="009A7039" w:rsidP="0025084F">
      <w:pPr>
        <w:pStyle w:val="PargrafodaLista"/>
        <w:keepNext/>
        <w:widowControl w:val="0"/>
        <w:numPr>
          <w:ilvl w:val="0"/>
          <w:numId w:val="2"/>
        </w:numPr>
        <w:suppressAutoHyphens/>
        <w:spacing w:after="120" w:line="288" w:lineRule="auto"/>
        <w:ind w:left="567"/>
        <w:rPr>
          <w:rFonts w:cs="Calibri"/>
          <w:b/>
          <w:bCs/>
        </w:rPr>
      </w:pPr>
      <w:r w:rsidRPr="006546D2">
        <w:rPr>
          <w:rFonts w:cs="Calibri"/>
          <w:b/>
          <w:bCs/>
        </w:rPr>
        <w:t xml:space="preserve">Sobre a faturação estrangeira, </w:t>
      </w:r>
      <w:r w:rsidR="00414A33" w:rsidRPr="006546D2">
        <w:rPr>
          <w:rFonts w:cs="Calibri"/>
          <w:b/>
          <w:bCs/>
        </w:rPr>
        <w:t>ju</w:t>
      </w:r>
      <w:r w:rsidR="00AB56A3" w:rsidRPr="006546D2">
        <w:rPr>
          <w:rFonts w:cs="Calibri"/>
          <w:b/>
          <w:bCs/>
        </w:rPr>
        <w:t>l</w:t>
      </w:r>
      <w:r w:rsidR="00414A33" w:rsidRPr="006546D2">
        <w:rPr>
          <w:rFonts w:cs="Calibri"/>
          <w:b/>
          <w:bCs/>
        </w:rPr>
        <w:t>ho registou um peso de</w:t>
      </w:r>
      <w:r w:rsidRPr="006546D2">
        <w:rPr>
          <w:rFonts w:cs="Calibri"/>
          <w:b/>
          <w:bCs/>
        </w:rPr>
        <w:t xml:space="preserve"> 10,41% </w:t>
      </w:r>
      <w:r w:rsidR="00414A33" w:rsidRPr="006546D2">
        <w:rPr>
          <w:rFonts w:cs="Calibri"/>
          <w:b/>
          <w:bCs/>
        </w:rPr>
        <w:t xml:space="preserve">desta categoria </w:t>
      </w:r>
      <w:r w:rsidR="003F35FB" w:rsidRPr="006546D2">
        <w:rPr>
          <w:rFonts w:cs="Calibri"/>
          <w:b/>
          <w:bCs/>
        </w:rPr>
        <w:t xml:space="preserve">(quase o dobro de </w:t>
      </w:r>
      <w:r w:rsidR="006546D2" w:rsidRPr="006546D2">
        <w:rPr>
          <w:rFonts w:cs="Calibri"/>
          <w:b/>
          <w:bCs/>
        </w:rPr>
        <w:t>j</w:t>
      </w:r>
      <w:r w:rsidR="003F35FB" w:rsidRPr="006546D2">
        <w:rPr>
          <w:rFonts w:cs="Calibri"/>
          <w:b/>
          <w:bCs/>
        </w:rPr>
        <w:t xml:space="preserve">unho) </w:t>
      </w:r>
      <w:r w:rsidR="00414A33" w:rsidRPr="006546D2">
        <w:rPr>
          <w:rFonts w:cs="Calibri"/>
          <w:b/>
          <w:bCs/>
        </w:rPr>
        <w:t xml:space="preserve">no </w:t>
      </w:r>
      <w:r w:rsidRPr="006546D2">
        <w:rPr>
          <w:rFonts w:cs="Calibri"/>
          <w:b/>
          <w:bCs/>
        </w:rPr>
        <w:t>total da faturação dos negócios</w:t>
      </w:r>
      <w:r w:rsidR="003F35FB" w:rsidRPr="006546D2">
        <w:rPr>
          <w:rFonts w:cs="Calibri"/>
          <w:b/>
          <w:bCs/>
        </w:rPr>
        <w:t>, impulsionado pela reabertura das fronteiras, ainda assim muito abaixo dos 25,62% registados no período homólogo</w:t>
      </w:r>
      <w:r w:rsidR="006546D2" w:rsidRPr="006546D2">
        <w:rPr>
          <w:rFonts w:cs="Calibri"/>
          <w:b/>
          <w:bCs/>
        </w:rPr>
        <w:t>;</w:t>
      </w:r>
    </w:p>
    <w:p w14:paraId="4A1F4605" w14:textId="277B09DD" w:rsidR="006C6069" w:rsidRPr="006546D2" w:rsidRDefault="00414A33" w:rsidP="00662859">
      <w:pPr>
        <w:pStyle w:val="PargrafodaLista"/>
        <w:keepNext/>
        <w:widowControl w:val="0"/>
        <w:numPr>
          <w:ilvl w:val="0"/>
          <w:numId w:val="2"/>
        </w:numPr>
        <w:suppressAutoHyphens/>
        <w:spacing w:after="120" w:line="288" w:lineRule="auto"/>
        <w:ind w:left="567"/>
        <w:rPr>
          <w:rFonts w:cs="Calibri"/>
        </w:rPr>
      </w:pPr>
      <w:r w:rsidRPr="006546D2">
        <w:rPr>
          <w:rFonts w:cs="Calibri"/>
          <w:b/>
          <w:bCs/>
        </w:rPr>
        <w:t xml:space="preserve">O </w:t>
      </w:r>
      <w:proofErr w:type="spellStart"/>
      <w:r w:rsidRPr="006546D2">
        <w:rPr>
          <w:rFonts w:cs="Calibri"/>
          <w:b/>
          <w:bCs/>
          <w:i/>
          <w:iCs/>
        </w:rPr>
        <w:t>contactless</w:t>
      </w:r>
      <w:proofErr w:type="spellEnd"/>
      <w:r w:rsidRPr="006546D2">
        <w:rPr>
          <w:rFonts w:cs="Calibri"/>
          <w:b/>
          <w:bCs/>
          <w:i/>
          <w:iCs/>
        </w:rPr>
        <w:t xml:space="preserve"> </w:t>
      </w:r>
      <w:r w:rsidRPr="006546D2">
        <w:rPr>
          <w:rFonts w:cs="Calibri"/>
          <w:b/>
          <w:bCs/>
        </w:rPr>
        <w:t>continua a destacar-se neste período de pandemia, com um peso de 26% na faturação total, em comparação com os 6% alcançados no período homólogo</w:t>
      </w:r>
      <w:r w:rsidR="003F35FB" w:rsidRPr="006546D2">
        <w:rPr>
          <w:rFonts w:cs="Calibri"/>
          <w:b/>
          <w:bCs/>
        </w:rPr>
        <w:t>. Em termos de faturação</w:t>
      </w:r>
      <w:r w:rsidR="006546D2" w:rsidRPr="006546D2">
        <w:rPr>
          <w:rFonts w:cs="Calibri"/>
          <w:b/>
          <w:bCs/>
        </w:rPr>
        <w:t>, j</w:t>
      </w:r>
      <w:r w:rsidR="003F35FB" w:rsidRPr="006546D2">
        <w:rPr>
          <w:rFonts w:cs="Calibri"/>
          <w:b/>
          <w:bCs/>
        </w:rPr>
        <w:t xml:space="preserve">ulho registou um crescimento de 262% face ao </w:t>
      </w:r>
      <w:r w:rsidR="006546D2" w:rsidRPr="006546D2">
        <w:rPr>
          <w:rFonts w:cs="Calibri"/>
          <w:b/>
          <w:bCs/>
        </w:rPr>
        <w:t xml:space="preserve">mesmo </w:t>
      </w:r>
      <w:r w:rsidR="003F35FB" w:rsidRPr="006546D2">
        <w:rPr>
          <w:rFonts w:cs="Calibri"/>
          <w:b/>
          <w:bCs/>
        </w:rPr>
        <w:t xml:space="preserve">período </w:t>
      </w:r>
      <w:r w:rsidR="006546D2" w:rsidRPr="006546D2">
        <w:rPr>
          <w:rFonts w:cs="Calibri"/>
          <w:b/>
          <w:bCs/>
        </w:rPr>
        <w:t>de 2019</w:t>
      </w:r>
      <w:r w:rsidR="003F35FB" w:rsidRPr="006546D2">
        <w:rPr>
          <w:rFonts w:cs="Calibri"/>
          <w:b/>
          <w:bCs/>
        </w:rPr>
        <w:t>.</w:t>
      </w:r>
    </w:p>
    <w:p w14:paraId="2F0B672B" w14:textId="77777777" w:rsidR="003F35FB" w:rsidRPr="003F35FB" w:rsidRDefault="003F35FB" w:rsidP="003F35FB">
      <w:pPr>
        <w:pStyle w:val="PargrafodaLista"/>
        <w:keepNext/>
        <w:widowControl w:val="0"/>
        <w:suppressAutoHyphens/>
        <w:spacing w:after="120" w:line="288" w:lineRule="auto"/>
        <w:ind w:left="567"/>
        <w:rPr>
          <w:rFonts w:cs="Calibri"/>
        </w:rPr>
      </w:pPr>
    </w:p>
    <w:p w14:paraId="4DD570C1" w14:textId="3AC062C0" w:rsidR="004669AC" w:rsidRDefault="006659C7" w:rsidP="006659C7">
      <w:pPr>
        <w:pStyle w:val="BodyA"/>
        <w:widowControl w:val="0"/>
        <w:suppressAutoHyphens/>
        <w:spacing w:after="240" w:line="288" w:lineRule="auto"/>
      </w:pPr>
      <w:r>
        <w:t>A</w:t>
      </w:r>
      <w:r w:rsidR="00623336">
        <w:t xml:space="preserve"> R</w:t>
      </w:r>
      <w:r w:rsidR="00C471BC" w:rsidRPr="009815BB">
        <w:t>EDUNIQ, a maior rede</w:t>
      </w:r>
      <w:r w:rsidR="00CB652A">
        <w:t xml:space="preserve"> nacional</w:t>
      </w:r>
      <w:r w:rsidR="00C471BC" w:rsidRPr="009815BB">
        <w:t xml:space="preserve"> de aceitação </w:t>
      </w:r>
      <w:r w:rsidR="0063222A" w:rsidRPr="0063222A">
        <w:t>de cartões nacionais e estrangeiros</w:t>
      </w:r>
      <w:r w:rsidR="00623336">
        <w:t>,</w:t>
      </w:r>
      <w:r w:rsidR="00DC7929">
        <w:t xml:space="preserve"> acaba de divulgar o seu mais recente relatório que analisa a evolução das transações dos negócios em Portugal desde o início da pandemia.</w:t>
      </w:r>
    </w:p>
    <w:p w14:paraId="01994642" w14:textId="4ACA5EE3" w:rsidR="00DC7929" w:rsidRDefault="00DC7929" w:rsidP="006659C7">
      <w:pPr>
        <w:pStyle w:val="BodyA"/>
        <w:widowControl w:val="0"/>
        <w:suppressAutoHyphens/>
        <w:spacing w:after="240" w:line="288" w:lineRule="auto"/>
      </w:pPr>
      <w:r>
        <w:t>De acordo com o documento, que utiliza fevereiro como base de comparação (último mês anterior à pandemia), o mês de junho destacou-se por registar valores transacionais próximos dos valores registados antes da chegada da Covid-19 a Portugal. Ao nível do número d</w:t>
      </w:r>
      <w:r w:rsidR="000D7FE8">
        <w:t>as</w:t>
      </w:r>
      <w:r>
        <w:t xml:space="preserve"> transações, o mês </w:t>
      </w:r>
      <w:r w:rsidR="000D7FE8">
        <w:t xml:space="preserve">passado </w:t>
      </w:r>
      <w:r>
        <w:t>alcançou 89% do total registado em fevereiro, enquanto que o montante total de faturação esteve na ordem dos 93% dos valores atingidos no segundo mês do ano. Da mesma forma, o número de pontos de venda também se aproximou dos valores anteriores à pandemia (94%).</w:t>
      </w:r>
    </w:p>
    <w:p w14:paraId="7B72FC80" w14:textId="3FC372C4" w:rsidR="00DC7929" w:rsidRDefault="00DC7929" w:rsidP="006659C7">
      <w:pPr>
        <w:pStyle w:val="BodyA"/>
        <w:widowControl w:val="0"/>
        <w:suppressAutoHyphens/>
        <w:spacing w:after="240" w:line="288" w:lineRule="auto"/>
      </w:pPr>
      <w:r>
        <w:t xml:space="preserve">Para </w:t>
      </w:r>
      <w:r w:rsidRPr="002413C2">
        <w:rPr>
          <w:b/>
          <w:bCs/>
        </w:rPr>
        <w:t>Tiago Oom, Diretor da REDUNIQ</w:t>
      </w:r>
      <w:r>
        <w:t xml:space="preserve">, </w:t>
      </w:r>
      <w:r w:rsidR="002413C2" w:rsidRPr="002413C2">
        <w:rPr>
          <w:i/>
          <w:iCs/>
        </w:rPr>
        <w:t xml:space="preserve">“estes resultados refletem um crescimento significativo da atividade transacional do país </w:t>
      </w:r>
      <w:r w:rsidR="000D7FE8">
        <w:rPr>
          <w:i/>
          <w:iCs/>
        </w:rPr>
        <w:t xml:space="preserve">quando comparado com </w:t>
      </w:r>
      <w:r w:rsidR="002413C2" w:rsidRPr="002413C2">
        <w:rPr>
          <w:i/>
          <w:iCs/>
        </w:rPr>
        <w:t xml:space="preserve">o período mais crítico da pandemia, nomeadamente o mês de abril, em que se atingiu apenas 52% das transações </w:t>
      </w:r>
      <w:r w:rsidR="000D7FE8">
        <w:rPr>
          <w:i/>
          <w:iCs/>
        </w:rPr>
        <w:t>face</w:t>
      </w:r>
      <w:r w:rsidR="002413C2" w:rsidRPr="002413C2">
        <w:rPr>
          <w:i/>
          <w:iCs/>
        </w:rPr>
        <w:t xml:space="preserve"> </w:t>
      </w:r>
      <w:r w:rsidR="000D7FE8">
        <w:rPr>
          <w:i/>
          <w:iCs/>
        </w:rPr>
        <w:t>a</w:t>
      </w:r>
      <w:r w:rsidR="002413C2" w:rsidRPr="002413C2">
        <w:rPr>
          <w:i/>
          <w:iCs/>
        </w:rPr>
        <w:t>o mês de fevereiro, assim como a faturação só chegou aos 62% dos valores alcançados antes da pandemia. Para além disso, importa aferir que</w:t>
      </w:r>
      <w:r w:rsidR="000D7FE8">
        <w:rPr>
          <w:i/>
          <w:iCs/>
        </w:rPr>
        <w:t xml:space="preserve"> estes números demonstram igualmente que</w:t>
      </w:r>
      <w:r w:rsidR="002413C2" w:rsidRPr="002413C2">
        <w:rPr>
          <w:i/>
          <w:iCs/>
        </w:rPr>
        <w:t xml:space="preserve">, após um período de </w:t>
      </w:r>
      <w:proofErr w:type="spellStart"/>
      <w:r w:rsidR="002413C2" w:rsidRPr="002413C2">
        <w:rPr>
          <w:i/>
          <w:iCs/>
        </w:rPr>
        <w:t>desconfinamento</w:t>
      </w:r>
      <w:proofErr w:type="spellEnd"/>
      <w:r w:rsidR="002413C2" w:rsidRPr="002413C2">
        <w:rPr>
          <w:i/>
          <w:iCs/>
        </w:rPr>
        <w:t xml:space="preserve"> faseado, os portugueses estão cada vez mais a regressar aos seus hábitos de consumo quotidianos e a retomar as suas atividades de lazer (como regressar </w:t>
      </w:r>
      <w:r w:rsidR="002413C2" w:rsidRPr="002413C2">
        <w:rPr>
          <w:i/>
          <w:iCs/>
        </w:rPr>
        <w:lastRenderedPageBreak/>
        <w:t xml:space="preserve">aos ginásios, jantar fora, </w:t>
      </w:r>
      <w:r w:rsidR="000D7FE8">
        <w:rPr>
          <w:i/>
          <w:iCs/>
        </w:rPr>
        <w:t>etc.</w:t>
      </w:r>
      <w:r w:rsidR="002413C2" w:rsidRPr="002413C2">
        <w:rPr>
          <w:i/>
          <w:iCs/>
        </w:rPr>
        <w:t xml:space="preserve">), </w:t>
      </w:r>
      <w:r w:rsidR="000D7FE8">
        <w:rPr>
          <w:i/>
          <w:iCs/>
        </w:rPr>
        <w:t xml:space="preserve">respeitando sempre </w:t>
      </w:r>
      <w:r w:rsidR="002413C2" w:rsidRPr="002413C2">
        <w:rPr>
          <w:i/>
          <w:iCs/>
        </w:rPr>
        <w:t>as recomendações impostas pelas autoridades</w:t>
      </w:r>
      <w:r w:rsidR="002413C2">
        <w:rPr>
          <w:i/>
          <w:iCs/>
        </w:rPr>
        <w:t xml:space="preserve"> de saúde</w:t>
      </w:r>
      <w:r w:rsidR="002413C2" w:rsidRPr="002413C2">
        <w:rPr>
          <w:i/>
          <w:iCs/>
        </w:rPr>
        <w:t>”</w:t>
      </w:r>
      <w:r w:rsidR="002413C2">
        <w:t>.</w:t>
      </w:r>
    </w:p>
    <w:p w14:paraId="342A3A06" w14:textId="7F724C80" w:rsidR="004669AC" w:rsidRDefault="00410916" w:rsidP="006659C7">
      <w:pPr>
        <w:pStyle w:val="BodyA"/>
        <w:widowControl w:val="0"/>
        <w:suppressAutoHyphens/>
        <w:spacing w:after="240" w:line="288" w:lineRule="auto"/>
      </w:pPr>
      <w:r>
        <w:t xml:space="preserve">Já quando analisadas as primeiras três semanas de julho, verifica-se que a evolução transacional em Portugal </w:t>
      </w:r>
      <w:r w:rsidR="000D7FE8">
        <w:t>regista valores próximos ou superiores aos do período anterior à pandemia</w:t>
      </w:r>
      <w:r>
        <w:t>, sendo que na semana</w:t>
      </w:r>
      <w:r w:rsidR="006546D2">
        <w:t xml:space="preserve"> </w:t>
      </w:r>
      <w:r>
        <w:t xml:space="preserve">de 12 a 18 de julho, o número de transações atingiu o total </w:t>
      </w:r>
      <w:r w:rsidR="000D7FE8">
        <w:t>de operações efetuadas n</w:t>
      </w:r>
      <w:r>
        <w:t>a primeira semana de março (semana em que se registaram os primeiros casos do novo coronavírus em Portugal). Com semelhante tendência, o total faturado pelos negócios</w:t>
      </w:r>
      <w:r w:rsidR="000D7FE8">
        <w:t xml:space="preserve"> na </w:t>
      </w:r>
      <w:r w:rsidR="006546D2">
        <w:t>terceira semana de julho</w:t>
      </w:r>
      <w:r>
        <w:t xml:space="preserve"> superou 5% do total registado de 1 a 7 de março, sendo esta a segunda semana em que esta superação ocorre (de 5 a 11 de julho, a faturação teve mais 1% do que o total da primeira semana de março).</w:t>
      </w:r>
    </w:p>
    <w:p w14:paraId="5839C3DF" w14:textId="16517905" w:rsidR="00410916" w:rsidRDefault="000D7FE8" w:rsidP="006659C7">
      <w:pPr>
        <w:pStyle w:val="BodyA"/>
        <w:widowControl w:val="0"/>
        <w:suppressAutoHyphens/>
        <w:spacing w:after="240" w:line="288" w:lineRule="auto"/>
      </w:pPr>
      <w:r>
        <w:t xml:space="preserve">Tiago Oom destaca ainda o facto de a </w:t>
      </w:r>
      <w:r w:rsidRPr="000D7FE8">
        <w:rPr>
          <w:i/>
          <w:iCs/>
        </w:rPr>
        <w:t>“</w:t>
      </w:r>
      <w:r w:rsidR="009B0377" w:rsidRPr="000D7FE8">
        <w:rPr>
          <w:i/>
          <w:iCs/>
        </w:rPr>
        <w:t>faturação te</w:t>
      </w:r>
      <w:r w:rsidRPr="000D7FE8">
        <w:rPr>
          <w:i/>
          <w:iCs/>
        </w:rPr>
        <w:t>r</w:t>
      </w:r>
      <w:r w:rsidR="009B0377" w:rsidRPr="000D7FE8">
        <w:rPr>
          <w:i/>
          <w:iCs/>
        </w:rPr>
        <w:t xml:space="preserve"> crescido consecutivamente em Portugal </w:t>
      </w:r>
      <w:r w:rsidR="006546D2">
        <w:rPr>
          <w:i/>
          <w:iCs/>
        </w:rPr>
        <w:t xml:space="preserve">durante </w:t>
      </w:r>
      <w:r w:rsidR="009B0377" w:rsidRPr="000D7FE8">
        <w:rPr>
          <w:i/>
          <w:iCs/>
        </w:rPr>
        <w:t xml:space="preserve">cinco semanas, tendo-se registado o maior aumento na semana de 28 de junho a 4 de julho, em que o valor total faturado subiu </w:t>
      </w:r>
      <w:r w:rsidR="00581297" w:rsidRPr="000D7FE8">
        <w:rPr>
          <w:i/>
          <w:iCs/>
        </w:rPr>
        <w:t>10</w:t>
      </w:r>
      <w:r w:rsidR="009B0377" w:rsidRPr="000D7FE8">
        <w:rPr>
          <w:i/>
          <w:iCs/>
        </w:rPr>
        <w:t>% em relação à semana anterior</w:t>
      </w:r>
      <w:r w:rsidRPr="000D7FE8">
        <w:rPr>
          <w:i/>
          <w:iCs/>
        </w:rPr>
        <w:t>”</w:t>
      </w:r>
      <w:r w:rsidR="009B0377">
        <w:t>.</w:t>
      </w:r>
    </w:p>
    <w:p w14:paraId="55169C8E" w14:textId="5E163A7B" w:rsidR="00581297" w:rsidRDefault="00581297" w:rsidP="006659C7">
      <w:pPr>
        <w:pStyle w:val="BodyA"/>
        <w:widowControl w:val="0"/>
        <w:suppressAutoHyphens/>
        <w:spacing w:after="240" w:line="288" w:lineRule="auto"/>
      </w:pPr>
      <w:r>
        <w:t xml:space="preserve">Feita </w:t>
      </w:r>
      <w:r w:rsidR="000D7FE8">
        <w:t xml:space="preserve">uma análise mais detalhada à </w:t>
      </w:r>
      <w:r>
        <w:t>faturação estrangeira</w:t>
      </w:r>
      <w:r w:rsidR="000D7FE8">
        <w:t xml:space="preserve"> no país</w:t>
      </w:r>
      <w:r>
        <w:t xml:space="preserve">, nota-se </w:t>
      </w:r>
      <w:r w:rsidR="000D7FE8">
        <w:t>um</w:t>
      </w:r>
      <w:r>
        <w:t xml:space="preserve"> contraste entre os valores registados este ano face ao período homólogo. Em termos percentuais, os valores alcançados pela faturação estrangeira representa</w:t>
      </w:r>
      <w:r w:rsidR="009A7039">
        <w:t>ra</w:t>
      </w:r>
      <w:r>
        <w:t xml:space="preserve">m </w:t>
      </w:r>
      <w:r w:rsidR="000D7FE8">
        <w:t>n</w:t>
      </w:r>
      <w:r>
        <w:t>este mês de junho apenas 10,41% do total da faturação dos negócios, enquanto que no m</w:t>
      </w:r>
      <w:r w:rsidR="000D7FE8">
        <w:t>esmo</w:t>
      </w:r>
      <w:r>
        <w:t xml:space="preserve"> período de 2019 esse peso estava nos 25,62%. Apesar deste cenário, observa-se uma recuperação da faturação estrangeira entre junho e julho, </w:t>
      </w:r>
      <w:r w:rsidR="000D7FE8">
        <w:t xml:space="preserve">de </w:t>
      </w:r>
      <w:r>
        <w:t>5,90% da faturação total</w:t>
      </w:r>
      <w:r w:rsidR="000D7FE8">
        <w:t xml:space="preserve"> para 10,41%</w:t>
      </w:r>
      <w:r>
        <w:t>.</w:t>
      </w:r>
    </w:p>
    <w:p w14:paraId="2CB18FE6" w14:textId="08AD76BA" w:rsidR="00581297" w:rsidRDefault="00581297" w:rsidP="006659C7">
      <w:pPr>
        <w:pStyle w:val="BodyA"/>
        <w:widowControl w:val="0"/>
        <w:suppressAutoHyphens/>
        <w:spacing w:after="240" w:line="288" w:lineRule="auto"/>
      </w:pPr>
      <w:r>
        <w:t xml:space="preserve">Para explicar estes resultados, Tiago Oom refere dois fenómenos: </w:t>
      </w:r>
      <w:r w:rsidRPr="00C32E93">
        <w:rPr>
          <w:i/>
          <w:iCs/>
        </w:rPr>
        <w:t xml:space="preserve">“Por um lado, os baixos níveis de </w:t>
      </w:r>
      <w:r w:rsidR="00C32E93" w:rsidRPr="00C32E93">
        <w:rPr>
          <w:i/>
          <w:iCs/>
        </w:rPr>
        <w:t xml:space="preserve">representação da faturação estrangeira na faturação total dos negócios, em comparação com o ano passado, devem-se ao efeito de ‘desaparecimento’ do turismo em Portugal, uma tendência que </w:t>
      </w:r>
      <w:r w:rsidR="00911237">
        <w:rPr>
          <w:i/>
          <w:iCs/>
        </w:rPr>
        <w:t xml:space="preserve">tem </w:t>
      </w:r>
      <w:r w:rsidR="00C32E93" w:rsidRPr="00C32E93">
        <w:rPr>
          <w:i/>
          <w:iCs/>
        </w:rPr>
        <w:t>gera</w:t>
      </w:r>
      <w:r w:rsidR="00911237">
        <w:rPr>
          <w:i/>
          <w:iCs/>
        </w:rPr>
        <w:t>do</w:t>
      </w:r>
      <w:r w:rsidR="00C32E93" w:rsidRPr="00C32E93">
        <w:rPr>
          <w:i/>
          <w:iCs/>
        </w:rPr>
        <w:t xml:space="preserve"> um maior impacto nos meses de verão em que esta atividade é habitualmente maior. Por outro lado, começa-se a sentir uma gradual recuperação dessa mesma faturação desde a abertura das fronteiras, apesar de ainda não trazer consequências significativas ao setor do turismo, dadas as restrições de circulação </w:t>
      </w:r>
      <w:r w:rsidR="009A7039">
        <w:rPr>
          <w:i/>
          <w:iCs/>
        </w:rPr>
        <w:t>aé</w:t>
      </w:r>
      <w:r w:rsidR="00C32E93" w:rsidRPr="00C32E93">
        <w:rPr>
          <w:i/>
          <w:iCs/>
        </w:rPr>
        <w:t xml:space="preserve">rea de alguns países ou as recomendações </w:t>
      </w:r>
      <w:r w:rsidR="00911237">
        <w:rPr>
          <w:i/>
          <w:iCs/>
        </w:rPr>
        <w:t>para</w:t>
      </w:r>
      <w:r w:rsidR="00C32E93" w:rsidRPr="00C32E93">
        <w:rPr>
          <w:i/>
          <w:iCs/>
        </w:rPr>
        <w:t xml:space="preserve"> goz</w:t>
      </w:r>
      <w:r w:rsidR="00911237">
        <w:rPr>
          <w:i/>
          <w:iCs/>
        </w:rPr>
        <w:t>ar as</w:t>
      </w:r>
      <w:r w:rsidR="00C32E93" w:rsidRPr="00C32E93">
        <w:rPr>
          <w:i/>
          <w:iCs/>
        </w:rPr>
        <w:t xml:space="preserve"> férias </w:t>
      </w:r>
      <w:r w:rsidR="00911237">
        <w:rPr>
          <w:i/>
          <w:iCs/>
        </w:rPr>
        <w:t>no</w:t>
      </w:r>
      <w:r w:rsidR="00C32E93" w:rsidRPr="00C32E93">
        <w:rPr>
          <w:i/>
          <w:iCs/>
        </w:rPr>
        <w:t xml:space="preserve"> país</w:t>
      </w:r>
      <w:r w:rsidR="00911237">
        <w:rPr>
          <w:i/>
          <w:iCs/>
        </w:rPr>
        <w:t xml:space="preserve"> de residência</w:t>
      </w:r>
      <w:r w:rsidR="00C32E93" w:rsidRPr="00C32E93">
        <w:rPr>
          <w:i/>
          <w:iCs/>
        </w:rPr>
        <w:t>.”</w:t>
      </w:r>
    </w:p>
    <w:p w14:paraId="7F2D39AB" w14:textId="544CB842" w:rsidR="00911237" w:rsidRDefault="00911237" w:rsidP="006659C7">
      <w:pPr>
        <w:pStyle w:val="BodyA"/>
        <w:widowControl w:val="0"/>
        <w:suppressAutoHyphens/>
        <w:spacing w:after="240" w:line="288" w:lineRule="auto"/>
      </w:pPr>
      <w:r>
        <w:t xml:space="preserve">Já </w:t>
      </w:r>
      <w:r w:rsidR="000B52F4">
        <w:t>em relação à</w:t>
      </w:r>
      <w:r>
        <w:t xml:space="preserve"> análise dos diferentes setores, verifica-se que de junho para julho se registou uma recuperação </w:t>
      </w:r>
      <w:r w:rsidR="009D4FD5">
        <w:t>da variação homóloga</w:t>
      </w:r>
      <w:r w:rsidR="000B52F4">
        <w:t xml:space="preserve"> em quase todos os setores analisados (à exceção da área da saúde), sendo que seis setores obtiveram este mês uma </w:t>
      </w:r>
      <w:r w:rsidR="000B52F4" w:rsidRPr="000B52F4">
        <w:t>variação homóloga positiva</w:t>
      </w:r>
      <w:r w:rsidR="000B52F4">
        <w:t>, com destaque para as farmácias (56%), o retalho alimentar tradicional (35%), e os eletrodomésticos e tecnologia (25%).</w:t>
      </w:r>
    </w:p>
    <w:p w14:paraId="1E45B177" w14:textId="3F3031A4" w:rsidR="000B52F4" w:rsidRDefault="000B52F4" w:rsidP="006659C7">
      <w:pPr>
        <w:pStyle w:val="BodyA"/>
        <w:widowControl w:val="0"/>
        <w:suppressAutoHyphens/>
        <w:spacing w:after="240" w:line="288" w:lineRule="auto"/>
      </w:pPr>
      <w:r>
        <w:t xml:space="preserve">Sobre a evolução do número de pontos de venda ativos por setor, verificou-se na sua generalidade uma </w:t>
      </w:r>
      <w:r w:rsidRPr="000B52F4">
        <w:t>recuperação na abertura de praticamente todos os pontos de venda</w:t>
      </w:r>
      <w:r>
        <w:t xml:space="preserve">, tendo </w:t>
      </w:r>
      <w:r>
        <w:lastRenderedPageBreak/>
        <w:t xml:space="preserve">como referência os </w:t>
      </w:r>
      <w:r w:rsidR="009A7039">
        <w:t>números</w:t>
      </w:r>
      <w:r>
        <w:t xml:space="preserve"> de fevereiro. O único setor que contraria esta tendência é o da hotelaria e atividades turísticas</w:t>
      </w:r>
      <w:r w:rsidR="009A7039">
        <w:t>,</w:t>
      </w:r>
      <w:r>
        <w:t xml:space="preserve"> que se encontra a operar 20% abaixo do valor observado em fevereiro, apesar de estar a recuperar desde abril, mês em que registou apenas 32% de pontos de venda ativos.</w:t>
      </w:r>
      <w:r w:rsidR="00414A33">
        <w:t xml:space="preserve"> Já ao nível de perdas acumuladas desde o início do ano até 18 de julho (em comparação com o ano anterior), este setor alcança perdas na ordem dos 69%.</w:t>
      </w:r>
    </w:p>
    <w:p w14:paraId="5D7B0A0B" w14:textId="3F7E7300" w:rsidR="004669AC" w:rsidRPr="00945826" w:rsidRDefault="000B52F4" w:rsidP="004669AC">
      <w:pPr>
        <w:pStyle w:val="BodyA"/>
        <w:widowControl w:val="0"/>
        <w:suppressAutoHyphens/>
        <w:spacing w:after="240" w:line="288" w:lineRule="auto"/>
      </w:pPr>
      <w:r w:rsidRPr="00945826">
        <w:rPr>
          <w:i/>
          <w:iCs/>
        </w:rPr>
        <w:t xml:space="preserve">“Este é de facto um cenário preocupante, sobretudo num setor que em 2019 já representava 8,7% </w:t>
      </w:r>
      <w:r w:rsidR="00945826" w:rsidRPr="00945826">
        <w:rPr>
          <w:i/>
          <w:iCs/>
        </w:rPr>
        <w:t>d</w:t>
      </w:r>
      <w:r w:rsidRPr="00945826">
        <w:rPr>
          <w:i/>
          <w:iCs/>
        </w:rPr>
        <w:t>o PIB nacional.</w:t>
      </w:r>
      <w:r w:rsidR="00945826" w:rsidRPr="00945826">
        <w:rPr>
          <w:i/>
          <w:iCs/>
        </w:rPr>
        <w:t xml:space="preserve"> Contudo, a</w:t>
      </w:r>
      <w:r w:rsidR="004669AC" w:rsidRPr="00945826">
        <w:rPr>
          <w:i/>
          <w:iCs/>
        </w:rPr>
        <w:t xml:space="preserve">pesar da grande quebra </w:t>
      </w:r>
      <w:r w:rsidR="00945826" w:rsidRPr="00945826">
        <w:rPr>
          <w:i/>
          <w:iCs/>
        </w:rPr>
        <w:t xml:space="preserve">na </w:t>
      </w:r>
      <w:r w:rsidR="004669AC" w:rsidRPr="00945826">
        <w:rPr>
          <w:i/>
          <w:iCs/>
        </w:rPr>
        <w:t>hotelaria, o setor encontra-se em crescimento</w:t>
      </w:r>
      <w:r w:rsidR="00945826" w:rsidRPr="00945826">
        <w:rPr>
          <w:i/>
          <w:iCs/>
        </w:rPr>
        <w:t xml:space="preserve"> há quatro semanas consecutivas, c</w:t>
      </w:r>
      <w:r w:rsidR="004669AC" w:rsidRPr="00945826">
        <w:rPr>
          <w:i/>
          <w:iCs/>
        </w:rPr>
        <w:t>om destaque para a semana da abertura das fronteiras, em que o crescimento da faturação rondou os 40% face à semana anterior</w:t>
      </w:r>
      <w:r w:rsidR="00945826" w:rsidRPr="00945826">
        <w:rPr>
          <w:i/>
          <w:iCs/>
        </w:rPr>
        <w:t>”</w:t>
      </w:r>
      <w:r w:rsidR="00945826">
        <w:t>, destaca o Diretor da REDUNIQ.</w:t>
      </w:r>
    </w:p>
    <w:p w14:paraId="374017A2" w14:textId="76759A36" w:rsidR="00945826" w:rsidRDefault="00945826" w:rsidP="004669AC">
      <w:pPr>
        <w:pStyle w:val="BodyA"/>
        <w:widowControl w:val="0"/>
        <w:suppressAutoHyphens/>
        <w:spacing w:after="240" w:line="288" w:lineRule="auto"/>
      </w:pPr>
      <w:r>
        <w:t xml:space="preserve">Para além da hotelaria, também a moda, as perfumarias e a restauração estão a sentir os efeitos da pandemia na sua faturação, com perdas acumuladas até 18 de julho e face a 2019 de 46, 43 </w:t>
      </w:r>
      <w:r w:rsidRPr="006546D2">
        <w:t xml:space="preserve">e </w:t>
      </w:r>
      <w:r w:rsidR="00B3345E" w:rsidRPr="006546D2">
        <w:t>3</w:t>
      </w:r>
      <w:r w:rsidRPr="006546D2">
        <w:t>8%, respetivamente</w:t>
      </w:r>
      <w:r>
        <w:t>.</w:t>
      </w:r>
    </w:p>
    <w:p w14:paraId="7396C2AF" w14:textId="6B10B3E2" w:rsidR="00D94EBF" w:rsidRDefault="00945826" w:rsidP="00764788">
      <w:pPr>
        <w:pStyle w:val="BodyA"/>
        <w:widowControl w:val="0"/>
        <w:suppressAutoHyphens/>
        <w:rPr>
          <w:rStyle w:val="None"/>
        </w:rPr>
      </w:pPr>
      <w:r>
        <w:rPr>
          <w:rStyle w:val="None"/>
        </w:rPr>
        <w:t xml:space="preserve">Por fim, uma das grandes tendências nos pagamentos que a pandemia veio reforçar foi a utilização do </w:t>
      </w:r>
      <w:proofErr w:type="spellStart"/>
      <w:r>
        <w:rPr>
          <w:rStyle w:val="None"/>
          <w:i/>
          <w:iCs/>
        </w:rPr>
        <w:t>contactless</w:t>
      </w:r>
      <w:proofErr w:type="spellEnd"/>
      <w:r>
        <w:rPr>
          <w:rStyle w:val="None"/>
          <w:i/>
          <w:iCs/>
        </w:rPr>
        <w:t xml:space="preserve">, </w:t>
      </w:r>
      <w:r>
        <w:rPr>
          <w:rStyle w:val="None"/>
        </w:rPr>
        <w:t xml:space="preserve">que só este mês teve um crescimento de 262% face ao período homólogo. Atualmente, os pagamentos </w:t>
      </w:r>
      <w:r w:rsidR="009A7039">
        <w:rPr>
          <w:rStyle w:val="None"/>
        </w:rPr>
        <w:t>efetuados através d</w:t>
      </w:r>
      <w:r>
        <w:rPr>
          <w:rStyle w:val="None"/>
        </w:rPr>
        <w:t xml:space="preserve">esta tecnologia têm um </w:t>
      </w:r>
      <w:r w:rsidR="009A7039">
        <w:rPr>
          <w:rStyle w:val="None"/>
        </w:rPr>
        <w:t xml:space="preserve">peso </w:t>
      </w:r>
      <w:r>
        <w:rPr>
          <w:rStyle w:val="None"/>
        </w:rPr>
        <w:t>de 26% na faturação total, enquanto que em julho de 2019 essa percentagem era de apenas 6%.</w:t>
      </w:r>
    </w:p>
    <w:p w14:paraId="50C34951" w14:textId="77777777" w:rsidR="00945826" w:rsidRPr="00945826" w:rsidRDefault="00945826" w:rsidP="00764788">
      <w:pPr>
        <w:pStyle w:val="BodyA"/>
        <w:widowControl w:val="0"/>
        <w:suppressAutoHyphens/>
        <w:rPr>
          <w:rStyle w:val="None"/>
        </w:rPr>
      </w:pPr>
    </w:p>
    <w:p w14:paraId="6190B49B" w14:textId="48C1DF8E" w:rsidR="00805F09" w:rsidRDefault="00BA13A0" w:rsidP="00764788">
      <w:pPr>
        <w:pStyle w:val="BodyA"/>
        <w:spacing w:after="80" w:line="288" w:lineRule="auto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Sobre a UNICRE:</w:t>
      </w:r>
    </w:p>
    <w:p w14:paraId="076D985F" w14:textId="77F3121E" w:rsidR="00805F09" w:rsidRDefault="00BA13A0" w:rsidP="00764788">
      <w:pPr>
        <w:pStyle w:val="BodyA"/>
        <w:spacing w:after="240" w:line="288" w:lineRule="auto"/>
        <w:rPr>
          <w:rStyle w:val="None"/>
          <w:i/>
          <w:iCs/>
          <w:sz w:val="20"/>
          <w:szCs w:val="20"/>
        </w:rPr>
      </w:pPr>
      <w:r>
        <w:rPr>
          <w:rStyle w:val="None"/>
          <w:sz w:val="20"/>
          <w:szCs w:val="20"/>
        </w:rPr>
        <w:t xml:space="preserve">A UNICRE </w:t>
      </w:r>
      <w:r>
        <w:rPr>
          <w:rStyle w:val="None"/>
          <w:sz w:val="20"/>
          <w:szCs w:val="20"/>
          <w:lang w:val="fr-FR"/>
        </w:rPr>
        <w:t xml:space="preserve">é </w:t>
      </w:r>
      <w:r>
        <w:rPr>
          <w:rStyle w:val="None"/>
          <w:sz w:val="20"/>
          <w:szCs w:val="20"/>
        </w:rPr>
        <w:t xml:space="preserve">uma instituição portuguesa que atua no setor financeiro, especialista na gestão, </w:t>
      </w:r>
      <w:proofErr w:type="spellStart"/>
      <w:r>
        <w:rPr>
          <w:rStyle w:val="None"/>
          <w:sz w:val="20"/>
          <w:szCs w:val="20"/>
        </w:rPr>
        <w:t>emissã</w:t>
      </w:r>
      <w:proofErr w:type="spellEnd"/>
      <w:r>
        <w:rPr>
          <w:rStyle w:val="None"/>
          <w:sz w:val="20"/>
          <w:szCs w:val="20"/>
          <w:lang w:val="it-IT"/>
        </w:rPr>
        <w:t>o e disponibiliza</w:t>
      </w:r>
      <w:proofErr w:type="spellStart"/>
      <w:r>
        <w:rPr>
          <w:rStyle w:val="None"/>
          <w:sz w:val="20"/>
          <w:szCs w:val="20"/>
        </w:rPr>
        <w:t>ção</w:t>
      </w:r>
      <w:proofErr w:type="spellEnd"/>
      <w:r>
        <w:rPr>
          <w:rStyle w:val="None"/>
          <w:sz w:val="20"/>
          <w:szCs w:val="20"/>
        </w:rPr>
        <w:t xml:space="preserve"> de soluções de pagamento, cartões de pagamento e </w:t>
      </w:r>
      <w:proofErr w:type="spellStart"/>
      <w:r>
        <w:rPr>
          <w:rStyle w:val="None"/>
          <w:sz w:val="20"/>
          <w:szCs w:val="20"/>
        </w:rPr>
        <w:t>cr</w:t>
      </w:r>
      <w:proofErr w:type="spellEnd"/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dito ao consumo. Com uma experiência de 45 anos, </w:t>
      </w:r>
      <w:proofErr w:type="spellStart"/>
      <w:r>
        <w:rPr>
          <w:rStyle w:val="None"/>
          <w:sz w:val="20"/>
          <w:szCs w:val="20"/>
        </w:rPr>
        <w:t>det</w:t>
      </w:r>
      <w:proofErr w:type="spellEnd"/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m a marca UNIBANCO, responsável pela emissão de </w:t>
      </w:r>
      <w:proofErr w:type="spellStart"/>
      <w:r>
        <w:rPr>
          <w:rStyle w:val="None"/>
          <w:sz w:val="20"/>
          <w:szCs w:val="20"/>
        </w:rPr>
        <w:t>cartõ</w:t>
      </w:r>
      <w:proofErr w:type="spellEnd"/>
      <w:r>
        <w:rPr>
          <w:rStyle w:val="None"/>
          <w:sz w:val="20"/>
          <w:szCs w:val="20"/>
          <w:lang w:val="fr-FR"/>
        </w:rPr>
        <w:t xml:space="preserve">es de </w:t>
      </w:r>
      <w:proofErr w:type="spellStart"/>
      <w:r>
        <w:rPr>
          <w:rStyle w:val="None"/>
          <w:sz w:val="20"/>
          <w:szCs w:val="20"/>
          <w:lang w:val="fr-FR"/>
        </w:rPr>
        <w:t>cré</w:t>
      </w:r>
      <w:proofErr w:type="spellEnd"/>
      <w:r>
        <w:rPr>
          <w:rStyle w:val="None"/>
          <w:sz w:val="20"/>
          <w:szCs w:val="20"/>
          <w:lang w:val="it-IT"/>
        </w:rPr>
        <w:t>dito, cart</w:t>
      </w:r>
      <w:r>
        <w:rPr>
          <w:rStyle w:val="None"/>
          <w:sz w:val="20"/>
          <w:szCs w:val="20"/>
        </w:rPr>
        <w:t>õ</w:t>
      </w:r>
      <w:r>
        <w:rPr>
          <w:rStyle w:val="None"/>
          <w:sz w:val="20"/>
          <w:szCs w:val="20"/>
          <w:lang w:val="fr-FR"/>
        </w:rPr>
        <w:t>es pré</w:t>
      </w:r>
      <w:r>
        <w:rPr>
          <w:rStyle w:val="None"/>
          <w:sz w:val="20"/>
          <w:szCs w:val="20"/>
        </w:rPr>
        <w:t xml:space="preserve">-pagos, cartões </w:t>
      </w:r>
      <w:proofErr w:type="spellStart"/>
      <w:r>
        <w:rPr>
          <w:rStyle w:val="None"/>
          <w:sz w:val="20"/>
          <w:szCs w:val="20"/>
        </w:rPr>
        <w:t>refeiçã</w:t>
      </w:r>
      <w:proofErr w:type="spellEnd"/>
      <w:r>
        <w:rPr>
          <w:rStyle w:val="None"/>
          <w:sz w:val="20"/>
          <w:szCs w:val="20"/>
          <w:lang w:val="it-IT"/>
        </w:rPr>
        <w:t>o, cr</w:t>
      </w:r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dito pessoal e </w:t>
      </w:r>
      <w:proofErr w:type="spellStart"/>
      <w:r>
        <w:rPr>
          <w:rStyle w:val="None"/>
          <w:sz w:val="20"/>
          <w:szCs w:val="20"/>
        </w:rPr>
        <w:t>cr</w:t>
      </w:r>
      <w:proofErr w:type="spellEnd"/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>dito consolidado, e a marca REDUNIQ, que disponibiliza soluções de aceitação de pagamentos para loja física ou com</w:t>
      </w:r>
      <w:r>
        <w:rPr>
          <w:rStyle w:val="None"/>
          <w:sz w:val="20"/>
          <w:szCs w:val="20"/>
          <w:lang w:val="fr-FR"/>
        </w:rPr>
        <w:t>é</w:t>
      </w:r>
      <w:proofErr w:type="spellStart"/>
      <w:r>
        <w:rPr>
          <w:rStyle w:val="None"/>
          <w:sz w:val="20"/>
          <w:szCs w:val="20"/>
        </w:rPr>
        <w:t>rcio</w:t>
      </w:r>
      <w:proofErr w:type="spellEnd"/>
      <w:r>
        <w:rPr>
          <w:rStyle w:val="None"/>
          <w:sz w:val="20"/>
          <w:szCs w:val="20"/>
        </w:rPr>
        <w:t xml:space="preserve"> </w:t>
      </w:r>
      <w:r>
        <w:rPr>
          <w:rStyle w:val="None"/>
          <w:i/>
          <w:iCs/>
          <w:sz w:val="20"/>
          <w:szCs w:val="20"/>
        </w:rPr>
        <w:t>online.</w:t>
      </w:r>
    </w:p>
    <w:p w14:paraId="70AAE052" w14:textId="3BF49B96" w:rsidR="004922EA" w:rsidRDefault="004922EA" w:rsidP="00764788">
      <w:pPr>
        <w:pStyle w:val="BodyA"/>
        <w:spacing w:after="80" w:line="288" w:lineRule="auto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Sobre o REDUNIQ Insights:</w:t>
      </w:r>
    </w:p>
    <w:p w14:paraId="430B11DE" w14:textId="5E606242" w:rsidR="004922EA" w:rsidRDefault="004922EA" w:rsidP="00764788">
      <w:pPr>
        <w:pStyle w:val="BodyA"/>
        <w:rPr>
          <w:rStyle w:val="None"/>
          <w:i/>
          <w:iCs/>
          <w:sz w:val="20"/>
          <w:szCs w:val="20"/>
        </w:rPr>
      </w:pPr>
      <w:r w:rsidRPr="004922EA">
        <w:rPr>
          <w:rStyle w:val="None"/>
          <w:sz w:val="20"/>
          <w:szCs w:val="20"/>
        </w:rPr>
        <w:t>O REDUNIQ Insights é uma solução de conhecimento que pretende disponibilizar informação analítica aos clientes</w:t>
      </w:r>
      <w:r>
        <w:rPr>
          <w:rStyle w:val="None"/>
          <w:sz w:val="20"/>
          <w:szCs w:val="20"/>
        </w:rPr>
        <w:t xml:space="preserve"> da REDUNIQ, </w:t>
      </w:r>
      <w:r w:rsidRPr="004922EA">
        <w:rPr>
          <w:rStyle w:val="None"/>
          <w:sz w:val="20"/>
          <w:szCs w:val="20"/>
        </w:rPr>
        <w:t xml:space="preserve">a maior rede de aceitação de cartões nacionais e estrangeiros em Portugal, com base em informação do retalho nacional, suportando empresas na geração de </w:t>
      </w:r>
      <w:r w:rsidRPr="004922EA">
        <w:rPr>
          <w:rStyle w:val="None"/>
          <w:i/>
          <w:iCs/>
          <w:sz w:val="20"/>
          <w:szCs w:val="20"/>
        </w:rPr>
        <w:t>insights</w:t>
      </w:r>
      <w:r w:rsidRPr="004922EA">
        <w:rPr>
          <w:rStyle w:val="None"/>
          <w:sz w:val="20"/>
          <w:szCs w:val="20"/>
        </w:rPr>
        <w:t xml:space="preserve"> e na tomada de decisões de desenvolvimento de negócio. </w:t>
      </w:r>
      <w:r>
        <w:rPr>
          <w:rStyle w:val="None"/>
          <w:sz w:val="20"/>
          <w:szCs w:val="20"/>
        </w:rPr>
        <w:t xml:space="preserve">A REDUNIQ, que só em 2019, transacionou </w:t>
      </w:r>
      <w:r w:rsidRPr="004922EA">
        <w:rPr>
          <w:rStyle w:val="None"/>
          <w:sz w:val="20"/>
          <w:szCs w:val="20"/>
        </w:rPr>
        <w:t>20 mil milhões de euros em compras em 2019, num total de 539 milhões de transações</w:t>
      </w:r>
      <w:r>
        <w:rPr>
          <w:rStyle w:val="None"/>
          <w:sz w:val="20"/>
          <w:szCs w:val="20"/>
        </w:rPr>
        <w:t>,</w:t>
      </w:r>
      <w:r w:rsidRPr="004922EA">
        <w:rPr>
          <w:rStyle w:val="None"/>
          <w:sz w:val="20"/>
          <w:szCs w:val="20"/>
        </w:rPr>
        <w:t xml:space="preserve"> dispõe de informação detalhada sobre os perfis de consumo realizados em estabelecimentos servidos pela sua rede.</w:t>
      </w:r>
    </w:p>
    <w:p w14:paraId="127B23DF" w14:textId="77777777" w:rsidR="00805F09" w:rsidRPr="00484549" w:rsidRDefault="00805F09" w:rsidP="00764788">
      <w:pPr>
        <w:pStyle w:val="BodyA"/>
        <w:rPr>
          <w:rStyle w:val="None"/>
          <w:sz w:val="20"/>
          <w:szCs w:val="20"/>
        </w:rPr>
      </w:pPr>
    </w:p>
    <w:p w14:paraId="191BCDB3" w14:textId="7F958104" w:rsidR="00805F09" w:rsidRDefault="00BA13A0" w:rsidP="00764788">
      <w:pPr>
        <w:pStyle w:val="Rodap"/>
        <w:tabs>
          <w:tab w:val="clear" w:pos="8504"/>
          <w:tab w:val="right" w:pos="8478"/>
        </w:tabs>
        <w:spacing w:after="80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Para mais informações, contacte:</w:t>
      </w:r>
    </w:p>
    <w:p w14:paraId="5AAEFB88" w14:textId="77777777" w:rsidR="00805F09" w:rsidRDefault="00BA13A0" w:rsidP="00764788">
      <w:pPr>
        <w:pStyle w:val="Rodap"/>
        <w:tabs>
          <w:tab w:val="clear" w:pos="8504"/>
          <w:tab w:val="right" w:pos="8478"/>
        </w:tabs>
        <w:spacing w:after="0"/>
        <w:jc w:val="left"/>
        <w:rPr>
          <w:rStyle w:val="None"/>
          <w:sz w:val="20"/>
          <w:szCs w:val="20"/>
          <w:u w:val="single"/>
        </w:rPr>
      </w:pPr>
      <w:proofErr w:type="spellStart"/>
      <w:r>
        <w:rPr>
          <w:rStyle w:val="None"/>
          <w:sz w:val="20"/>
          <w:szCs w:val="20"/>
          <w:u w:val="single"/>
        </w:rPr>
        <w:t>Lift</w:t>
      </w:r>
      <w:proofErr w:type="spellEnd"/>
      <w:r>
        <w:rPr>
          <w:rStyle w:val="None"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sz w:val="20"/>
          <w:szCs w:val="20"/>
          <w:u w:val="single"/>
        </w:rPr>
        <w:t>Consulting</w:t>
      </w:r>
      <w:proofErr w:type="spellEnd"/>
    </w:p>
    <w:p w14:paraId="05F47065" w14:textId="0E1CE6C7" w:rsidR="00805F09" w:rsidRDefault="00240B98" w:rsidP="00764788">
      <w:pPr>
        <w:pStyle w:val="Rodap"/>
        <w:widowControl w:val="0"/>
        <w:tabs>
          <w:tab w:val="clear" w:pos="8504"/>
          <w:tab w:val="right" w:pos="8478"/>
        </w:tabs>
        <w:spacing w:after="0"/>
        <w:jc w:val="left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André Saramago</w:t>
      </w:r>
      <w:r w:rsidR="00BA13A0">
        <w:rPr>
          <w:rStyle w:val="None"/>
          <w:sz w:val="20"/>
          <w:szCs w:val="20"/>
        </w:rPr>
        <w:t xml:space="preserve"> | </w:t>
      </w:r>
      <w:r>
        <w:rPr>
          <w:rStyle w:val="None"/>
          <w:sz w:val="20"/>
          <w:szCs w:val="20"/>
        </w:rPr>
        <w:t>andre.saramago</w:t>
      </w:r>
      <w:r w:rsidR="00BA13A0">
        <w:rPr>
          <w:rStyle w:val="None"/>
          <w:sz w:val="20"/>
          <w:szCs w:val="20"/>
        </w:rPr>
        <w:t xml:space="preserve">@lift.com.pt | </w:t>
      </w:r>
      <w:r w:rsidRPr="00240B98">
        <w:rPr>
          <w:rStyle w:val="None"/>
          <w:sz w:val="20"/>
          <w:szCs w:val="20"/>
        </w:rPr>
        <w:t>912 896 471</w:t>
      </w:r>
    </w:p>
    <w:p w14:paraId="47BB665F" w14:textId="4191F91D" w:rsidR="00805F09" w:rsidRDefault="00BA13A0" w:rsidP="00764788">
      <w:pPr>
        <w:pStyle w:val="Rodap"/>
        <w:widowControl w:val="0"/>
        <w:tabs>
          <w:tab w:val="clear" w:pos="8504"/>
          <w:tab w:val="right" w:pos="8478"/>
        </w:tabs>
        <w:jc w:val="left"/>
      </w:pPr>
      <w:r>
        <w:rPr>
          <w:rStyle w:val="None"/>
          <w:sz w:val="20"/>
          <w:szCs w:val="20"/>
        </w:rPr>
        <w:t>Fábio Duarte | fabio.duarte@lift.com.pt | 911 774 428</w:t>
      </w:r>
      <w:bookmarkEnd w:id="0"/>
    </w:p>
    <w:sectPr w:rsidR="00805F09">
      <w:headerReference w:type="default" r:id="rId11"/>
      <w:footerReference w:type="default" r:id="rId12"/>
      <w:pgSz w:w="11900" w:h="16840"/>
      <w:pgMar w:top="1985" w:right="1701" w:bottom="1702" w:left="1701" w:header="708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9CEDB" w14:textId="77777777" w:rsidR="007B5DE8" w:rsidRDefault="007B5DE8">
      <w:r>
        <w:separator/>
      </w:r>
    </w:p>
  </w:endnote>
  <w:endnote w:type="continuationSeparator" w:id="0">
    <w:p w14:paraId="39B5D665" w14:textId="77777777" w:rsidR="007B5DE8" w:rsidRDefault="007B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97C2A" w14:textId="47ED75F3" w:rsidR="007568DB" w:rsidRDefault="007568DB">
    <w:pPr>
      <w:pStyle w:val="Rodap"/>
      <w:tabs>
        <w:tab w:val="clear" w:pos="8504"/>
        <w:tab w:val="right" w:pos="8478"/>
      </w:tabs>
      <w:jc w:val="right"/>
    </w:pPr>
    <w:r>
      <w:t xml:space="preserve">   </w:t>
    </w:r>
    <w:r w:rsidR="0058549D">
      <w:rPr>
        <w:noProof/>
      </w:rPr>
      <w:drawing>
        <wp:inline distT="0" distB="0" distL="0" distR="0" wp14:anchorId="28222123" wp14:editId="57CA942B">
          <wp:extent cx="1144270" cy="453507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536" cy="46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D246A" w14:textId="77777777" w:rsidR="007B5DE8" w:rsidRDefault="007B5DE8">
      <w:r>
        <w:separator/>
      </w:r>
    </w:p>
  </w:footnote>
  <w:footnote w:type="continuationSeparator" w:id="0">
    <w:p w14:paraId="302BBC25" w14:textId="77777777" w:rsidR="007B5DE8" w:rsidRDefault="007B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3901F" w14:textId="3017AA62" w:rsidR="007568DB" w:rsidRDefault="007568DB">
    <w:pPr>
      <w:pStyle w:val="Cabealho"/>
      <w:tabs>
        <w:tab w:val="clear" w:pos="8504"/>
        <w:tab w:val="right" w:pos="8478"/>
      </w:tabs>
    </w:pPr>
    <w:r>
      <w:rPr>
        <w:noProof/>
      </w:rPr>
      <w:drawing>
        <wp:inline distT="0" distB="0" distL="0" distR="0" wp14:anchorId="088AC153" wp14:editId="027CACCA">
          <wp:extent cx="4749025" cy="9735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53" cy="98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4B97"/>
    <w:multiLevelType w:val="hybridMultilevel"/>
    <w:tmpl w:val="0DC8FFB0"/>
    <w:numStyleLink w:val="ImportedStyle1"/>
  </w:abstractNum>
  <w:abstractNum w:abstractNumId="1" w15:restartNumberingAfterBreak="0">
    <w:nsid w:val="1E9C078D"/>
    <w:multiLevelType w:val="hybridMultilevel"/>
    <w:tmpl w:val="CC161F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73472A"/>
    <w:multiLevelType w:val="hybridMultilevel"/>
    <w:tmpl w:val="D026EE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994B49"/>
    <w:multiLevelType w:val="hybridMultilevel"/>
    <w:tmpl w:val="E83846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76CE9"/>
    <w:multiLevelType w:val="hybridMultilevel"/>
    <w:tmpl w:val="0DC8FFB0"/>
    <w:styleLink w:val="ImportedStyle1"/>
    <w:lvl w:ilvl="0" w:tplc="AF76E922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1" w:tplc="5792174A">
      <w:start w:val="1"/>
      <w:numFmt w:val="bullet"/>
      <w:lvlText w:val="o"/>
      <w:lvlJc w:val="left"/>
      <w:pPr>
        <w:ind w:left="86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2" w:tplc="C188071C">
      <w:start w:val="1"/>
      <w:numFmt w:val="bullet"/>
      <w:lvlText w:val="▪"/>
      <w:lvlJc w:val="left"/>
      <w:pPr>
        <w:ind w:left="15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3" w:tplc="36663C2C">
      <w:start w:val="1"/>
      <w:numFmt w:val="bullet"/>
      <w:lvlText w:val="·"/>
      <w:lvlJc w:val="left"/>
      <w:pPr>
        <w:ind w:left="230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4" w:tplc="E9BC83A6">
      <w:start w:val="1"/>
      <w:numFmt w:val="bullet"/>
      <w:lvlText w:val="o"/>
      <w:lvlJc w:val="left"/>
      <w:pPr>
        <w:ind w:left="302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5" w:tplc="F404EA16">
      <w:start w:val="1"/>
      <w:numFmt w:val="bullet"/>
      <w:lvlText w:val="▪"/>
      <w:lvlJc w:val="left"/>
      <w:pPr>
        <w:ind w:left="374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6" w:tplc="02BA0FFA">
      <w:start w:val="1"/>
      <w:numFmt w:val="bullet"/>
      <w:lvlText w:val="·"/>
      <w:lvlJc w:val="left"/>
      <w:pPr>
        <w:ind w:left="446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7" w:tplc="46EE7A20">
      <w:start w:val="1"/>
      <w:numFmt w:val="bullet"/>
      <w:lvlText w:val="o"/>
      <w:lvlJc w:val="left"/>
      <w:pPr>
        <w:ind w:left="51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8" w:tplc="9964374E">
      <w:start w:val="1"/>
      <w:numFmt w:val="bullet"/>
      <w:lvlText w:val="▪"/>
      <w:lvlJc w:val="left"/>
      <w:pPr>
        <w:ind w:left="590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4925E09"/>
    <w:multiLevelType w:val="hybridMultilevel"/>
    <w:tmpl w:val="9F4A61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09"/>
    <w:rsid w:val="00013FB6"/>
    <w:rsid w:val="00032126"/>
    <w:rsid w:val="00041FC6"/>
    <w:rsid w:val="00045406"/>
    <w:rsid w:val="00047DA1"/>
    <w:rsid w:val="0005069C"/>
    <w:rsid w:val="00053EC8"/>
    <w:rsid w:val="0006007E"/>
    <w:rsid w:val="00064ACD"/>
    <w:rsid w:val="00086C76"/>
    <w:rsid w:val="00095221"/>
    <w:rsid w:val="000A07A0"/>
    <w:rsid w:val="000B52F4"/>
    <w:rsid w:val="000B7F28"/>
    <w:rsid w:val="000D3F2D"/>
    <w:rsid w:val="000D57AE"/>
    <w:rsid w:val="000D763F"/>
    <w:rsid w:val="000D7FE8"/>
    <w:rsid w:val="000E0564"/>
    <w:rsid w:val="000E3706"/>
    <w:rsid w:val="000E4E34"/>
    <w:rsid w:val="0010128B"/>
    <w:rsid w:val="0010467B"/>
    <w:rsid w:val="00121014"/>
    <w:rsid w:val="00134DC8"/>
    <w:rsid w:val="0014525C"/>
    <w:rsid w:val="001643AE"/>
    <w:rsid w:val="00166E29"/>
    <w:rsid w:val="001802E8"/>
    <w:rsid w:val="0018045E"/>
    <w:rsid w:val="001834AB"/>
    <w:rsid w:val="001967F2"/>
    <w:rsid w:val="001D26B1"/>
    <w:rsid w:val="001D5137"/>
    <w:rsid w:val="001E7572"/>
    <w:rsid w:val="001E781B"/>
    <w:rsid w:val="001E7EEC"/>
    <w:rsid w:val="001F0856"/>
    <w:rsid w:val="00204161"/>
    <w:rsid w:val="00211482"/>
    <w:rsid w:val="00220FB9"/>
    <w:rsid w:val="0022342B"/>
    <w:rsid w:val="00237496"/>
    <w:rsid w:val="00240B98"/>
    <w:rsid w:val="002413C2"/>
    <w:rsid w:val="00252EC8"/>
    <w:rsid w:val="002604AA"/>
    <w:rsid w:val="00275FAC"/>
    <w:rsid w:val="00285605"/>
    <w:rsid w:val="002857C6"/>
    <w:rsid w:val="00293BAA"/>
    <w:rsid w:val="00294FC1"/>
    <w:rsid w:val="00295A23"/>
    <w:rsid w:val="002B151E"/>
    <w:rsid w:val="002F2D76"/>
    <w:rsid w:val="003577D2"/>
    <w:rsid w:val="00367B03"/>
    <w:rsid w:val="0037412F"/>
    <w:rsid w:val="003A6EDC"/>
    <w:rsid w:val="003B0EC7"/>
    <w:rsid w:val="003B51E1"/>
    <w:rsid w:val="003D1580"/>
    <w:rsid w:val="003E07BE"/>
    <w:rsid w:val="003E4C69"/>
    <w:rsid w:val="003F3068"/>
    <w:rsid w:val="003F35FB"/>
    <w:rsid w:val="00410916"/>
    <w:rsid w:val="00414A33"/>
    <w:rsid w:val="00431173"/>
    <w:rsid w:val="004368AE"/>
    <w:rsid w:val="00446913"/>
    <w:rsid w:val="00447C8A"/>
    <w:rsid w:val="00447E47"/>
    <w:rsid w:val="00456E51"/>
    <w:rsid w:val="004669AC"/>
    <w:rsid w:val="00481CDC"/>
    <w:rsid w:val="00484549"/>
    <w:rsid w:val="004847BC"/>
    <w:rsid w:val="00492255"/>
    <w:rsid w:val="004922EA"/>
    <w:rsid w:val="004923C9"/>
    <w:rsid w:val="004926D0"/>
    <w:rsid w:val="00495E1A"/>
    <w:rsid w:val="00497087"/>
    <w:rsid w:val="004B2B1C"/>
    <w:rsid w:val="004B2DE7"/>
    <w:rsid w:val="004B33B2"/>
    <w:rsid w:val="004C056A"/>
    <w:rsid w:val="004F4B7B"/>
    <w:rsid w:val="004F5BE3"/>
    <w:rsid w:val="005009E2"/>
    <w:rsid w:val="00506254"/>
    <w:rsid w:val="005115DA"/>
    <w:rsid w:val="00511FC0"/>
    <w:rsid w:val="00515FD6"/>
    <w:rsid w:val="0051695E"/>
    <w:rsid w:val="0052216A"/>
    <w:rsid w:val="005253A1"/>
    <w:rsid w:val="00527BDA"/>
    <w:rsid w:val="00547D92"/>
    <w:rsid w:val="0056131B"/>
    <w:rsid w:val="00565F86"/>
    <w:rsid w:val="00566FC4"/>
    <w:rsid w:val="00581297"/>
    <w:rsid w:val="00581304"/>
    <w:rsid w:val="0058549D"/>
    <w:rsid w:val="00596420"/>
    <w:rsid w:val="005A4AB9"/>
    <w:rsid w:val="005A580B"/>
    <w:rsid w:val="005A6A2B"/>
    <w:rsid w:val="005B4276"/>
    <w:rsid w:val="005B7497"/>
    <w:rsid w:val="005C137D"/>
    <w:rsid w:val="005C6072"/>
    <w:rsid w:val="005C6833"/>
    <w:rsid w:val="005D0313"/>
    <w:rsid w:val="005D4C45"/>
    <w:rsid w:val="005D4E4E"/>
    <w:rsid w:val="005E1964"/>
    <w:rsid w:val="005F5DB1"/>
    <w:rsid w:val="00613191"/>
    <w:rsid w:val="0061435B"/>
    <w:rsid w:val="00615669"/>
    <w:rsid w:val="00615A2E"/>
    <w:rsid w:val="0061646C"/>
    <w:rsid w:val="00617E39"/>
    <w:rsid w:val="00623336"/>
    <w:rsid w:val="0063222A"/>
    <w:rsid w:val="0063660C"/>
    <w:rsid w:val="00642790"/>
    <w:rsid w:val="00646175"/>
    <w:rsid w:val="00652BE4"/>
    <w:rsid w:val="006546D2"/>
    <w:rsid w:val="00660159"/>
    <w:rsid w:val="00665969"/>
    <w:rsid w:val="006659C7"/>
    <w:rsid w:val="00674AC4"/>
    <w:rsid w:val="0068115B"/>
    <w:rsid w:val="00686DE8"/>
    <w:rsid w:val="006B4349"/>
    <w:rsid w:val="006C27EE"/>
    <w:rsid w:val="006C5E6F"/>
    <w:rsid w:val="006C6069"/>
    <w:rsid w:val="006D03B5"/>
    <w:rsid w:val="006D3C06"/>
    <w:rsid w:val="006D6A69"/>
    <w:rsid w:val="006E52EE"/>
    <w:rsid w:val="00701CF2"/>
    <w:rsid w:val="007024F6"/>
    <w:rsid w:val="007041FE"/>
    <w:rsid w:val="00707072"/>
    <w:rsid w:val="00707752"/>
    <w:rsid w:val="00712928"/>
    <w:rsid w:val="00712B2F"/>
    <w:rsid w:val="00726F65"/>
    <w:rsid w:val="00732043"/>
    <w:rsid w:val="00742B34"/>
    <w:rsid w:val="00743E95"/>
    <w:rsid w:val="00743EE0"/>
    <w:rsid w:val="00744B4D"/>
    <w:rsid w:val="007568DB"/>
    <w:rsid w:val="00764788"/>
    <w:rsid w:val="00771221"/>
    <w:rsid w:val="007731F4"/>
    <w:rsid w:val="007A2332"/>
    <w:rsid w:val="007B1964"/>
    <w:rsid w:val="007B5DE8"/>
    <w:rsid w:val="007D5A01"/>
    <w:rsid w:val="007D7098"/>
    <w:rsid w:val="00801AF4"/>
    <w:rsid w:val="008045B1"/>
    <w:rsid w:val="00805F09"/>
    <w:rsid w:val="0081146A"/>
    <w:rsid w:val="008139F1"/>
    <w:rsid w:val="008150FA"/>
    <w:rsid w:val="0082237F"/>
    <w:rsid w:val="00830F91"/>
    <w:rsid w:val="00833654"/>
    <w:rsid w:val="0083479C"/>
    <w:rsid w:val="00834B19"/>
    <w:rsid w:val="008513E1"/>
    <w:rsid w:val="00860180"/>
    <w:rsid w:val="008623B4"/>
    <w:rsid w:val="00864092"/>
    <w:rsid w:val="00876447"/>
    <w:rsid w:val="00896050"/>
    <w:rsid w:val="008A3EF0"/>
    <w:rsid w:val="008A6B49"/>
    <w:rsid w:val="008B196B"/>
    <w:rsid w:val="008B1E28"/>
    <w:rsid w:val="008B3DEA"/>
    <w:rsid w:val="008C2E2D"/>
    <w:rsid w:val="008D3917"/>
    <w:rsid w:val="008E5E53"/>
    <w:rsid w:val="008F2358"/>
    <w:rsid w:val="008F3AB0"/>
    <w:rsid w:val="00911237"/>
    <w:rsid w:val="00911320"/>
    <w:rsid w:val="00913EB7"/>
    <w:rsid w:val="009457E4"/>
    <w:rsid w:val="00945826"/>
    <w:rsid w:val="00955033"/>
    <w:rsid w:val="00970B69"/>
    <w:rsid w:val="00977FA1"/>
    <w:rsid w:val="009802BC"/>
    <w:rsid w:val="009815BB"/>
    <w:rsid w:val="00984EF9"/>
    <w:rsid w:val="0099292E"/>
    <w:rsid w:val="00994E40"/>
    <w:rsid w:val="00996108"/>
    <w:rsid w:val="009A4E72"/>
    <w:rsid w:val="009A7039"/>
    <w:rsid w:val="009B0377"/>
    <w:rsid w:val="009B1106"/>
    <w:rsid w:val="009B652B"/>
    <w:rsid w:val="009C1815"/>
    <w:rsid w:val="009C1DD4"/>
    <w:rsid w:val="009C2CAE"/>
    <w:rsid w:val="009C3985"/>
    <w:rsid w:val="009C5BBB"/>
    <w:rsid w:val="009C7F87"/>
    <w:rsid w:val="009D4FD5"/>
    <w:rsid w:val="00A121EB"/>
    <w:rsid w:val="00A25F2B"/>
    <w:rsid w:val="00A27021"/>
    <w:rsid w:val="00A27CBB"/>
    <w:rsid w:val="00A43098"/>
    <w:rsid w:val="00A4642D"/>
    <w:rsid w:val="00A47A25"/>
    <w:rsid w:val="00A545FD"/>
    <w:rsid w:val="00A63F18"/>
    <w:rsid w:val="00A67E4C"/>
    <w:rsid w:val="00A85CDD"/>
    <w:rsid w:val="00A914EB"/>
    <w:rsid w:val="00AA3E07"/>
    <w:rsid w:val="00AA54E0"/>
    <w:rsid w:val="00AB5510"/>
    <w:rsid w:val="00AB56A3"/>
    <w:rsid w:val="00AC1302"/>
    <w:rsid w:val="00AD5F5F"/>
    <w:rsid w:val="00B04AF7"/>
    <w:rsid w:val="00B04C14"/>
    <w:rsid w:val="00B07DD2"/>
    <w:rsid w:val="00B1039E"/>
    <w:rsid w:val="00B308DE"/>
    <w:rsid w:val="00B3345E"/>
    <w:rsid w:val="00B34A24"/>
    <w:rsid w:val="00B517E8"/>
    <w:rsid w:val="00B72636"/>
    <w:rsid w:val="00B764C3"/>
    <w:rsid w:val="00B8559F"/>
    <w:rsid w:val="00B92BDB"/>
    <w:rsid w:val="00B93431"/>
    <w:rsid w:val="00B9464C"/>
    <w:rsid w:val="00B95DF3"/>
    <w:rsid w:val="00B978BC"/>
    <w:rsid w:val="00B978F6"/>
    <w:rsid w:val="00BA13A0"/>
    <w:rsid w:val="00BB0C5F"/>
    <w:rsid w:val="00BB3AD0"/>
    <w:rsid w:val="00BC1299"/>
    <w:rsid w:val="00BC135A"/>
    <w:rsid w:val="00BC402E"/>
    <w:rsid w:val="00BC591F"/>
    <w:rsid w:val="00BC698D"/>
    <w:rsid w:val="00BE050C"/>
    <w:rsid w:val="00BF559D"/>
    <w:rsid w:val="00BF7044"/>
    <w:rsid w:val="00C05A88"/>
    <w:rsid w:val="00C05FB1"/>
    <w:rsid w:val="00C12B31"/>
    <w:rsid w:val="00C15987"/>
    <w:rsid w:val="00C1687E"/>
    <w:rsid w:val="00C2655D"/>
    <w:rsid w:val="00C272CC"/>
    <w:rsid w:val="00C32E93"/>
    <w:rsid w:val="00C34F69"/>
    <w:rsid w:val="00C371CC"/>
    <w:rsid w:val="00C471BC"/>
    <w:rsid w:val="00C55DC9"/>
    <w:rsid w:val="00C61BAA"/>
    <w:rsid w:val="00C6551C"/>
    <w:rsid w:val="00C734EA"/>
    <w:rsid w:val="00C866D8"/>
    <w:rsid w:val="00C94519"/>
    <w:rsid w:val="00CA3B83"/>
    <w:rsid w:val="00CA6CD2"/>
    <w:rsid w:val="00CB5BE3"/>
    <w:rsid w:val="00CB652A"/>
    <w:rsid w:val="00CE2BB2"/>
    <w:rsid w:val="00D11F44"/>
    <w:rsid w:val="00D15491"/>
    <w:rsid w:val="00D23E13"/>
    <w:rsid w:val="00D27EE7"/>
    <w:rsid w:val="00D45F66"/>
    <w:rsid w:val="00D53BD7"/>
    <w:rsid w:val="00D54E42"/>
    <w:rsid w:val="00D55C9C"/>
    <w:rsid w:val="00D65289"/>
    <w:rsid w:val="00D8129C"/>
    <w:rsid w:val="00D82307"/>
    <w:rsid w:val="00D94EBF"/>
    <w:rsid w:val="00DA01D3"/>
    <w:rsid w:val="00DA0E36"/>
    <w:rsid w:val="00DA172F"/>
    <w:rsid w:val="00DB73AF"/>
    <w:rsid w:val="00DC5A41"/>
    <w:rsid w:val="00DC7929"/>
    <w:rsid w:val="00DD2F40"/>
    <w:rsid w:val="00DD5CD4"/>
    <w:rsid w:val="00DE49D4"/>
    <w:rsid w:val="00DE726E"/>
    <w:rsid w:val="00DF5512"/>
    <w:rsid w:val="00E007A8"/>
    <w:rsid w:val="00E03192"/>
    <w:rsid w:val="00E0700D"/>
    <w:rsid w:val="00E210EE"/>
    <w:rsid w:val="00E51DFD"/>
    <w:rsid w:val="00E529D8"/>
    <w:rsid w:val="00E8183A"/>
    <w:rsid w:val="00E9566F"/>
    <w:rsid w:val="00EA22B1"/>
    <w:rsid w:val="00EA7F6C"/>
    <w:rsid w:val="00EB679C"/>
    <w:rsid w:val="00ED6094"/>
    <w:rsid w:val="00EF1A10"/>
    <w:rsid w:val="00EF272E"/>
    <w:rsid w:val="00EF3A16"/>
    <w:rsid w:val="00F00D33"/>
    <w:rsid w:val="00F01B87"/>
    <w:rsid w:val="00F02A85"/>
    <w:rsid w:val="00F05850"/>
    <w:rsid w:val="00F07810"/>
    <w:rsid w:val="00F257EC"/>
    <w:rsid w:val="00F258EA"/>
    <w:rsid w:val="00F36291"/>
    <w:rsid w:val="00F43993"/>
    <w:rsid w:val="00F66F44"/>
    <w:rsid w:val="00F673CC"/>
    <w:rsid w:val="00F83E66"/>
    <w:rsid w:val="00F97FBC"/>
    <w:rsid w:val="00FA51DE"/>
    <w:rsid w:val="00FB2420"/>
    <w:rsid w:val="00FC2E1B"/>
    <w:rsid w:val="00FC74A9"/>
    <w:rsid w:val="00FD3498"/>
    <w:rsid w:val="00FD4CCB"/>
    <w:rsid w:val="00FF4305"/>
    <w:rsid w:val="00FF4BD5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7609"/>
  <w15:docId w15:val="{5C8B511A-8911-49CC-91DB-AEADB48C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grafoda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  <w:lang w:val="pt-PT"/>
    </w:rPr>
  </w:style>
  <w:style w:type="character" w:customStyle="1" w:styleId="Hyperlink1">
    <w:name w:val="Hyperlink.1"/>
    <w:basedOn w:val="None"/>
    <w:rPr>
      <w:outline w:val="0"/>
      <w:color w:val="0563C1"/>
      <w:u w:val="single" w:color="0563C1"/>
      <w:lang w:val="fr-FR"/>
    </w:rPr>
  </w:style>
  <w:style w:type="character" w:customStyle="1" w:styleId="Hyperlink2">
    <w:name w:val="Hyperlink.2"/>
    <w:basedOn w:val="None"/>
    <w:rPr>
      <w:outline w:val="0"/>
      <w:color w:val="0563C1"/>
      <w:u w:val="single" w:color="0563C1"/>
      <w:lang w:val="de-DE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09E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09E2"/>
    <w:rPr>
      <w:rFonts w:ascii="Segoe UI" w:hAnsi="Segoe UI" w:cs="Segoe UI"/>
      <w:sz w:val="18"/>
      <w:szCs w:val="18"/>
      <w:lang w:val="en-US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C2E2D"/>
    <w:rPr>
      <w:color w:val="605E5C"/>
      <w:shd w:val="clear" w:color="auto" w:fill="E1DFDD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94FC1"/>
    <w:pPr>
      <w:spacing w:line="240" w:lineRule="auto"/>
    </w:pPr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94FC1"/>
    <w:rPr>
      <w:b/>
      <w:bCs/>
      <w:lang w:val="en-US" w:eastAsia="en-US"/>
    </w:rPr>
  </w:style>
  <w:style w:type="paragraph" w:customStyle="1" w:styleId="default0">
    <w:name w:val="default"/>
    <w:basedOn w:val="Normal"/>
    <w:rsid w:val="00764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jc w:val="left"/>
    </w:pPr>
    <w:rPr>
      <w:rFonts w:ascii="Arial Nova" w:eastAsiaTheme="minorHAnsi" w:hAnsi="Arial Nova" w:cs="Calibri"/>
      <w:color w:val="000000"/>
      <w:bdr w:val="none" w:sz="0" w:space="0" w:color="auto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E6746E973874CAA612E5115A99669" ma:contentTypeVersion="0" ma:contentTypeDescription="Create a new document." ma:contentTypeScope="" ma:versionID="6a8b6aaa2731f92d2c38b03c111340e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8181B-590D-4847-B724-6DFCE6FA0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915FA2A-6952-49FF-BA63-CCF8F02104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934FFC-436A-4625-9FF8-6AFA43580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F3392D-CCF1-4F40-885C-29871C1B6D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1239</Words>
  <Characters>6695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Inês Saltão</dc:creator>
  <cp:lastModifiedBy>Fábio Duarte</cp:lastModifiedBy>
  <cp:revision>3</cp:revision>
  <dcterms:created xsi:type="dcterms:W3CDTF">2020-07-24T09:22:00Z</dcterms:created>
  <dcterms:modified xsi:type="dcterms:W3CDTF">2020-07-27T09:54:00Z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0x010100FEAE6746E973874CAA612E5115A99669</vt:lpwstr>
  </property>
</Properties>
</file>