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6552" w14:textId="77777777" w:rsidR="00E673E5" w:rsidRDefault="000147EB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3763B1F0" w14:textId="77777777" w:rsidR="00E673E5" w:rsidRDefault="000147EB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Magdalena Katolik</w:t>
      </w:r>
    </w:p>
    <w:p w14:paraId="06AE120B" w14:textId="77777777" w:rsidR="00E673E5" w:rsidRDefault="000147EB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Tel.:+ 48 793 265 710</w:t>
      </w:r>
    </w:p>
    <w:p w14:paraId="5EF6D8E8" w14:textId="77777777" w:rsidR="00E673E5" w:rsidRPr="00DB5D8E" w:rsidRDefault="000147EB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  <w:r w:rsidRPr="00DB5D8E">
        <w:rPr>
          <w:i/>
          <w:color w:val="000000"/>
          <w:sz w:val="18"/>
          <w:szCs w:val="18"/>
          <w:lang w:val="en-GB"/>
        </w:rPr>
        <w:t xml:space="preserve">E-mail: </w:t>
      </w:r>
      <w:hyperlink r:id="rId6">
        <w:r w:rsidRPr="00DB5D8E">
          <w:rPr>
            <w:i/>
            <w:color w:val="0000FF"/>
            <w:sz w:val="18"/>
            <w:szCs w:val="18"/>
            <w:u w:val="single"/>
            <w:lang w:val="en-GB"/>
          </w:rPr>
          <w:t>magdalena.katolik@capgemini.com</w:t>
        </w:r>
      </w:hyperlink>
    </w:p>
    <w:p w14:paraId="3EEC1CDD" w14:textId="77777777" w:rsidR="00E673E5" w:rsidRPr="00DB5D8E" w:rsidRDefault="00E673E5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</w:p>
    <w:p w14:paraId="031C294C" w14:textId="77777777" w:rsidR="00E673E5" w:rsidRDefault="000147EB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6A69085F" w14:textId="77777777" w:rsidR="00E673E5" w:rsidRDefault="000147EB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Paweł Luty</w:t>
      </w:r>
    </w:p>
    <w:p w14:paraId="5A731475" w14:textId="77777777" w:rsidR="00E673E5" w:rsidRDefault="000147EB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Tel.:+ 48 510 382 420</w:t>
      </w:r>
    </w:p>
    <w:p w14:paraId="0BE4A539" w14:textId="77777777" w:rsidR="00E673E5" w:rsidRPr="00DB5D8E" w:rsidRDefault="000147EB">
      <w:pPr>
        <w:spacing w:after="0" w:line="240" w:lineRule="auto"/>
        <w:jc w:val="right"/>
        <w:rPr>
          <w:i/>
          <w:color w:val="000000"/>
          <w:sz w:val="18"/>
          <w:szCs w:val="18"/>
          <w:lang w:val="en-GB"/>
        </w:rPr>
      </w:pPr>
      <w:r w:rsidRPr="00DB5D8E">
        <w:rPr>
          <w:i/>
          <w:color w:val="000000"/>
          <w:sz w:val="18"/>
          <w:szCs w:val="18"/>
          <w:lang w:val="en-GB"/>
        </w:rPr>
        <w:t xml:space="preserve">E-mail: </w:t>
      </w:r>
      <w:hyperlink r:id="rId7">
        <w:r w:rsidRPr="00DB5D8E">
          <w:rPr>
            <w:i/>
            <w:color w:val="0000FF"/>
            <w:sz w:val="18"/>
            <w:szCs w:val="18"/>
            <w:u w:val="single"/>
            <w:lang w:val="en-GB"/>
          </w:rPr>
          <w:t>pawel.luty@linkleaders.pl</w:t>
        </w:r>
      </w:hyperlink>
      <w:r w:rsidRPr="00DB5D8E">
        <w:rPr>
          <w:i/>
          <w:color w:val="000000"/>
          <w:sz w:val="18"/>
          <w:szCs w:val="18"/>
          <w:lang w:val="en-GB"/>
        </w:rPr>
        <w:t xml:space="preserve"> </w:t>
      </w:r>
    </w:p>
    <w:p w14:paraId="5DA33194" w14:textId="77777777" w:rsidR="00E673E5" w:rsidRPr="00DB5D8E" w:rsidRDefault="00E673E5">
      <w:pPr>
        <w:ind w:left="360"/>
        <w:jc w:val="both"/>
        <w:rPr>
          <w:b/>
          <w:sz w:val="28"/>
          <w:szCs w:val="28"/>
          <w:lang w:val="en-GB"/>
        </w:rPr>
      </w:pPr>
    </w:p>
    <w:p w14:paraId="48C32D66" w14:textId="77777777" w:rsidR="00DB5D8E" w:rsidRPr="00522A23" w:rsidRDefault="00DB5D8E" w:rsidP="00DB5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co zainwestują najbogatsi? – Światowy Raport Zamożności </w:t>
      </w:r>
    </w:p>
    <w:p w14:paraId="02B17B39" w14:textId="77777777" w:rsidR="00DB5D8E" w:rsidRDefault="00DB5D8E" w:rsidP="00DB5D8E">
      <w:pPr>
        <w:jc w:val="both"/>
        <w:rPr>
          <w:b/>
        </w:rPr>
      </w:pPr>
      <w:r>
        <w:rPr>
          <w:b/>
        </w:rPr>
        <w:t xml:space="preserve">Jak wynika z World </w:t>
      </w:r>
      <w:proofErr w:type="spellStart"/>
      <w:r>
        <w:rPr>
          <w:b/>
        </w:rPr>
        <w:t>Wealth</w:t>
      </w:r>
      <w:proofErr w:type="spellEnd"/>
      <w:r>
        <w:rPr>
          <w:b/>
        </w:rPr>
        <w:t xml:space="preserve"> Report 2020 wskaźnik HNWI (</w:t>
      </w:r>
      <w:r w:rsidRPr="00A93712">
        <w:rPr>
          <w:b/>
        </w:rPr>
        <w:t xml:space="preserve">High Net </w:t>
      </w:r>
      <w:proofErr w:type="spellStart"/>
      <w:r w:rsidRPr="00A93712">
        <w:rPr>
          <w:b/>
        </w:rPr>
        <w:t>Worth</w:t>
      </w:r>
      <w:proofErr w:type="spellEnd"/>
      <w:r w:rsidRPr="00A93712">
        <w:rPr>
          <w:b/>
        </w:rPr>
        <w:t xml:space="preserve"> </w:t>
      </w:r>
      <w:proofErr w:type="spellStart"/>
      <w:r w:rsidRPr="00A93712">
        <w:rPr>
          <w:b/>
        </w:rPr>
        <w:t>Individual</w:t>
      </w:r>
      <w:proofErr w:type="spellEnd"/>
      <w:r>
        <w:rPr>
          <w:b/>
        </w:rPr>
        <w:t>), który określa osoby dysponujące majątkiem w wysokości minimum 1 mln USD, wzrósł o prawie 9 proc. w 2019r., mimo światowego spowolnienia gospodarczego, międzynarodowych wojen handlowych i napięć geopolitycznych. Mimo dynamicznej sytuacji gospodarczej, najzamożniejsze</w:t>
      </w:r>
      <w:r w:rsidRPr="00A93712">
        <w:rPr>
          <w:b/>
        </w:rPr>
        <w:t xml:space="preserve"> osoby planują przeznaczy</w:t>
      </w:r>
      <w:r>
        <w:rPr>
          <w:b/>
        </w:rPr>
        <w:t>ć</w:t>
      </w:r>
      <w:r w:rsidRPr="00A93712">
        <w:rPr>
          <w:b/>
        </w:rPr>
        <w:t xml:space="preserve"> 41 proc. swojego portfela na produkty z obszaru zrównoważonych inwestycji do końca 2020 roku, a 46 proc. do końca 2021 roku.</w:t>
      </w:r>
      <w:r>
        <w:rPr>
          <w:b/>
        </w:rPr>
        <w:t xml:space="preserve"> Pojawia się też duża potrzeba hiper-personalizacji. </w:t>
      </w:r>
    </w:p>
    <w:p w14:paraId="6DD0F306" w14:textId="77777777" w:rsidR="00DB5D8E" w:rsidRDefault="00DB5D8E" w:rsidP="00DB5D8E">
      <w:pPr>
        <w:jc w:val="both"/>
      </w:pPr>
      <w:r>
        <w:rPr>
          <w:bCs/>
        </w:rPr>
        <w:t xml:space="preserve">Prym wiedzie Ameryka Północna, bo tam aż o 11 proc. wzrosła liczba najbardziej zamożnych osób oraz nastąpił progres zamożności. Region ten odpowiadał za 39 proc. wzrostu liczby osób ze wskaźnikiem HNWI na świecie i 37 proc. wzrostu zamożności w 2019 r. Tuż za nią uplasowała się Europa ze wzrostem na poziomie 9 proc. Boom z minionego roku został jednak przysłonięty niepewnością, gdyż gospodarki światowe przygotowują się do spadku o 4,9 proc. prognozowanego przez Międzynarodowy Fundusz Walutowy. </w:t>
      </w:r>
    </w:p>
    <w:p w14:paraId="04082BAA" w14:textId="77777777" w:rsidR="00DB5D8E" w:rsidRPr="00522A23" w:rsidRDefault="00DB5D8E" w:rsidP="00DB5D8E">
      <w:pPr>
        <w:rPr>
          <w:b/>
        </w:rPr>
      </w:pPr>
      <w:r w:rsidRPr="00522A23">
        <w:rPr>
          <w:b/>
        </w:rPr>
        <w:t>Tak było wtedy, tak jest teraz</w:t>
      </w:r>
    </w:p>
    <w:p w14:paraId="487FD453" w14:textId="77777777" w:rsidR="00DB5D8E" w:rsidRDefault="00DB5D8E" w:rsidP="00DB5D8E">
      <w:pPr>
        <w:jc w:val="both"/>
      </w:pPr>
      <w:r>
        <w:t xml:space="preserve">Zgodnie z </w:t>
      </w:r>
      <w:r>
        <w:t>raport</w:t>
      </w:r>
      <w:r>
        <w:t>em</w:t>
      </w:r>
      <w:r>
        <w:t xml:space="preserve"> </w:t>
      </w:r>
      <w:r>
        <w:t xml:space="preserve">World </w:t>
      </w:r>
      <w:proofErr w:type="spellStart"/>
      <w:r>
        <w:t>Federation</w:t>
      </w:r>
      <w:proofErr w:type="spellEnd"/>
      <w:r>
        <w:t xml:space="preserve"> of </w:t>
      </w:r>
      <w:proofErr w:type="spellStart"/>
      <w:r>
        <w:t>Exchanges</w:t>
      </w:r>
      <w:proofErr w:type="spellEnd"/>
      <w:r>
        <w:t xml:space="preserve">, </w:t>
      </w:r>
      <w:proofErr w:type="spellStart"/>
      <w:r>
        <w:t>koronawirus</w:t>
      </w:r>
      <w:proofErr w:type="spellEnd"/>
      <w:r>
        <w:t xml:space="preserve"> pochłonął</w:t>
      </w:r>
      <w:r>
        <w:t xml:space="preserve"> </w:t>
      </w:r>
      <w:r>
        <w:t>ponad 18 bilionów dolarów ze światowych rynków w lutym i marcu 2020 roku. Przesunęły się również priorytety inwestycyjne - zrównoważone inwestycje, które podtrzymują priorytety środowiskowe i społeczne, zyskują znaczenie po pandemii.</w:t>
      </w:r>
    </w:p>
    <w:p w14:paraId="6B015D80" w14:textId="77777777" w:rsidR="00DB5D8E" w:rsidRDefault="00DB5D8E" w:rsidP="00DB5D8E">
      <w:pPr>
        <w:ind w:left="708"/>
        <w:jc w:val="both"/>
      </w:pPr>
      <w:r>
        <w:rPr>
          <w:i/>
        </w:rPr>
        <w:t xml:space="preserve">- </w:t>
      </w:r>
      <w:r w:rsidRPr="00C83428">
        <w:rPr>
          <w:iCs/>
        </w:rPr>
        <w:t xml:space="preserve">W </w:t>
      </w:r>
      <w:r>
        <w:rPr>
          <w:iCs/>
        </w:rPr>
        <w:t>związku z</w:t>
      </w:r>
      <w:r w:rsidRPr="00C83428">
        <w:rPr>
          <w:iCs/>
        </w:rPr>
        <w:t xml:space="preserve"> </w:t>
      </w:r>
      <w:proofErr w:type="spellStart"/>
      <w:r w:rsidRPr="00C83428">
        <w:rPr>
          <w:iCs/>
        </w:rPr>
        <w:t>dzisiejsze</w:t>
      </w:r>
      <w:r>
        <w:rPr>
          <w:iCs/>
        </w:rPr>
        <w:t>jszą</w:t>
      </w:r>
      <w:proofErr w:type="spellEnd"/>
      <w:r w:rsidRPr="00C83428">
        <w:rPr>
          <w:iCs/>
        </w:rPr>
        <w:t xml:space="preserve"> wyjątkow</w:t>
      </w:r>
      <w:r>
        <w:rPr>
          <w:iCs/>
        </w:rPr>
        <w:t>ą</w:t>
      </w:r>
      <w:r w:rsidRPr="00C83428">
        <w:rPr>
          <w:iCs/>
        </w:rPr>
        <w:t xml:space="preserve"> sytuacj</w:t>
      </w:r>
      <w:r>
        <w:rPr>
          <w:iCs/>
        </w:rPr>
        <w:t>ą</w:t>
      </w:r>
      <w:r w:rsidRPr="00C83428">
        <w:rPr>
          <w:iCs/>
        </w:rPr>
        <w:t xml:space="preserve">, </w:t>
      </w:r>
      <w:r>
        <w:rPr>
          <w:iCs/>
        </w:rPr>
        <w:t xml:space="preserve">firmy </w:t>
      </w:r>
      <w:r w:rsidRPr="00C83428">
        <w:rPr>
          <w:iCs/>
        </w:rPr>
        <w:t xml:space="preserve"> stają w obliczu dużej niepewności. Ten nieprzewidywalny okres może jednak stanowić dla </w:t>
      </w:r>
      <w:r>
        <w:rPr>
          <w:iCs/>
        </w:rPr>
        <w:t>biznesu</w:t>
      </w:r>
      <w:r w:rsidRPr="00C83428">
        <w:rPr>
          <w:iCs/>
        </w:rPr>
        <w:t xml:space="preserve"> </w:t>
      </w:r>
      <w:r w:rsidRPr="00C83428">
        <w:rPr>
          <w:iCs/>
        </w:rPr>
        <w:t>okazję do ponownej oceny i</w:t>
      </w:r>
      <w:r>
        <w:rPr>
          <w:iCs/>
        </w:rPr>
        <w:t> </w:t>
      </w:r>
      <w:proofErr w:type="spellStart"/>
      <w:r w:rsidRPr="00C83428">
        <w:rPr>
          <w:iCs/>
        </w:rPr>
        <w:t>reogranizacji</w:t>
      </w:r>
      <w:proofErr w:type="spellEnd"/>
      <w:r w:rsidRPr="00C83428">
        <w:rPr>
          <w:iCs/>
        </w:rPr>
        <w:t xml:space="preserve"> swoich modeli biznesowych i operacyjnych, aby stały się one bardziej sprawne i</w:t>
      </w:r>
      <w:r>
        <w:rPr>
          <w:iCs/>
        </w:rPr>
        <w:t> </w:t>
      </w:r>
      <w:r w:rsidRPr="00C83428">
        <w:rPr>
          <w:iCs/>
        </w:rPr>
        <w:t>odporne na wstrząsy rynkowe w przyszłości</w:t>
      </w:r>
      <w:r>
        <w:rPr>
          <w:i/>
        </w:rPr>
        <w:t xml:space="preserve"> -</w:t>
      </w:r>
      <w:r>
        <w:t xml:space="preserve"> powiedział </w:t>
      </w:r>
      <w:proofErr w:type="spellStart"/>
      <w:r w:rsidRPr="000709F5">
        <w:rPr>
          <w:b/>
          <w:bCs/>
        </w:rPr>
        <w:t>Anirban</w:t>
      </w:r>
      <w:proofErr w:type="spellEnd"/>
      <w:r w:rsidRPr="000709F5">
        <w:rPr>
          <w:b/>
          <w:bCs/>
        </w:rPr>
        <w:t xml:space="preserve"> Bose, dyrektor generalny ds. usług finansowych i członek zarządu </w:t>
      </w:r>
      <w:r>
        <w:rPr>
          <w:b/>
          <w:bCs/>
        </w:rPr>
        <w:t>G</w:t>
      </w:r>
      <w:r w:rsidRPr="000709F5">
        <w:rPr>
          <w:b/>
          <w:bCs/>
        </w:rPr>
        <w:t xml:space="preserve">rupy </w:t>
      </w:r>
      <w:proofErr w:type="spellStart"/>
      <w:r w:rsidRPr="000709F5">
        <w:rPr>
          <w:b/>
          <w:bCs/>
        </w:rPr>
        <w:t>Capgemini</w:t>
      </w:r>
      <w:proofErr w:type="spellEnd"/>
      <w:r>
        <w:t xml:space="preserve">. </w:t>
      </w:r>
      <w:r w:rsidRPr="00A863E4" w:rsidDel="000709F5">
        <w:rPr>
          <w:i/>
        </w:rPr>
        <w:t xml:space="preserve"> </w:t>
      </w:r>
    </w:p>
    <w:p w14:paraId="2E6CE02D" w14:textId="77777777" w:rsidR="00DB5D8E" w:rsidRPr="00522A23" w:rsidRDefault="00DB5D8E" w:rsidP="00DB5D8E">
      <w:pPr>
        <w:rPr>
          <w:b/>
        </w:rPr>
      </w:pPr>
      <w:r w:rsidRPr="00522A23">
        <w:rPr>
          <w:b/>
        </w:rPr>
        <w:t>Zrównoważone inwestycje i usługi o wartości dodanej zyskują na atrakcyjności</w:t>
      </w:r>
    </w:p>
    <w:p w14:paraId="21E0EEBF" w14:textId="77777777" w:rsidR="00DB5D8E" w:rsidRDefault="00DB5D8E" w:rsidP="00DB5D8E">
      <w:pPr>
        <w:jc w:val="both"/>
      </w:pPr>
      <w:r>
        <w:t>Rosnące zainteresowanie zrównoważonym inwestowaniem daje firmom możliwość zaangażowania się w przedsięwzięcia</w:t>
      </w:r>
      <w:r>
        <w:t xml:space="preserve"> </w:t>
      </w:r>
      <w:r>
        <w:t>o wysokim potencjale. W segmencie osób ze wskaźnikiem ultra-HNWI, zrównoważone inwestowanie wchodzi w znaczącą dynamikę. Podczas gdy 27 proc.</w:t>
      </w:r>
      <w:r>
        <w:t xml:space="preserve"> </w:t>
      </w:r>
      <w:r>
        <w:t>osób HNWI ogółem wyraziło zainteresowanie takimi produktami, 40 proc.</w:t>
      </w:r>
      <w:r>
        <w:t xml:space="preserve"> </w:t>
      </w:r>
      <w:r>
        <w:t>osób ultra-HNWI było skłonnych w nie zainwestować.</w:t>
      </w:r>
    </w:p>
    <w:p w14:paraId="4D33EB67" w14:textId="77777777" w:rsidR="00DB5D8E" w:rsidRDefault="00DB5D8E" w:rsidP="00DB5D8E">
      <w:pPr>
        <w:jc w:val="both"/>
      </w:pPr>
      <w:r>
        <w:t>Najbardziej zamożne osoby planują przeznaczyć aż 41 proc.</w:t>
      </w:r>
      <w:r>
        <w:t xml:space="preserve"> </w:t>
      </w:r>
      <w:r>
        <w:t xml:space="preserve">swojego portfela na produkty z obszaru </w:t>
      </w:r>
      <w:proofErr w:type="spellStart"/>
      <w:r>
        <w:t>zrónoważonych</w:t>
      </w:r>
      <w:proofErr w:type="spellEnd"/>
      <w:r>
        <w:t xml:space="preserve"> inwestycji do końca 2020 roku, a 46 proc.</w:t>
      </w:r>
      <w:r>
        <w:t xml:space="preserve"> </w:t>
      </w:r>
      <w:r>
        <w:t>do końca 2021 roku. Firmy zarządzające majątkiem dostrzegły ten trend i są przygotowane do zaspokojenia popytu, ponieważ 80 proc.</w:t>
      </w:r>
      <w:r>
        <w:t xml:space="preserve"> </w:t>
      </w:r>
      <w:r>
        <w:t xml:space="preserve">z nich oferuje obecnie różne opcje takich rozwiązań. Fundusze koncentrujące się na inwestycjach odpowiedzialnych społecznie są rzadkim i jasnym punktem w działalności rynkowej w 2020 r. </w:t>
      </w:r>
      <w:r>
        <w:lastRenderedPageBreak/>
        <w:t>Głównymi powodami zainteresowania najbogatszych</w:t>
      </w:r>
      <w:r>
        <w:t xml:space="preserve"> </w:t>
      </w:r>
      <w:r>
        <w:t>zrównoważonymi inwestycjami są wyższe zyski i niższe ryzyko - 39 proc.</w:t>
      </w:r>
      <w:r>
        <w:t xml:space="preserve"> </w:t>
      </w:r>
      <w:r>
        <w:t>oczekuje wyższych zysków z takich produktów, podczas gdy 33 proc.</w:t>
      </w:r>
      <w:r>
        <w:t xml:space="preserve"> </w:t>
      </w:r>
      <w:r>
        <w:t xml:space="preserve">postrzega zrównoważone inwestycje jako zdrowe i mniej spekulacyjne. </w:t>
      </w:r>
    </w:p>
    <w:p w14:paraId="5BDABC56" w14:textId="77777777" w:rsidR="00DB5D8E" w:rsidRPr="00522A23" w:rsidRDefault="00DB5D8E" w:rsidP="00DB5D8E">
      <w:pPr>
        <w:jc w:val="both"/>
        <w:rPr>
          <w:b/>
        </w:rPr>
      </w:pPr>
      <w:r w:rsidRPr="00522A23">
        <w:rPr>
          <w:b/>
        </w:rPr>
        <w:t>Hiper-personalizacja jest potrzebna, aby sprostać zmieniającym się oczekiwaniom</w:t>
      </w:r>
    </w:p>
    <w:p w14:paraId="71781AFD" w14:textId="77777777" w:rsidR="00DB5D8E" w:rsidRDefault="00DB5D8E" w:rsidP="00DB5D8E">
      <w:pPr>
        <w:jc w:val="both"/>
      </w:pPr>
      <w:r>
        <w:t>Nieprzewidywalność w 2020 r. ma napędzać korekty aktywów, a także zwiększać oczekiwania klientów i kontrolę nad opłatami doradczymi. Akcje stały się najważniejszą klasą aktywów na początku 2020 r. i stanowiły 30 proc.</w:t>
      </w:r>
      <w:r>
        <w:t xml:space="preserve"> </w:t>
      </w:r>
      <w:r>
        <w:t>globalnych portfeli finansowych HNWI, głównie ze względu na solidne rynki akcji i bodźce finansowe przywracające zaufanie. Najbogatsze osoby HNWI stają się również coraz bardziej krytyczne w stosunku do opłat pobieranych od zarządzających majątkiem, przy czym 33 proc. z nich nie jest zadowolonych ze stawek z</w:t>
      </w:r>
      <w:r>
        <w:t xml:space="preserve"> </w:t>
      </w:r>
      <w:r>
        <w:t>2019 roku. Oczekuje się, że dyskomfort wzrośnie w związku z niestabilnością rynków. Według raportu, więcej niż jedna na pięć osób ze wskaźnikiem HNWI może zmienić firmę w przyszłym roku, a wysokie opłaty są głównym powodem dla 42 proc.</w:t>
      </w:r>
      <w:r>
        <w:t xml:space="preserve"> </w:t>
      </w:r>
    </w:p>
    <w:p w14:paraId="27B03D65" w14:textId="77777777" w:rsidR="00DB5D8E" w:rsidRDefault="00DB5D8E" w:rsidP="00DB5D8E">
      <w:pPr>
        <w:jc w:val="both"/>
      </w:pPr>
      <w:r>
        <w:t xml:space="preserve">Możliwości cyfrowe stały się kluczowe dla zapewnienia ciągłości działania firm zarządzających majątkiem. </w:t>
      </w:r>
      <w:proofErr w:type="spellStart"/>
      <w:r>
        <w:t>Hiperspersonalizowane</w:t>
      </w:r>
      <w:proofErr w:type="spellEnd"/>
      <w:r>
        <w:t xml:space="preserve"> oferty zasilane przez sztuczną inteligencję, analitykę i inne technologie mogą sprostać zmieniającym się oczekiwaniom najbogatszych.</w:t>
      </w:r>
    </w:p>
    <w:p w14:paraId="2F300B4F" w14:textId="77777777" w:rsidR="00DB5D8E" w:rsidRDefault="00DB5D8E" w:rsidP="00DB5D8E">
      <w:pPr>
        <w:jc w:val="both"/>
      </w:pPr>
      <w:r>
        <w:t xml:space="preserve">Przed wybuchem pandemii </w:t>
      </w:r>
      <w:proofErr w:type="spellStart"/>
      <w:r>
        <w:t>koronawirusa</w:t>
      </w:r>
      <w:proofErr w:type="spellEnd"/>
      <w:r>
        <w:t xml:space="preserve"> (styczeń-luty 2020 r.), inwestorzy informowali, że są najmniej zadowoleni z punktów kontaktowych związanych ze spersonalizowanymi informacjami lub usługami, a ponad 60 proc.</w:t>
      </w:r>
      <w:r>
        <w:t xml:space="preserve"> </w:t>
      </w:r>
      <w:r>
        <w:t xml:space="preserve">HNWI zgłaszało niezadowalające doświadczenia podczas prób dostępu do informacji o nowych ofertach zarządzania majątkiem lub informacji rynkowych. Najzamożniejsi w wieku 50-59 lat byli najbardziej niezadowolone ze swoich doświadczeń związanych z dostępem do informacji i usług o wartości dodanej. </w:t>
      </w:r>
    </w:p>
    <w:p w14:paraId="612E9157" w14:textId="77777777" w:rsidR="00DB5D8E" w:rsidRPr="006B2C12" w:rsidRDefault="00DB5D8E" w:rsidP="00DB5D8E">
      <w:pPr>
        <w:jc w:val="both"/>
        <w:rPr>
          <w:b/>
        </w:rPr>
      </w:pPr>
      <w:r w:rsidRPr="006B2C12">
        <w:rPr>
          <w:b/>
        </w:rPr>
        <w:t xml:space="preserve">Koń trojański z </w:t>
      </w:r>
      <w:proofErr w:type="spellStart"/>
      <w:r w:rsidRPr="006B2C12">
        <w:rPr>
          <w:b/>
        </w:rPr>
        <w:t>BigTech</w:t>
      </w:r>
      <w:proofErr w:type="spellEnd"/>
    </w:p>
    <w:p w14:paraId="528AA6EC" w14:textId="77777777" w:rsidR="00DB5D8E" w:rsidRDefault="00DB5D8E" w:rsidP="00DB5D8E">
      <w:pPr>
        <w:jc w:val="both"/>
      </w:pPr>
      <w:r>
        <w:t>Niezbyt dobre doświadczenie klientów związane z dostępem do informacji i usług o wartości dodanej jest dla najbardziej zamożnych klientów straconą szansą. Ponad 40 proc.</w:t>
      </w:r>
      <w:r>
        <w:t xml:space="preserve"> </w:t>
      </w:r>
      <w:r>
        <w:t>badanych, twierdziło, że dobre doświadczenia w punktach kontaktowych mają głęboki wpływ na ich ogólne wrażenie o firmie, a to prawdopodobnie wzrośnie w związku z COVID-19.</w:t>
      </w:r>
    </w:p>
    <w:p w14:paraId="2C32904A" w14:textId="77777777" w:rsidR="00DB5D8E" w:rsidRDefault="00DB5D8E" w:rsidP="00DB5D8E">
      <w:pPr>
        <w:jc w:val="both"/>
      </w:pPr>
      <w:r>
        <w:t>Podczas gdy tylko 26 proc.</w:t>
      </w:r>
      <w:r>
        <w:t xml:space="preserve"> </w:t>
      </w:r>
      <w:r>
        <w:t xml:space="preserve">menedżerów majątkowych zalicza konkurencję </w:t>
      </w:r>
      <w:proofErr w:type="spellStart"/>
      <w:r>
        <w:t>BigTech</w:t>
      </w:r>
      <w:proofErr w:type="spellEnd"/>
      <w:r>
        <w:t xml:space="preserve"> do najbardziej potencjalnych czynników zakłócających, osoby HNWI z pewnością uważają, że </w:t>
      </w:r>
      <w:proofErr w:type="spellStart"/>
      <w:r>
        <w:t>BigTech</w:t>
      </w:r>
      <w:proofErr w:type="spellEnd"/>
      <w:r>
        <w:t xml:space="preserve"> może prześcignąć firmy już istniejące, jeśli chodzi o dostęp do informacji i usług o wartości dodanej. 74 proc.</w:t>
      </w:r>
      <w:r>
        <w:t xml:space="preserve"> </w:t>
      </w:r>
      <w:r>
        <w:t>najbogatszych</w:t>
      </w:r>
      <w:r>
        <w:t xml:space="preserve"> </w:t>
      </w:r>
      <w:r>
        <w:t xml:space="preserve">deklaruje gotowość do rozważenia oferty </w:t>
      </w:r>
      <w:proofErr w:type="spellStart"/>
      <w:r>
        <w:t>BigTech</w:t>
      </w:r>
      <w:proofErr w:type="spellEnd"/>
      <w:r>
        <w:t xml:space="preserve"> w zakresie zarządzania majątkiem, skacząc do 94 proc.</w:t>
      </w:r>
      <w:r>
        <w:t xml:space="preserve"> </w:t>
      </w:r>
      <w:r>
        <w:t>spośród 22 proc.</w:t>
      </w:r>
      <w:r>
        <w:t xml:space="preserve"> </w:t>
      </w:r>
      <w:r>
        <w:t>HNWI, które twierdzą, że mogą zmienić swoją główną firmę zarządzającą majątkiem w ciągu najbliższych 12 miesięcy.</w:t>
      </w:r>
    </w:p>
    <w:p w14:paraId="2AD63795" w14:textId="77777777" w:rsidR="00DB5D8E" w:rsidRDefault="00DB5D8E" w:rsidP="00DB5D8E">
      <w:pPr>
        <w:jc w:val="both"/>
      </w:pPr>
      <w:r>
        <w:t xml:space="preserve">W miarę jak firma </w:t>
      </w:r>
      <w:proofErr w:type="spellStart"/>
      <w:r>
        <w:t>BigTech</w:t>
      </w:r>
      <w:proofErr w:type="spellEnd"/>
      <w:r>
        <w:t xml:space="preserve"> zdobywa grunty pod usługi finansowe, firmy zarządzające majątkiem nie mają innego wyboru, jak tylko szybko zwiększyć zaangażowanie w cyfrowe usługi dla klientów. Przyglądając się punktom kontaktowym, które wzbudzają najmniejszą satysfakcję z HNWI, dostrzec można</w:t>
      </w:r>
      <w:r>
        <w:t xml:space="preserve"> </w:t>
      </w:r>
      <w:r>
        <w:t>trzy etapy podróży klienta jako potencjalne obszary zainteresowania: pozyskiwanie, doradztwo oraz usługi o wartości dodanej.</w:t>
      </w:r>
    </w:p>
    <w:p w14:paraId="771F1AA7" w14:textId="77777777" w:rsidR="00DB5D8E" w:rsidRDefault="00DB5D8E" w:rsidP="00DB5D8E">
      <w:pPr>
        <w:jc w:val="both"/>
      </w:pPr>
      <w:r>
        <w:t>W przypadku firm zarządzających majątkiem, dwutorowa strategia oparta na zasadach Open X</w:t>
      </w:r>
      <w:bookmarkStart w:id="0" w:name="_ftnref5"/>
      <w:r w:rsidRPr="006B2C12">
        <w:t xml:space="preserve"> </w:t>
      </w:r>
      <w:bookmarkEnd w:id="0"/>
      <w:r>
        <w:t xml:space="preserve"> pozwoli menedżerom majątkowym na szybkie i efektywne kosztowo zwiększenie możliwości w całym łańcuchu wartości. W przypadku przejęć, usług doradczych i usług o wartości dodanej firmy powinny inwestować w technologie służące do budowania potencjału wewnętrznego i wykorzystania współpracy ekosystemowej oraz partnerstwa </w:t>
      </w:r>
      <w:proofErr w:type="spellStart"/>
      <w:r>
        <w:t>WealthTech</w:t>
      </w:r>
      <w:proofErr w:type="spellEnd"/>
      <w:r>
        <w:t>.</w:t>
      </w:r>
    </w:p>
    <w:p w14:paraId="41649C1F" w14:textId="15D3DAE1" w:rsidR="00E673E5" w:rsidRPr="00DB5D8E" w:rsidRDefault="00DB5D8E">
      <w:pPr>
        <w:jc w:val="both"/>
      </w:pPr>
      <w:r>
        <w:lastRenderedPageBreak/>
        <w:t>Firmy, które odniosą sukces, to te, które będą w stanie zharmonizować się ze swoim ekosystemem, aby szybko zaspokoić wysokie zapotrzebowanie klientów na łatwo dostępne, spersonalizowane informacje i dostosowane strategie inwestycyjne</w:t>
      </w:r>
      <w:r>
        <w:t>.</w:t>
      </w:r>
    </w:p>
    <w:p w14:paraId="4BC61D17" w14:textId="77777777" w:rsidR="00E673E5" w:rsidRDefault="000147EB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O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Capgemini</w:t>
      </w:r>
      <w:proofErr w:type="spellEnd"/>
    </w:p>
    <w:p w14:paraId="0A56CE4E" w14:textId="77777777" w:rsidR="00E673E5" w:rsidRDefault="000147EB">
      <w:pPr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to światowy lider w dziedzinie doradztwa, usług technologicznych i transformacji cyfrowej. Celem grupy jest wprowadzanie czołowych i innowacyjnych rozwiązań ora</w:t>
      </w:r>
      <w:r>
        <w:rPr>
          <w:rFonts w:ascii="Verdana" w:eastAsia="Verdana" w:hAnsi="Verdana" w:cs="Verdana"/>
          <w:sz w:val="16"/>
          <w:szCs w:val="16"/>
        </w:rPr>
        <w:t xml:space="preserve">z udostępnienie klientom całej gamy możliwości cyfrowego świata, w oparciu o 50-letnią tradycję i szeroką wiedzę branżową. Firma kieruje się przekonaniem, że wartość biznesowa technologii pochodzi od ludzi i powinna im służyć. </w:t>
      </w: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jest wielokulturową</w:t>
      </w:r>
      <w:r>
        <w:rPr>
          <w:rFonts w:ascii="Verdana" w:eastAsia="Verdana" w:hAnsi="Verdana" w:cs="Verdana"/>
          <w:sz w:val="16"/>
          <w:szCs w:val="16"/>
        </w:rPr>
        <w:t xml:space="preserve"> organizacją, liczącą ponad 270 000 pracowników, zatrudnionych w 50 krajach. Grupa odnotowała światowy przychód na poziomie 17 mld EUR (2019). W Polsce </w:t>
      </w: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działa od 1996 roku i jest największym zagranicznym inwestorem z sektora nowoczesnych usług bi</w:t>
      </w:r>
      <w:r>
        <w:rPr>
          <w:rFonts w:ascii="Verdana" w:eastAsia="Verdana" w:hAnsi="Verdana" w:cs="Verdana"/>
          <w:sz w:val="16"/>
          <w:szCs w:val="16"/>
        </w:rPr>
        <w:t>znesowych w naszym kraju. Centra biznesowe są zlokalizowane w Warszawie, Krakowie, Katowicach, Wrocławiu, Poznaniu, Opolu, oraz w Lublinie.</w:t>
      </w:r>
    </w:p>
    <w:p w14:paraId="3F353CBC" w14:textId="77777777" w:rsidR="00E673E5" w:rsidRDefault="000147EB">
      <w:pPr>
        <w:spacing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Zapraszamy na stronę</w:t>
      </w:r>
      <w:hyperlink r:id="rId8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 xml:space="preserve"> </w:t>
        </w:r>
      </w:hyperlink>
      <w:hyperlink r:id="rId9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www.capgemini.com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z w:val="18"/>
          <w:szCs w:val="18"/>
        </w:rPr>
        <w:t xml:space="preserve">People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matter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results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count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>.</w:t>
      </w:r>
    </w:p>
    <w:sectPr w:rsidR="00E673E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E20C0" w14:textId="77777777" w:rsidR="000147EB" w:rsidRDefault="000147EB">
      <w:pPr>
        <w:spacing w:after="0" w:line="240" w:lineRule="auto"/>
      </w:pPr>
      <w:r>
        <w:separator/>
      </w:r>
    </w:p>
  </w:endnote>
  <w:endnote w:type="continuationSeparator" w:id="0">
    <w:p w14:paraId="33C52C16" w14:textId="77777777" w:rsidR="000147EB" w:rsidRDefault="0001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AC1C9" w14:textId="77777777" w:rsidR="00E673E5" w:rsidRDefault="00014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Informacja prasowa </w:t>
    </w:r>
    <w:proofErr w:type="spellStart"/>
    <w:r>
      <w:rPr>
        <w:rFonts w:ascii="Verdana" w:eastAsia="Verdana" w:hAnsi="Verdana" w:cs="Verdana"/>
        <w:i/>
        <w:color w:val="000000"/>
        <w:sz w:val="16"/>
        <w:szCs w:val="16"/>
      </w:rPr>
      <w:t>Capgemini</w:t>
    </w:r>
    <w:proofErr w:type="spellEnd"/>
    <w:r>
      <w:rPr>
        <w:rFonts w:ascii="Verdana" w:eastAsia="Verdana" w:hAnsi="Verdana" w:cs="Verdana"/>
        <w:i/>
        <w:color w:val="000000"/>
        <w:sz w:val="16"/>
        <w:szCs w:val="16"/>
      </w:rPr>
      <w:t xml:space="preserve"> </w:t>
    </w:r>
  </w:p>
  <w:p w14:paraId="3B292478" w14:textId="77777777" w:rsidR="00E673E5" w:rsidRDefault="00E673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0FD67" w14:textId="77777777" w:rsidR="000147EB" w:rsidRDefault="000147EB">
      <w:pPr>
        <w:spacing w:after="0" w:line="240" w:lineRule="auto"/>
      </w:pPr>
      <w:r>
        <w:separator/>
      </w:r>
    </w:p>
  </w:footnote>
  <w:footnote w:type="continuationSeparator" w:id="0">
    <w:p w14:paraId="1C53622E" w14:textId="77777777" w:rsidR="000147EB" w:rsidRDefault="0001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35C8" w14:textId="77777777" w:rsidR="00E673E5" w:rsidRDefault="00014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B107438" wp14:editId="514758AB">
          <wp:extent cx="2387600" cy="571500"/>
          <wp:effectExtent l="0" t="0" r="0" b="0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6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E5"/>
    <w:rsid w:val="000147EB"/>
    <w:rsid w:val="00DB5D8E"/>
    <w:rsid w:val="00E6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CEA9"/>
  <w15:docId w15:val="{4E8B4E90-7D61-4145-B803-91B1F958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gemini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wel.luty@linkleaders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katolik@capgemini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pgemini.com/pl-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03-1285</dc:creator>
  <cp:lastModifiedBy>03-1285</cp:lastModifiedBy>
  <cp:revision>2</cp:revision>
  <dcterms:created xsi:type="dcterms:W3CDTF">2020-07-21T15:02:00Z</dcterms:created>
  <dcterms:modified xsi:type="dcterms:W3CDTF">2020-07-21T15:02:00Z</dcterms:modified>
</cp:coreProperties>
</file>