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1DB" w:rsidRDefault="00B83881">
      <w:pPr>
        <w:pStyle w:val="Nagwek1"/>
        <w:spacing w:before="0" w:after="0"/>
        <w:ind w:left="5954"/>
        <w:jc w:val="right"/>
        <w:rPr>
          <w:rFonts w:ascii="Arial Narrow" w:eastAsia="Arial Narrow" w:hAnsi="Arial Narrow" w:cs="Arial Narrow"/>
          <w:b w:val="0"/>
          <w:color w:val="505050"/>
          <w:sz w:val="22"/>
          <w:szCs w:val="22"/>
        </w:rPr>
      </w:pPr>
      <w:r>
        <w:rPr>
          <w:rFonts w:ascii="Arial Narrow" w:eastAsia="Arial Narrow" w:hAnsi="Arial Narrow" w:cs="Arial Narrow"/>
          <w:b w:val="0"/>
          <w:color w:val="505050"/>
          <w:sz w:val="22"/>
          <w:szCs w:val="22"/>
        </w:rPr>
        <w:t xml:space="preserve">Warszawa, </w:t>
      </w:r>
      <w:r w:rsidR="00731E9B">
        <w:rPr>
          <w:rFonts w:ascii="Arial Narrow" w:eastAsia="Arial Narrow" w:hAnsi="Arial Narrow" w:cs="Arial Narrow"/>
          <w:b w:val="0"/>
          <w:color w:val="505050"/>
          <w:sz w:val="22"/>
          <w:szCs w:val="22"/>
        </w:rPr>
        <w:t>2</w:t>
      </w:r>
      <w:r>
        <w:rPr>
          <w:rFonts w:ascii="Arial Narrow" w:eastAsia="Arial Narrow" w:hAnsi="Arial Narrow" w:cs="Arial Narrow"/>
          <w:b w:val="0"/>
          <w:color w:val="505050"/>
          <w:sz w:val="22"/>
          <w:szCs w:val="22"/>
        </w:rPr>
        <w:t>.10.2020 r.</w:t>
      </w:r>
      <w:r>
        <w:rPr>
          <w:rFonts w:ascii="Arimo" w:eastAsia="Arimo" w:hAnsi="Arimo" w:cs="Arimo"/>
          <w:b w:val="0"/>
          <w:color w:val="505050"/>
          <w:sz w:val="22"/>
          <w:szCs w:val="22"/>
        </w:rPr>
        <w:br/>
      </w:r>
    </w:p>
    <w:p w:rsidR="00BD61DB" w:rsidRDefault="00BD61DB">
      <w:pPr>
        <w:rPr>
          <w:color w:val="505050"/>
        </w:rPr>
      </w:pPr>
    </w:p>
    <w:p w:rsidR="00BD61DB" w:rsidRDefault="00B83881">
      <w:pPr>
        <w:ind w:right="113"/>
        <w:jc w:val="right"/>
        <w:rPr>
          <w:rFonts w:ascii="Arial Narrow" w:eastAsia="Arial Narrow" w:hAnsi="Arial Narrow" w:cs="Arial Narrow"/>
          <w:b/>
          <w:color w:val="505050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505050"/>
          <w:sz w:val="36"/>
          <w:szCs w:val="36"/>
        </w:rPr>
        <w:t>Informacja prasowa</w:t>
      </w:r>
    </w:p>
    <w:p w:rsidR="00BD61DB" w:rsidRDefault="00BD61DB">
      <w:pPr>
        <w:ind w:right="113"/>
        <w:jc w:val="right"/>
        <w:rPr>
          <w:rFonts w:ascii="Arial" w:eastAsia="Arial" w:hAnsi="Arial" w:cs="Arial"/>
          <w:b/>
          <w:color w:val="505050"/>
          <w:sz w:val="36"/>
          <w:szCs w:val="36"/>
        </w:rPr>
      </w:pPr>
    </w:p>
    <w:p w:rsidR="00BD61DB" w:rsidRDefault="00B83881">
      <w:pPr>
        <w:ind w:right="113"/>
        <w:rPr>
          <w:rFonts w:ascii="Arial" w:eastAsia="Arial" w:hAnsi="Arial" w:cs="Arial"/>
          <w:b/>
          <w:color w:val="505050"/>
          <w:sz w:val="32"/>
          <w:szCs w:val="32"/>
        </w:rPr>
      </w:pPr>
      <w:r>
        <w:rPr>
          <w:rFonts w:ascii="Arial" w:eastAsia="Arial" w:hAnsi="Arial" w:cs="Arial"/>
          <w:b/>
          <w:color w:val="505050"/>
          <w:sz w:val="32"/>
          <w:szCs w:val="32"/>
        </w:rPr>
        <w:t xml:space="preserve">Wyniki Grupy Kapitałowej White </w:t>
      </w:r>
      <w:proofErr w:type="spellStart"/>
      <w:r>
        <w:rPr>
          <w:rFonts w:ascii="Arial" w:eastAsia="Arial" w:hAnsi="Arial" w:cs="Arial"/>
          <w:b/>
          <w:color w:val="505050"/>
          <w:sz w:val="32"/>
          <w:szCs w:val="32"/>
        </w:rPr>
        <w:t>Stone</w:t>
      </w:r>
      <w:proofErr w:type="spellEnd"/>
      <w:r>
        <w:rPr>
          <w:rFonts w:ascii="Arial" w:eastAsia="Arial" w:hAnsi="Arial" w:cs="Arial"/>
          <w:b/>
          <w:color w:val="505050"/>
          <w:sz w:val="32"/>
          <w:szCs w:val="32"/>
        </w:rPr>
        <w:t xml:space="preserve"> po 1H 2020 r.</w:t>
      </w:r>
    </w:p>
    <w:p w:rsidR="00BD61DB" w:rsidRDefault="00B83881">
      <w:pPr>
        <w:jc w:val="both"/>
        <w:rPr>
          <w:rFonts w:ascii="Arial Narrow" w:eastAsia="Arial Narrow" w:hAnsi="Arial Narrow" w:cs="Arial Narrow"/>
          <w:b/>
          <w:color w:val="505050"/>
        </w:rPr>
      </w:pPr>
      <w:r>
        <w:rPr>
          <w:rFonts w:ascii="Arial Narrow" w:eastAsia="Arial Narrow" w:hAnsi="Arial Narrow" w:cs="Arial Narrow"/>
          <w:b/>
          <w:color w:val="505050"/>
        </w:rPr>
        <w:t xml:space="preserve">Konsekwentna realizacja planów inwestycyjnych w obszarze nieruchomości mieszkaniowych i komercyjnych przyczyniła się do wzrostu sumy bilansowej Grupy Kapitałowej White </w:t>
      </w:r>
      <w:proofErr w:type="spellStart"/>
      <w:r>
        <w:rPr>
          <w:rFonts w:ascii="Arial Narrow" w:eastAsia="Arial Narrow" w:hAnsi="Arial Narrow" w:cs="Arial Narrow"/>
          <w:b/>
          <w:color w:val="505050"/>
        </w:rPr>
        <w:t>Stone</w:t>
      </w:r>
      <w:proofErr w:type="spellEnd"/>
      <w:r>
        <w:rPr>
          <w:rFonts w:ascii="Arial Narrow" w:eastAsia="Arial Narrow" w:hAnsi="Arial Narrow" w:cs="Arial Narrow"/>
          <w:b/>
          <w:color w:val="505050"/>
        </w:rPr>
        <w:t xml:space="preserve"> w pierwszym półroczu 2020 r. o 7 proc. do poziomu przeszło 536 mln zł. Wzrost przychodów we wszystkich trzech podstawowych obszarach działalności do poziomu niemal 140 mln zł, stabilna sprzedaż lokali mieszkaniowych pomimo zawirowań rynkowych związanych z pandemią COVID</w:t>
      </w:r>
      <w:r w:rsidR="00DE18B5">
        <w:rPr>
          <w:rFonts w:ascii="Arial Narrow" w:eastAsia="Arial Narrow" w:hAnsi="Arial Narrow" w:cs="Arial Narrow"/>
          <w:b/>
          <w:color w:val="505050"/>
        </w:rPr>
        <w:t>-19</w:t>
      </w:r>
      <w:r>
        <w:rPr>
          <w:rFonts w:ascii="Arial Narrow" w:eastAsia="Arial Narrow" w:hAnsi="Arial Narrow" w:cs="Arial Narrow"/>
          <w:b/>
          <w:color w:val="505050"/>
        </w:rPr>
        <w:t xml:space="preserve">, to dobre prognostyki na drugą połowę roku. W ciągu pierwszych sześciu miesięcy br. White </w:t>
      </w:r>
      <w:proofErr w:type="spellStart"/>
      <w:r>
        <w:rPr>
          <w:rFonts w:ascii="Arial Narrow" w:eastAsia="Arial Narrow" w:hAnsi="Arial Narrow" w:cs="Arial Narrow"/>
          <w:b/>
          <w:color w:val="505050"/>
        </w:rPr>
        <w:t>Stone</w:t>
      </w:r>
      <w:proofErr w:type="spellEnd"/>
      <w:r>
        <w:rPr>
          <w:rFonts w:ascii="Arial Narrow" w:eastAsia="Arial Narrow" w:hAnsi="Arial Narrow" w:cs="Arial Narrow"/>
          <w:b/>
          <w:color w:val="505050"/>
        </w:rPr>
        <w:t xml:space="preserve"> zadbał o zwiększenie bazy gruntów pod kolejne projekty mieszkaniowe i komercyjne.</w:t>
      </w:r>
    </w:p>
    <w:p w:rsidR="00BD61DB" w:rsidRDefault="00B83881">
      <w:pPr>
        <w:jc w:val="both"/>
        <w:rPr>
          <w:rFonts w:ascii="Arial Narrow" w:eastAsia="Arial Narrow" w:hAnsi="Arial Narrow" w:cs="Arial Narrow"/>
          <w:color w:val="505050"/>
        </w:rPr>
      </w:pPr>
      <w:r>
        <w:rPr>
          <w:rFonts w:ascii="Arial Narrow" w:eastAsia="Arial Narrow" w:hAnsi="Arial Narrow" w:cs="Arial Narrow"/>
          <w:color w:val="505050"/>
        </w:rPr>
        <w:t xml:space="preserve">Grupa White </w:t>
      </w:r>
      <w:proofErr w:type="spellStart"/>
      <w:r>
        <w:rPr>
          <w:rFonts w:ascii="Arial Narrow" w:eastAsia="Arial Narrow" w:hAnsi="Arial Narrow" w:cs="Arial Narrow"/>
          <w:color w:val="505050"/>
        </w:rPr>
        <w:t>Stone</w:t>
      </w:r>
      <w:proofErr w:type="spellEnd"/>
      <w:r>
        <w:rPr>
          <w:rFonts w:ascii="Arial Narrow" w:eastAsia="Arial Narrow" w:hAnsi="Arial Narrow" w:cs="Arial Narrow"/>
          <w:color w:val="505050"/>
        </w:rPr>
        <w:t xml:space="preserve"> rozwija swoją strukturę i działalność w oparciu o trzy filary – inwestycje mieszkaniowe, komercyjne oraz budownictwo i technologie. W ciągu pięciu lat od rozpoczęcia łączenia i rozwoju działalności spółek w grupie, White </w:t>
      </w:r>
      <w:proofErr w:type="spellStart"/>
      <w:r>
        <w:rPr>
          <w:rFonts w:ascii="Arial Narrow" w:eastAsia="Arial Narrow" w:hAnsi="Arial Narrow" w:cs="Arial Narrow"/>
          <w:color w:val="505050"/>
        </w:rPr>
        <w:t>Stone</w:t>
      </w:r>
      <w:proofErr w:type="spellEnd"/>
      <w:r>
        <w:rPr>
          <w:rFonts w:ascii="Arial Narrow" w:eastAsia="Arial Narrow" w:hAnsi="Arial Narrow" w:cs="Arial Narrow"/>
          <w:color w:val="505050"/>
        </w:rPr>
        <w:t xml:space="preserve"> zbudował zdywersyfikowany portfel inwestycji, zyskał zaufanie inwestorów i planuje dalszy zdecydowany wzrost. </w:t>
      </w:r>
    </w:p>
    <w:p w:rsidR="00BD61DB" w:rsidRDefault="00B83881">
      <w:pPr>
        <w:jc w:val="both"/>
        <w:rPr>
          <w:rFonts w:ascii="Arial Narrow" w:eastAsia="Arial Narrow" w:hAnsi="Arial Narrow" w:cs="Arial Narrow"/>
          <w:color w:val="505050"/>
        </w:rPr>
      </w:pPr>
      <w:r>
        <w:rPr>
          <w:rFonts w:ascii="Arial Narrow" w:eastAsia="Arial Narrow" w:hAnsi="Arial Narrow" w:cs="Arial Narrow"/>
          <w:color w:val="505050"/>
        </w:rPr>
        <w:t xml:space="preserve">W ciągu pierwszego półrocza 2020 r., pomimo utrudnień związanych z wybuchem pandemii, firma White </w:t>
      </w:r>
      <w:proofErr w:type="spellStart"/>
      <w:r>
        <w:rPr>
          <w:rFonts w:ascii="Arial Narrow" w:eastAsia="Arial Narrow" w:hAnsi="Arial Narrow" w:cs="Arial Narrow"/>
          <w:color w:val="505050"/>
        </w:rPr>
        <w:t>Stone</w:t>
      </w:r>
      <w:proofErr w:type="spellEnd"/>
      <w:r>
        <w:rPr>
          <w:rFonts w:ascii="Arial Narrow" w:eastAsia="Arial Narrow" w:hAnsi="Arial Narrow" w:cs="Arial Narrow"/>
          <w:color w:val="505050"/>
        </w:rPr>
        <w:t xml:space="preserve"> zgodnie z planem realizowała projekty mieszkaniowe w Warszawie i Szczecinie, zmodernizowała zakupiony w 2019 r. kompleks biurowy HOL 7.7 przy ul. Cybernetyki 7 i 7a oraz prowadziła dalszy proces rewitalizacji Fortu Mokotów i szczecińskiej Willi </w:t>
      </w:r>
      <w:proofErr w:type="spellStart"/>
      <w:r>
        <w:rPr>
          <w:rFonts w:ascii="Arial Narrow" w:eastAsia="Arial Narrow" w:hAnsi="Arial Narrow" w:cs="Arial Narrow"/>
          <w:color w:val="505050"/>
        </w:rPr>
        <w:t>Nellego</w:t>
      </w:r>
      <w:proofErr w:type="spellEnd"/>
      <w:r>
        <w:rPr>
          <w:rFonts w:ascii="Arial Narrow" w:eastAsia="Arial Narrow" w:hAnsi="Arial Narrow" w:cs="Arial Narrow"/>
          <w:color w:val="505050"/>
        </w:rPr>
        <w:t>. Ponadto deweloper sfinalizował zakup gruntu pod budowę osiedla mieszkaniowego w podwarszawskim Józefosławiu i prowadził działania przygotowawcze do kolejnej znaczącej inwestycji komercyjnej.</w:t>
      </w:r>
    </w:p>
    <w:p w:rsidR="00BD61DB" w:rsidRDefault="00B83881">
      <w:pPr>
        <w:jc w:val="both"/>
        <w:rPr>
          <w:rFonts w:ascii="Arial Narrow" w:eastAsia="Arial Narrow" w:hAnsi="Arial Narrow" w:cs="Arial Narrow"/>
          <w:b/>
          <w:color w:val="505050"/>
        </w:rPr>
      </w:pPr>
      <w:r>
        <w:rPr>
          <w:rFonts w:ascii="Arial Narrow" w:eastAsia="Arial Narrow" w:hAnsi="Arial Narrow" w:cs="Arial Narrow"/>
          <w:b/>
          <w:color w:val="505050"/>
        </w:rPr>
        <w:t>Wzrost skali działalności</w:t>
      </w:r>
    </w:p>
    <w:p w:rsidR="00BD61DB" w:rsidRDefault="00B83881">
      <w:pPr>
        <w:jc w:val="both"/>
        <w:rPr>
          <w:rFonts w:ascii="Arial Narrow" w:eastAsia="Arial Narrow" w:hAnsi="Arial Narrow" w:cs="Arial Narrow"/>
          <w:color w:val="505050"/>
        </w:rPr>
      </w:pPr>
      <w:r>
        <w:rPr>
          <w:rFonts w:ascii="Arial Narrow" w:eastAsia="Arial Narrow" w:hAnsi="Arial Narrow" w:cs="Arial Narrow"/>
          <w:color w:val="505050"/>
        </w:rPr>
        <w:t xml:space="preserve">Pomimo przejściowego wstrzymania lub spowolnienia działalności urzędów, banków i kancelarii notarialnych w Q2 2020r., w pierwszym półroczu Grupa White </w:t>
      </w:r>
      <w:proofErr w:type="spellStart"/>
      <w:r>
        <w:rPr>
          <w:rFonts w:ascii="Arial Narrow" w:eastAsia="Arial Narrow" w:hAnsi="Arial Narrow" w:cs="Arial Narrow"/>
          <w:color w:val="505050"/>
        </w:rPr>
        <w:t>Stone</w:t>
      </w:r>
      <w:proofErr w:type="spellEnd"/>
      <w:r>
        <w:rPr>
          <w:rFonts w:ascii="Arial Narrow" w:eastAsia="Arial Narrow" w:hAnsi="Arial Narrow" w:cs="Arial Narrow"/>
          <w:color w:val="505050"/>
        </w:rPr>
        <w:t xml:space="preserve"> zawarła umowy na niemal 200 lokali. Na zakupionej w br. działce w Józefosławiu deweloper zamierza zrealizować projekt na ok. 200 mieszkań i lokale usługowe. Trwają także prace nad uzyskaniem niezbędnych pozwoleń na budowę V i VI etapu osiedla Zielone Zamienie w gminie Lesznowola. W segmencie mieszkaniowym Grupa osiągnęła na koniec czerwca 25,6 mln zł przychodów netto, głównie z projektu Zielone Zamienie. W drugim półroczu nastąpi zdecydowany wzrost przychodów w ramach projektu Ornament w Szczecinie w związku z uzyskaniem pozwoleń na użytkowanie dwóch etapów osiedla.</w:t>
      </w:r>
    </w:p>
    <w:p w:rsidR="00BD61DB" w:rsidRDefault="00B83881">
      <w:pPr>
        <w:jc w:val="both"/>
        <w:rPr>
          <w:rFonts w:ascii="Arial Narrow" w:eastAsia="Arial Narrow" w:hAnsi="Arial Narrow" w:cs="Arial Narrow"/>
          <w:color w:val="505050"/>
        </w:rPr>
      </w:pPr>
      <w:r>
        <w:rPr>
          <w:rFonts w:ascii="Arial Narrow" w:eastAsia="Arial Narrow" w:hAnsi="Arial Narrow" w:cs="Arial Narrow"/>
          <w:color w:val="505050"/>
        </w:rPr>
        <w:t xml:space="preserve">W obszarze inwestycji komercyjnych, pomimo niepewności na tym rynku, przychody za pierwsze sześć miesięcy br. wzrosły o 78 proc. osiągając wartość 10,3 mln zł – jest to wynik zakupu w lutym 2019 r. kompleksu HOL 7.7 oraz </w:t>
      </w:r>
      <w:r>
        <w:rPr>
          <w:rFonts w:ascii="Arial Narrow" w:eastAsia="Arial Narrow" w:hAnsi="Arial Narrow" w:cs="Arial Narrow"/>
          <w:color w:val="505050"/>
        </w:rPr>
        <w:lastRenderedPageBreak/>
        <w:t xml:space="preserve">zakończenia budowy budynku Celebro przy ul. Gładkiej w Warszawie. W tym czasie White </w:t>
      </w:r>
      <w:proofErr w:type="spellStart"/>
      <w:r>
        <w:rPr>
          <w:rFonts w:ascii="Arial Narrow" w:eastAsia="Arial Narrow" w:hAnsi="Arial Narrow" w:cs="Arial Narrow"/>
          <w:color w:val="505050"/>
        </w:rPr>
        <w:t>Stone</w:t>
      </w:r>
      <w:proofErr w:type="spellEnd"/>
      <w:r>
        <w:rPr>
          <w:rFonts w:ascii="Arial Narrow" w:eastAsia="Arial Narrow" w:hAnsi="Arial Narrow" w:cs="Arial Narrow"/>
          <w:color w:val="505050"/>
        </w:rPr>
        <w:t xml:space="preserve"> prowadził dalsze prace rewitalizacyjne w Forcie Mokotów, a także renegocjował umowy najmu, zwłaszcza w obszarze gastronomii.</w:t>
      </w:r>
    </w:p>
    <w:p w:rsidR="00BD61DB" w:rsidRDefault="00B83881">
      <w:pPr>
        <w:jc w:val="both"/>
        <w:rPr>
          <w:rFonts w:ascii="Arial Narrow" w:eastAsia="Arial Narrow" w:hAnsi="Arial Narrow" w:cs="Arial Narrow"/>
          <w:color w:val="505050"/>
        </w:rPr>
      </w:pPr>
      <w:r>
        <w:rPr>
          <w:rFonts w:ascii="Arial Narrow" w:eastAsia="Arial Narrow" w:hAnsi="Arial Narrow" w:cs="Arial Narrow"/>
          <w:color w:val="505050"/>
        </w:rPr>
        <w:t xml:space="preserve">W segmencie budownictwa i technologii Grupa odnotowała wzrost przychodów o ok. 12 proc. do 103,9 mln zł, a także dodatnią marżę operacyjną. Przyczynił się do tego m.in. zakup we wrześniu 2019 r. 70% udziałów w spółce technologicznej działającej w obszarze </w:t>
      </w:r>
      <w:proofErr w:type="spellStart"/>
      <w:r>
        <w:rPr>
          <w:rFonts w:ascii="Arial Narrow" w:eastAsia="Arial Narrow" w:hAnsi="Arial Narrow" w:cs="Arial Narrow"/>
          <w:color w:val="505050"/>
        </w:rPr>
        <w:t>construction</w:t>
      </w:r>
      <w:proofErr w:type="spellEnd"/>
      <w:r>
        <w:rPr>
          <w:rFonts w:ascii="Arial Narrow" w:eastAsia="Arial Narrow" w:hAnsi="Arial Narrow" w:cs="Arial Narrow"/>
          <w:color w:val="505050"/>
        </w:rPr>
        <w:t xml:space="preserve">, MAAT 4. </w:t>
      </w:r>
    </w:p>
    <w:p w:rsidR="00BD61DB" w:rsidRDefault="00B83881">
      <w:pPr>
        <w:jc w:val="both"/>
        <w:rPr>
          <w:rFonts w:ascii="Arial Narrow" w:eastAsia="Arial Narrow" w:hAnsi="Arial Narrow" w:cs="Arial Narrow"/>
          <w:color w:val="505050"/>
        </w:rPr>
      </w:pPr>
      <w:r>
        <w:rPr>
          <w:rFonts w:ascii="Arial Narrow" w:eastAsia="Arial Narrow" w:hAnsi="Arial Narrow" w:cs="Arial Narrow"/>
          <w:color w:val="505050"/>
        </w:rPr>
        <w:t xml:space="preserve">„Ten rok przyniósł wszystkim nieoczekiwane zawirowania, z którymi musieliśmy się zmierzyć. Mamy za sobą bardzo intensywne sześć miesięcy dobrej sprzedaży, niezachwianej realizacji projektów budowlanych i technologicznych, co przyniosło wzrost przychodów, a także przygotowania nowych, dobrze przemyślanych inwestycji. Z drugiej strony przedłużające się kwestie administracyjne spowodowały przesunięcie realizacji przychodów z części inwestycji na ostatnie kwartały tego roku.”, mówi </w:t>
      </w:r>
      <w:r>
        <w:rPr>
          <w:rFonts w:ascii="Arial Narrow" w:eastAsia="Arial Narrow" w:hAnsi="Arial Narrow" w:cs="Arial Narrow"/>
          <w:b/>
          <w:color w:val="505050"/>
        </w:rPr>
        <w:t xml:space="preserve">Anna Suchodolska, co-CEO i CFO w White </w:t>
      </w:r>
      <w:proofErr w:type="spellStart"/>
      <w:r>
        <w:rPr>
          <w:rFonts w:ascii="Arial Narrow" w:eastAsia="Arial Narrow" w:hAnsi="Arial Narrow" w:cs="Arial Narrow"/>
          <w:b/>
          <w:color w:val="505050"/>
        </w:rPr>
        <w:t>Stone</w:t>
      </w:r>
      <w:proofErr w:type="spellEnd"/>
      <w:r>
        <w:rPr>
          <w:rFonts w:ascii="Arial Narrow" w:eastAsia="Arial Narrow" w:hAnsi="Arial Narrow" w:cs="Arial Narrow"/>
          <w:b/>
          <w:color w:val="505050"/>
        </w:rPr>
        <w:t xml:space="preserve"> Development</w:t>
      </w:r>
      <w:r>
        <w:rPr>
          <w:rFonts w:ascii="Arial Narrow" w:eastAsia="Arial Narrow" w:hAnsi="Arial Narrow" w:cs="Arial Narrow"/>
          <w:color w:val="505050"/>
        </w:rPr>
        <w:t xml:space="preserve">. </w:t>
      </w:r>
    </w:p>
    <w:p w:rsidR="00BD61DB" w:rsidRDefault="00B83881">
      <w:pPr>
        <w:jc w:val="both"/>
        <w:rPr>
          <w:rFonts w:ascii="Arial Narrow" w:eastAsia="Arial Narrow" w:hAnsi="Arial Narrow" w:cs="Arial Narrow"/>
          <w:color w:val="505050"/>
        </w:rPr>
      </w:pPr>
      <w:r>
        <w:rPr>
          <w:rFonts w:ascii="Arial Narrow" w:eastAsia="Arial Narrow" w:hAnsi="Arial Narrow" w:cs="Arial Narrow"/>
          <w:color w:val="505050"/>
        </w:rPr>
        <w:t>Przede wszystkim w związku z przesunięciem sprzedaży notarialnej inwestycji mieszkaniowej w Szczecinie grupa odnotowała spadek EBITDA o ok. 8 proc. z 8,25 mln zł w połowie 2019 r. do 7,57 mln zł na koniec czerwca 2020 r.</w:t>
      </w:r>
    </w:p>
    <w:p w:rsidR="00BD61DB" w:rsidRDefault="00B83881">
      <w:pPr>
        <w:jc w:val="both"/>
        <w:rPr>
          <w:rFonts w:ascii="Arial Narrow" w:eastAsia="Arial Narrow" w:hAnsi="Arial Narrow" w:cs="Arial Narrow"/>
          <w:color w:val="505050"/>
        </w:rPr>
      </w:pPr>
      <w:r>
        <w:rPr>
          <w:rFonts w:ascii="Arial Narrow" w:eastAsia="Arial Narrow" w:hAnsi="Arial Narrow" w:cs="Arial Narrow"/>
          <w:color w:val="505050"/>
        </w:rPr>
        <w:t xml:space="preserve">„Pomimo kryzysu wywołanego na świecie przez epidemię COVID-19, dzięki prowadzonej przez nas zrównoważonej polityce zarządzania ryzykiem, relatywnie niskiemu zadłużeniu, posiadanym zabezpieczeniom oraz odpowiedzialnemu doborowi projektów, możemy spokojnie realizować nasze plany i pracować nad zwiększaniem wartości Grupy White </w:t>
      </w:r>
      <w:proofErr w:type="spellStart"/>
      <w:r>
        <w:rPr>
          <w:rFonts w:ascii="Arial Narrow" w:eastAsia="Arial Narrow" w:hAnsi="Arial Narrow" w:cs="Arial Narrow"/>
          <w:color w:val="505050"/>
        </w:rPr>
        <w:t>Stone</w:t>
      </w:r>
      <w:proofErr w:type="spellEnd"/>
      <w:r>
        <w:rPr>
          <w:rFonts w:ascii="Arial Narrow" w:eastAsia="Arial Narrow" w:hAnsi="Arial Narrow" w:cs="Arial Narrow"/>
          <w:color w:val="505050"/>
        </w:rPr>
        <w:t xml:space="preserve">. W sierpniu br. z sukcesem przeprowadziliśmy emisję 25 mln zł obligacji i staramy się o dopuszczenie do rynku </w:t>
      </w:r>
      <w:proofErr w:type="spellStart"/>
      <w:r>
        <w:rPr>
          <w:rFonts w:ascii="Arial Narrow" w:eastAsia="Arial Narrow" w:hAnsi="Arial Narrow" w:cs="Arial Narrow"/>
          <w:color w:val="505050"/>
        </w:rPr>
        <w:t>Catalyst</w:t>
      </w:r>
      <w:proofErr w:type="spellEnd"/>
      <w:r>
        <w:rPr>
          <w:rFonts w:ascii="Arial Narrow" w:eastAsia="Arial Narrow" w:hAnsi="Arial Narrow" w:cs="Arial Narrow"/>
          <w:color w:val="505050"/>
        </w:rPr>
        <w:t xml:space="preserve">. Szykując kolejne inwestycje, bacznie przyglądamy się szansom wynikającym ze zmian na rynku wywołanym pandemią, trendowi umacniania się Polski wśród europejskich rynków wschodzących, w obszarze np. centrów usług.”, podsumowuje </w:t>
      </w:r>
      <w:r>
        <w:rPr>
          <w:rFonts w:ascii="Arial Narrow" w:eastAsia="Arial Narrow" w:hAnsi="Arial Narrow" w:cs="Arial Narrow"/>
          <w:b/>
          <w:color w:val="505050"/>
        </w:rPr>
        <w:t>Anna Suchodolska</w:t>
      </w:r>
      <w:r>
        <w:rPr>
          <w:rFonts w:ascii="Arial Narrow" w:eastAsia="Arial Narrow" w:hAnsi="Arial Narrow" w:cs="Arial Narrow"/>
          <w:color w:val="505050"/>
        </w:rPr>
        <w:t>.</w:t>
      </w:r>
    </w:p>
    <w:p w:rsidR="00BD61DB" w:rsidRDefault="00B83881">
      <w:pPr>
        <w:jc w:val="both"/>
        <w:rPr>
          <w:rFonts w:ascii="Arial Narrow" w:eastAsia="Arial Narrow" w:hAnsi="Arial Narrow" w:cs="Arial Narrow"/>
          <w:color w:val="505050"/>
        </w:rPr>
      </w:pPr>
      <w:r>
        <w:rPr>
          <w:rFonts w:ascii="Arial Narrow" w:eastAsia="Arial Narrow" w:hAnsi="Arial Narrow" w:cs="Arial Narrow"/>
          <w:color w:val="505050"/>
        </w:rPr>
        <w:t xml:space="preserve">Grupa White </w:t>
      </w:r>
      <w:proofErr w:type="spellStart"/>
      <w:r>
        <w:rPr>
          <w:rFonts w:ascii="Arial Narrow" w:eastAsia="Arial Narrow" w:hAnsi="Arial Narrow" w:cs="Arial Narrow"/>
          <w:color w:val="505050"/>
        </w:rPr>
        <w:t>Stone</w:t>
      </w:r>
      <w:proofErr w:type="spellEnd"/>
      <w:r>
        <w:rPr>
          <w:rFonts w:ascii="Arial Narrow" w:eastAsia="Arial Narrow" w:hAnsi="Arial Narrow" w:cs="Arial Narrow"/>
          <w:color w:val="505050"/>
        </w:rPr>
        <w:t xml:space="preserve"> dąży do tego, aby samodzielnie i kompleksowo móc realizować projekty deweloperskie i inwestycyjne, a także badania i analizy poprzedzające zakup nieruchomości, czyli cały proces tworzenia koncepcji, projektowania i budowy, aż po zarządzanie lub sprzedaż.</w:t>
      </w:r>
    </w:p>
    <w:p w:rsidR="00BD61DB" w:rsidRDefault="00B83881">
      <w:pPr>
        <w:ind w:right="113"/>
        <w:jc w:val="both"/>
        <w:rPr>
          <w:rFonts w:ascii="Arial Narrow" w:eastAsia="Arial Narrow" w:hAnsi="Arial Narrow" w:cs="Arial Narrow"/>
          <w:color w:val="505050"/>
        </w:rPr>
      </w:pPr>
      <w:r>
        <w:rPr>
          <w:rFonts w:ascii="Arial Narrow" w:eastAsia="Arial Narrow" w:hAnsi="Arial Narrow" w:cs="Arial Narrow"/>
          <w:color w:val="505050"/>
        </w:rPr>
        <w:t xml:space="preserve">Grupa kapitałowa White </w:t>
      </w:r>
      <w:proofErr w:type="spellStart"/>
      <w:r>
        <w:rPr>
          <w:rFonts w:ascii="Arial Narrow" w:eastAsia="Arial Narrow" w:hAnsi="Arial Narrow" w:cs="Arial Narrow"/>
          <w:color w:val="505050"/>
        </w:rPr>
        <w:t>Stone</w:t>
      </w:r>
      <w:proofErr w:type="spellEnd"/>
      <w:r>
        <w:rPr>
          <w:rFonts w:ascii="Arial Narrow" w:eastAsia="Arial Narrow" w:hAnsi="Arial Narrow" w:cs="Arial Narrow"/>
          <w:color w:val="505050"/>
        </w:rPr>
        <w:t xml:space="preserve"> znana jest w Polsce pod tą nazwą od 7 lat, ale korzenie jej działalności sięgają 1995 roku. Jako deweloper nowoczesnych nieruchomości mieszkaniowych i komercyjnych ma na koncie 73 zrealizowane projekty mieszkaniowe (ponad 2 000 mieszkań), 8 budynków komercyjnych i 78 000 mkw. powierzchni biurowej. Do realizacji deweloperskich grupy White </w:t>
      </w:r>
      <w:proofErr w:type="spellStart"/>
      <w:r>
        <w:rPr>
          <w:rFonts w:ascii="Arial Narrow" w:eastAsia="Arial Narrow" w:hAnsi="Arial Narrow" w:cs="Arial Narrow"/>
          <w:color w:val="505050"/>
        </w:rPr>
        <w:t>Stone</w:t>
      </w:r>
      <w:proofErr w:type="spellEnd"/>
      <w:r>
        <w:rPr>
          <w:rFonts w:ascii="Arial Narrow" w:eastAsia="Arial Narrow" w:hAnsi="Arial Narrow" w:cs="Arial Narrow"/>
          <w:color w:val="505050"/>
        </w:rPr>
        <w:t xml:space="preserve"> należą takie projekty jak: kompleksy apartamentowców przy ul. Biały Kamień i Chodkiewicza, Multimedialny Dom Plusa i zrewitalizowany Fort Mokotów w Warszawie. W strukturach grupy działa także firma realizująca projekty budowlane o rocznych obrotach sięgających 200 mln zł.</w:t>
      </w:r>
    </w:p>
    <w:p w:rsidR="00BD61DB" w:rsidRDefault="00BD61DB">
      <w:pPr>
        <w:ind w:right="113"/>
        <w:jc w:val="both"/>
      </w:pPr>
    </w:p>
    <w:sectPr w:rsidR="00BD61D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1134" w:bottom="1985" w:left="1134" w:header="85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A02" w:rsidRDefault="006E6A02">
      <w:pPr>
        <w:spacing w:after="0" w:line="240" w:lineRule="auto"/>
      </w:pPr>
      <w:r>
        <w:separator/>
      </w:r>
    </w:p>
  </w:endnote>
  <w:endnote w:type="continuationSeparator" w:id="0">
    <w:p w:rsidR="006E6A02" w:rsidRDefault="006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Calibri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1DB" w:rsidRDefault="00B83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 Narrow" w:eastAsia="Arial Narrow" w:hAnsi="Arial Narrow" w:cs="Arial Narrow"/>
        <w:noProof/>
        <w:color w:val="595959"/>
        <w:sz w:val="16"/>
        <w:szCs w:val="16"/>
      </w:rPr>
      <w:drawing>
        <wp:inline distT="0" distB="0" distL="0" distR="0">
          <wp:extent cx="6116193" cy="1169099"/>
          <wp:effectExtent l="0" t="0" r="0" b="0"/>
          <wp:docPr id="7" name="image1.jpg" descr="WS_bottom_edit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S_bottom_edit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193" cy="1169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1DB" w:rsidRDefault="00B83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16193" cy="1169099"/>
          <wp:effectExtent l="0" t="0" r="0" b="0"/>
          <wp:docPr id="8" name="image1.jpg" descr="WS_bottom_edit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S_bottom_edit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193" cy="1169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A02" w:rsidRDefault="006E6A02">
      <w:pPr>
        <w:spacing w:after="0" w:line="240" w:lineRule="auto"/>
      </w:pPr>
      <w:r>
        <w:separator/>
      </w:r>
    </w:p>
  </w:footnote>
  <w:footnote w:type="continuationSeparator" w:id="0">
    <w:p w:rsidR="006E6A02" w:rsidRDefault="006E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1DB" w:rsidRDefault="00B83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 Narrow" w:eastAsia="Arial Narrow" w:hAnsi="Arial Narrow" w:cs="Arial Narrow"/>
        <w:color w:val="595959"/>
        <w:sz w:val="16"/>
        <w:szCs w:val="16"/>
      </w:rPr>
    </w:pPr>
    <w:r>
      <w:rPr>
        <w:rFonts w:ascii="Arial Narrow" w:eastAsia="Arial Narrow" w:hAnsi="Arial Narrow" w:cs="Arial Narrow"/>
        <w:color w:val="595959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595959"/>
        <w:sz w:val="16"/>
        <w:szCs w:val="16"/>
      </w:rPr>
      <w:instrText>PAGE</w:instrText>
    </w:r>
    <w:r>
      <w:rPr>
        <w:rFonts w:ascii="Arial Narrow" w:eastAsia="Arial Narrow" w:hAnsi="Arial Narrow" w:cs="Arial Narrow"/>
        <w:color w:val="595959"/>
        <w:sz w:val="16"/>
        <w:szCs w:val="16"/>
      </w:rPr>
      <w:fldChar w:fldCharType="separate"/>
    </w:r>
    <w:r w:rsidR="00731E9B">
      <w:rPr>
        <w:rFonts w:ascii="Arial Narrow" w:eastAsia="Arial Narrow" w:hAnsi="Arial Narrow" w:cs="Arial Narrow"/>
        <w:noProof/>
        <w:color w:val="595959"/>
        <w:sz w:val="16"/>
        <w:szCs w:val="16"/>
      </w:rPr>
      <w:t>2</w:t>
    </w:r>
    <w:r>
      <w:rPr>
        <w:rFonts w:ascii="Arial Narrow" w:eastAsia="Arial Narrow" w:hAnsi="Arial Narrow" w:cs="Arial Narrow"/>
        <w:color w:val="595959"/>
        <w:sz w:val="16"/>
        <w:szCs w:val="16"/>
      </w:rPr>
      <w:fldChar w:fldCharType="end"/>
    </w:r>
  </w:p>
  <w:p w:rsidR="00BD61DB" w:rsidRDefault="00B83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998"/>
      </w:tabs>
      <w:rPr>
        <w:color w:val="000000"/>
      </w:rPr>
    </w:pPr>
    <w:r>
      <w:rPr>
        <w:rFonts w:ascii="Arial Narrow" w:eastAsia="Arial Narrow" w:hAnsi="Arial Narrow" w:cs="Arial Narrow"/>
        <w:color w:val="595959"/>
        <w:sz w:val="16"/>
        <w:szCs w:val="16"/>
      </w:rPr>
      <w:tab/>
    </w:r>
    <w:r>
      <w:rPr>
        <w:rFonts w:ascii="Arial Narrow" w:eastAsia="Arial Narrow" w:hAnsi="Arial Narrow" w:cs="Arial Narrow"/>
        <w:color w:val="595959"/>
        <w:sz w:val="16"/>
        <w:szCs w:val="16"/>
      </w:rPr>
      <w:tab/>
    </w:r>
    <w:r>
      <w:rPr>
        <w:rFonts w:ascii="Arial Narrow" w:eastAsia="Arial Narrow" w:hAnsi="Arial Narrow" w:cs="Arial Narrow"/>
        <w:color w:val="595959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1DB" w:rsidRDefault="00B83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2539</wp:posOffset>
          </wp:positionH>
          <wp:positionV relativeFrom="page">
            <wp:posOffset>0</wp:posOffset>
          </wp:positionV>
          <wp:extent cx="7562850" cy="1797050"/>
          <wp:effectExtent l="0" t="0" r="0" b="0"/>
          <wp:wrapSquare wrapText="bothSides" distT="0" distB="0" distL="0" distR="0"/>
          <wp:docPr id="6" name="image3.jpg" descr="WS_top_left_edit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WS_top_left_edit.jpeg"/>
                  <pic:cNvPicPr preferRelativeResize="0"/>
                </pic:nvPicPr>
                <pic:blipFill>
                  <a:blip r:embed="rId1"/>
                  <a:srcRect l="1133" t="16402" r="-1133" b="-16402"/>
                  <a:stretch>
                    <a:fillRect/>
                  </a:stretch>
                </pic:blipFill>
                <pic:spPr>
                  <a:xfrm>
                    <a:off x="0" y="0"/>
                    <a:ext cx="7562850" cy="179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page">
                <wp:posOffset>625475</wp:posOffset>
              </wp:positionH>
              <wp:positionV relativeFrom="page">
                <wp:posOffset>664210</wp:posOffset>
              </wp:positionV>
              <wp:extent cx="2462531" cy="460374"/>
              <wp:effectExtent l="0" t="0" r="0" b="0"/>
              <wp:wrapSquare wrapText="bothSides" distT="0" distB="0" distL="0" distR="0"/>
              <wp:docPr id="5" name="Prostokąt 5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4260" y="3559338"/>
                        <a:ext cx="2443481" cy="4413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D61DB" w:rsidRDefault="00B8388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95959"/>
                              <w:sz w:val="16"/>
                            </w:rPr>
                            <w:t xml:space="preserve">White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595959"/>
                              <w:sz w:val="16"/>
                            </w:rPr>
                            <w:t>Stone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595959"/>
                              <w:sz w:val="16"/>
                            </w:rPr>
                            <w:t xml:space="preserve"> Development Sp. z o. o.</w:t>
                          </w:r>
                        </w:p>
                        <w:p w:rsidR="00BD61DB" w:rsidRDefault="00B8388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95959"/>
                              <w:sz w:val="16"/>
                            </w:rPr>
                            <w:t>ul. Żaryna 2B bud D, 02-593 Warszawa</w:t>
                          </w:r>
                          <w:r>
                            <w:rPr>
                              <w:rFonts w:ascii="Arimo" w:eastAsia="Arimo" w:hAnsi="Arimo" w:cs="Arimo"/>
                              <w:color w:val="595959"/>
                              <w:sz w:val="16"/>
                            </w:rPr>
                            <w:br/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95959"/>
                              <w:sz w:val="16"/>
                            </w:rPr>
                            <w:t>www.white-stone.pl</w:t>
                          </w:r>
                        </w:p>
                      </w:txbxContent>
                    </wps:txbx>
                    <wps:bodyPr spcFirstLastPara="1" wrap="square" lIns="45700" tIns="45700" rIns="457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625475</wp:posOffset>
              </wp:positionH>
              <wp:positionV relativeFrom="page">
                <wp:posOffset>664210</wp:posOffset>
              </wp:positionV>
              <wp:extent cx="2462531" cy="460374"/>
              <wp:effectExtent b="0" l="0" r="0" t="0"/>
              <wp:wrapSquare wrapText="bothSides" distB="0" distT="0" distL="0" distR="0"/>
              <wp:docPr descr="officeArt object" id="5" name="image2.png"/>
              <a:graphic>
                <a:graphicData uri="http://schemas.openxmlformats.org/drawingml/2006/picture">
                  <pic:pic>
                    <pic:nvPicPr>
                      <pic:cNvPr descr="officeArt object"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2531" cy="4603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DB"/>
    <w:rsid w:val="006E6A02"/>
    <w:rsid w:val="00731E9B"/>
    <w:rsid w:val="00B83881"/>
    <w:rsid w:val="00BD61DB"/>
    <w:rsid w:val="00D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602A3"/>
  <w15:docId w15:val="{04B75B97-34B7-284E-975A-5FFC8F3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3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B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3pOWzokHvrES+mrYZvt0Cro3SA==">AMUW2mUF1BsY8WXk9fHxZgGgkjV90b5+oWp1Vz88FK5m73QSvEaOz5RzgknmgzLyfIPm6MLC73ByflnyiFGKb3KSE7QwyJiHb2UMMSLLhkW1XuNpLXiIzyKpcKnFH7ZWHQ8bkKMlF5IJWk8JWTkqs0O4jrkme5vfTVxwek3ihDj/O1NS++mUSUpj1f3UolCgd3CZEHUIOA3oYIDwU1tWm5dzWvA9/yDnINRxrcAiDTr0cez826PyorfeXj2kUc7nLEN4JjkBWMp3NJBf+GD0PPeNpmFusfVjO/GME77ki4f7iZRILAsUs+PU+QDIqvKheqKN7NlRh5VYfEnu0iQUIho/QHoP+gFi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Gosz</dc:creator>
  <cp:lastModifiedBy>Microsoft Office User</cp:lastModifiedBy>
  <cp:revision>3</cp:revision>
  <dcterms:created xsi:type="dcterms:W3CDTF">2020-10-02T07:41:00Z</dcterms:created>
  <dcterms:modified xsi:type="dcterms:W3CDTF">2020-10-02T09:03:00Z</dcterms:modified>
</cp:coreProperties>
</file>