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3725" w14:textId="77777777" w:rsidR="00EB5133" w:rsidRDefault="00EB5133">
      <w:pPr>
        <w:spacing w:before="0" w:after="160" w:line="259" w:lineRule="auto"/>
      </w:pPr>
    </w:p>
    <w:p w14:paraId="3D178C30" w14:textId="77777777" w:rsidR="00EB5133" w:rsidRDefault="00E202B5" w:rsidP="00A43536">
      <w:r>
        <w:rPr>
          <w:noProof/>
          <w:lang w:val="pl-PL" w:eastAsia="pl-PL"/>
        </w:rPr>
        <w:drawing>
          <wp:anchor distT="0" distB="0" distL="114300" distR="114300" simplePos="0" relativeHeight="251658240" behindDoc="0" locked="0" layoutInCell="1" allowOverlap="1" wp14:anchorId="6572D07A" wp14:editId="00B4CA1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B69F01E" w14:textId="77777777" w:rsidR="00EB5133" w:rsidRDefault="00EB5133">
      <w:pPr>
        <w:spacing w:before="0" w:after="160" w:line="259" w:lineRule="auto"/>
      </w:pPr>
    </w:p>
    <w:p w14:paraId="3A2D9134" w14:textId="77777777" w:rsidR="00A535B1" w:rsidRDefault="00A535B1" w:rsidP="00A535B1">
      <w:pPr>
        <w:spacing w:before="0" w:after="160" w:line="259" w:lineRule="auto"/>
        <w:jc w:val="right"/>
      </w:pPr>
    </w:p>
    <w:p w14:paraId="01285DB9" w14:textId="77777777" w:rsidR="00BF1681" w:rsidRDefault="00BF1681" w:rsidP="00A535B1">
      <w:pPr>
        <w:spacing w:before="0" w:after="160" w:line="259" w:lineRule="auto"/>
        <w:jc w:val="right"/>
      </w:pPr>
    </w:p>
    <w:p w14:paraId="08FCE5CA" w14:textId="77777777" w:rsidR="00F85F98" w:rsidRDefault="00F85F98" w:rsidP="00024118">
      <w:pPr>
        <w:pStyle w:val="BodyText"/>
        <w:ind w:right="180"/>
        <w:jc w:val="center"/>
        <w:rPr>
          <w:rFonts w:ascii="Arial" w:hAnsi="Arial" w:cs="Arial"/>
          <w:b/>
          <w:sz w:val="26"/>
          <w:szCs w:val="26"/>
          <w:lang w:val="en-GB"/>
        </w:rPr>
      </w:pPr>
    </w:p>
    <w:p w14:paraId="04A02FEB" w14:textId="6F16DEC0" w:rsidR="00C55AAB" w:rsidRPr="00024118" w:rsidRDefault="00024118" w:rsidP="00024118">
      <w:pPr>
        <w:pStyle w:val="BodyText"/>
        <w:ind w:right="180"/>
        <w:jc w:val="center"/>
        <w:rPr>
          <w:rFonts w:ascii="Arial" w:hAnsi="Arial" w:cs="Arial"/>
          <w:b/>
          <w:sz w:val="26"/>
          <w:szCs w:val="26"/>
          <w:lang w:val="en-GB"/>
        </w:rPr>
      </w:pPr>
      <w:r w:rsidRPr="00024118">
        <w:rPr>
          <w:rFonts w:ascii="Arial" w:hAnsi="Arial" w:cs="Arial"/>
          <w:b/>
          <w:sz w:val="26"/>
          <w:szCs w:val="26"/>
          <w:lang w:val="en-GB"/>
        </w:rPr>
        <w:t xml:space="preserve">Investment activity </w:t>
      </w:r>
      <w:r>
        <w:rPr>
          <w:rFonts w:ascii="Arial" w:hAnsi="Arial" w:cs="Arial"/>
          <w:b/>
          <w:sz w:val="26"/>
          <w:szCs w:val="26"/>
          <w:lang w:val="en-GB"/>
        </w:rPr>
        <w:t xml:space="preserve">in commercial property </w:t>
      </w:r>
      <w:r w:rsidR="00CB225C">
        <w:rPr>
          <w:rFonts w:ascii="Arial" w:hAnsi="Arial" w:cs="Arial"/>
          <w:b/>
          <w:sz w:val="26"/>
          <w:szCs w:val="26"/>
          <w:lang w:val="en-GB"/>
        </w:rPr>
        <w:t xml:space="preserve">in </w:t>
      </w:r>
      <w:r w:rsidR="004D4734">
        <w:rPr>
          <w:rFonts w:ascii="Arial" w:hAnsi="Arial" w:cs="Arial"/>
          <w:b/>
          <w:sz w:val="26"/>
          <w:szCs w:val="26"/>
          <w:lang w:val="en-GB"/>
        </w:rPr>
        <w:t>EMEA region</w:t>
      </w:r>
      <w:r w:rsidR="004D4734">
        <w:rPr>
          <w:rFonts w:ascii="Arial" w:hAnsi="Arial" w:cs="Arial"/>
          <w:b/>
          <w:sz w:val="26"/>
          <w:szCs w:val="26"/>
          <w:lang w:val="en-GB"/>
        </w:rPr>
        <w:t xml:space="preserve"> </w:t>
      </w:r>
      <w:r>
        <w:rPr>
          <w:rFonts w:ascii="Arial" w:hAnsi="Arial" w:cs="Arial"/>
          <w:b/>
          <w:sz w:val="26"/>
          <w:szCs w:val="26"/>
          <w:lang w:val="en-GB"/>
        </w:rPr>
        <w:t xml:space="preserve">expected </w:t>
      </w:r>
      <w:r w:rsidRPr="00024118">
        <w:rPr>
          <w:rFonts w:ascii="Arial" w:hAnsi="Arial" w:cs="Arial"/>
          <w:b/>
          <w:sz w:val="26"/>
          <w:szCs w:val="26"/>
          <w:lang w:val="en-GB"/>
        </w:rPr>
        <w:t>rebound to reach EUR 100 billion in Q4</w:t>
      </w:r>
    </w:p>
    <w:p w14:paraId="0E40EE92" w14:textId="77777777" w:rsidR="00C55AAB" w:rsidRDefault="00C55AAB" w:rsidP="00460AFC">
      <w:pPr>
        <w:spacing w:before="0" w:after="0"/>
        <w:ind w:right="187"/>
        <w:rPr>
          <w:rFonts w:cs="Arial"/>
          <w:b/>
          <w:bCs/>
        </w:rPr>
      </w:pPr>
    </w:p>
    <w:p w14:paraId="0CAACD9E" w14:textId="30DA88B2" w:rsidR="00024118" w:rsidRPr="00024118" w:rsidRDefault="003277FF" w:rsidP="00F85F98">
      <w:pPr>
        <w:spacing w:before="0" w:after="0"/>
        <w:ind w:right="187"/>
        <w:jc w:val="both"/>
        <w:rPr>
          <w:rFonts w:ascii="Arial" w:hAnsi="Arial" w:cs="Arial"/>
          <w:sz w:val="22"/>
        </w:rPr>
      </w:pPr>
      <w:r>
        <w:rPr>
          <w:rFonts w:ascii="Arial" w:hAnsi="Arial" w:cs="Arial"/>
          <w:b/>
          <w:bCs/>
          <w:sz w:val="22"/>
        </w:rPr>
        <w:t>Warsaw</w:t>
      </w:r>
      <w:r w:rsidR="00C55AAB" w:rsidRPr="00024118">
        <w:rPr>
          <w:rFonts w:ascii="Arial" w:hAnsi="Arial" w:cs="Arial"/>
          <w:b/>
          <w:bCs/>
          <w:sz w:val="22"/>
        </w:rPr>
        <w:t xml:space="preserve">, </w:t>
      </w:r>
      <w:r w:rsidR="002007DB">
        <w:rPr>
          <w:rFonts w:ascii="Arial" w:hAnsi="Arial" w:cs="Arial"/>
          <w:b/>
          <w:bCs/>
          <w:sz w:val="22"/>
        </w:rPr>
        <w:t>23</w:t>
      </w:r>
      <w:r w:rsidR="00CA6D05">
        <w:rPr>
          <w:rFonts w:ascii="Arial" w:hAnsi="Arial" w:cs="Arial"/>
          <w:b/>
          <w:bCs/>
          <w:sz w:val="22"/>
        </w:rPr>
        <w:t xml:space="preserve"> October</w:t>
      </w:r>
      <w:r w:rsidR="00AD51BA">
        <w:rPr>
          <w:rFonts w:ascii="Arial" w:hAnsi="Arial" w:cs="Arial"/>
          <w:b/>
          <w:bCs/>
          <w:sz w:val="22"/>
        </w:rPr>
        <w:t xml:space="preserve"> 2020</w:t>
      </w:r>
      <w:r w:rsidR="00024118" w:rsidRPr="00024118">
        <w:rPr>
          <w:rFonts w:ascii="Arial" w:hAnsi="Arial" w:cs="Arial"/>
          <w:sz w:val="22"/>
        </w:rPr>
        <w:t xml:space="preserve"> – According to the latest insights from Colliers International,</w:t>
      </w:r>
      <w:r w:rsidR="00024118" w:rsidRPr="00024118">
        <w:rPr>
          <w:rFonts w:ascii="Arial" w:hAnsi="Arial" w:cs="Arial"/>
          <w:b/>
          <w:bCs/>
          <w:sz w:val="22"/>
        </w:rPr>
        <w:t xml:space="preserve"> </w:t>
      </w:r>
      <w:r w:rsidR="00024118" w:rsidRPr="00024118">
        <w:rPr>
          <w:rFonts w:ascii="Arial" w:eastAsia="Times New Roman" w:hAnsi="Arial" w:cs="Arial"/>
          <w:sz w:val="22"/>
        </w:rPr>
        <w:t xml:space="preserve">investment activity in commercial property </w:t>
      </w:r>
      <w:r w:rsidR="00CB225C">
        <w:rPr>
          <w:rFonts w:ascii="Arial" w:eastAsia="Times New Roman" w:hAnsi="Arial" w:cs="Arial"/>
          <w:sz w:val="22"/>
        </w:rPr>
        <w:t xml:space="preserve">in </w:t>
      </w:r>
      <w:r w:rsidR="004D4734">
        <w:rPr>
          <w:rFonts w:ascii="Arial" w:eastAsia="Times New Roman" w:hAnsi="Arial" w:cs="Arial"/>
          <w:sz w:val="22"/>
        </w:rPr>
        <w:t>EMEA region</w:t>
      </w:r>
      <w:bookmarkStart w:id="0" w:name="_GoBack"/>
      <w:bookmarkEnd w:id="0"/>
      <w:r w:rsidR="00CB225C">
        <w:rPr>
          <w:rFonts w:ascii="Arial" w:eastAsia="Times New Roman" w:hAnsi="Arial" w:cs="Arial"/>
          <w:sz w:val="22"/>
        </w:rPr>
        <w:t xml:space="preserve"> </w:t>
      </w:r>
      <w:r w:rsidR="00024118" w:rsidRPr="00024118">
        <w:rPr>
          <w:rFonts w:ascii="Arial" w:eastAsia="Times New Roman" w:hAnsi="Arial" w:cs="Arial"/>
          <w:sz w:val="22"/>
        </w:rPr>
        <w:t>is expected to rebound to reach</w:t>
      </w:r>
      <w:r w:rsidR="00024118" w:rsidRPr="00024118">
        <w:rPr>
          <w:rFonts w:ascii="Arial" w:eastAsia="Times New Roman" w:hAnsi="Arial" w:cs="Arial"/>
          <w:b/>
          <w:bCs/>
          <w:sz w:val="22"/>
        </w:rPr>
        <w:t xml:space="preserve"> EUR 100 billion in Q4, </w:t>
      </w:r>
      <w:r w:rsidR="00024118" w:rsidRPr="00024118">
        <w:rPr>
          <w:rFonts w:ascii="Arial" w:eastAsia="Times New Roman" w:hAnsi="Arial" w:cs="Arial"/>
          <w:sz w:val="22"/>
        </w:rPr>
        <w:t xml:space="preserve">following a robust turn-around in larger, post-COVID deals in Q3. This would take investment volumes for the </w:t>
      </w:r>
      <w:r w:rsidR="00017881">
        <w:rPr>
          <w:rFonts w:ascii="Arial" w:eastAsia="Times New Roman" w:hAnsi="Arial" w:cs="Arial"/>
          <w:sz w:val="22"/>
        </w:rPr>
        <w:t xml:space="preserve">whole </w:t>
      </w:r>
      <w:r w:rsidR="00024118" w:rsidRPr="00024118">
        <w:rPr>
          <w:rFonts w:ascii="Arial" w:eastAsia="Times New Roman" w:hAnsi="Arial" w:cs="Arial"/>
          <w:sz w:val="22"/>
        </w:rPr>
        <w:t xml:space="preserve">year to around </w:t>
      </w:r>
      <w:r w:rsidR="00024118" w:rsidRPr="00024118">
        <w:rPr>
          <w:rFonts w:ascii="Arial" w:hAnsi="Arial" w:cs="Arial"/>
          <w:b/>
          <w:bCs/>
          <w:sz w:val="22"/>
        </w:rPr>
        <w:t>€270 billion, only 14</w:t>
      </w:r>
      <w:r w:rsidR="00CB225C">
        <w:rPr>
          <w:rFonts w:ascii="Arial" w:hAnsi="Arial" w:cs="Arial"/>
          <w:b/>
          <w:bCs/>
          <w:sz w:val="22"/>
        </w:rPr>
        <w:t xml:space="preserve"> per cent</w:t>
      </w:r>
      <w:r w:rsidR="00024118" w:rsidRPr="00024118">
        <w:rPr>
          <w:rFonts w:ascii="Arial" w:hAnsi="Arial" w:cs="Arial"/>
          <w:b/>
          <w:bCs/>
          <w:sz w:val="22"/>
        </w:rPr>
        <w:t xml:space="preserve"> down on activity in 2019</w:t>
      </w:r>
      <w:r w:rsidR="00024118" w:rsidRPr="00024118">
        <w:rPr>
          <w:rFonts w:ascii="Arial" w:hAnsi="Arial" w:cs="Arial"/>
          <w:sz w:val="22"/>
        </w:rPr>
        <w:t xml:space="preserve">, </w:t>
      </w:r>
      <w:bookmarkStart w:id="1" w:name="_Hlk54178695"/>
      <w:r w:rsidR="00024118" w:rsidRPr="00024118">
        <w:rPr>
          <w:rFonts w:ascii="Arial" w:hAnsi="Arial" w:cs="Arial"/>
          <w:sz w:val="22"/>
        </w:rPr>
        <w:t xml:space="preserve">provided smoother waters prevail </w:t>
      </w:r>
      <w:bookmarkEnd w:id="1"/>
      <w:r w:rsidR="00024118" w:rsidRPr="00024118">
        <w:rPr>
          <w:rFonts w:ascii="Arial" w:hAnsi="Arial" w:cs="Arial"/>
          <w:sz w:val="22"/>
        </w:rPr>
        <w:t xml:space="preserve">and the market isn’t </w:t>
      </w:r>
      <w:r w:rsidR="00CB225C">
        <w:rPr>
          <w:rFonts w:ascii="Arial" w:hAnsi="Arial" w:cs="Arial"/>
          <w:sz w:val="22"/>
        </w:rPr>
        <w:t xml:space="preserve">further </w:t>
      </w:r>
      <w:r w:rsidR="00024118" w:rsidRPr="00024118">
        <w:rPr>
          <w:rFonts w:ascii="Arial" w:hAnsi="Arial" w:cs="Arial"/>
          <w:sz w:val="22"/>
        </w:rPr>
        <w:t>shocked by external geo-political or macro-economic factors.</w:t>
      </w:r>
    </w:p>
    <w:p w14:paraId="490C29B2" w14:textId="77777777" w:rsidR="00024118" w:rsidRPr="00024118" w:rsidRDefault="00024118" w:rsidP="00F85F98">
      <w:pPr>
        <w:spacing w:before="0" w:after="0"/>
        <w:ind w:right="187"/>
        <w:jc w:val="both"/>
        <w:rPr>
          <w:rFonts w:ascii="Arial" w:hAnsi="Arial" w:cs="Arial"/>
          <w:sz w:val="22"/>
        </w:rPr>
      </w:pPr>
    </w:p>
    <w:p w14:paraId="1E438AD9" w14:textId="1618BB2F" w:rsidR="005F330E" w:rsidRPr="00024118" w:rsidRDefault="005F330E" w:rsidP="00F85F98">
      <w:pPr>
        <w:spacing w:before="0" w:after="0"/>
        <w:ind w:right="187"/>
        <w:jc w:val="both"/>
        <w:rPr>
          <w:rFonts w:ascii="Arial" w:hAnsi="Arial" w:cs="Arial"/>
          <w:sz w:val="22"/>
        </w:rPr>
      </w:pPr>
      <w:r w:rsidRPr="00024118">
        <w:rPr>
          <w:rFonts w:ascii="Arial" w:hAnsi="Arial" w:cs="Arial"/>
          <w:sz w:val="22"/>
        </w:rPr>
        <w:t xml:space="preserve">The publication of </w:t>
      </w:r>
      <w:r w:rsidRPr="00024118">
        <w:rPr>
          <w:rFonts w:ascii="Arial" w:hAnsi="Arial" w:cs="Arial"/>
          <w:i/>
          <w:iCs/>
          <w:sz w:val="22"/>
        </w:rPr>
        <w:t>Prevail &amp; Prosper</w:t>
      </w:r>
      <w:r w:rsidRPr="00024118">
        <w:rPr>
          <w:rFonts w:ascii="Arial" w:hAnsi="Arial" w:cs="Arial"/>
          <w:sz w:val="22"/>
        </w:rPr>
        <w:t xml:space="preserve">, Colliers’ latest world class </w:t>
      </w:r>
      <w:r w:rsidR="007D204A" w:rsidRPr="00024118">
        <w:rPr>
          <w:rFonts w:ascii="Arial" w:hAnsi="Arial" w:cs="Arial"/>
          <w:sz w:val="22"/>
        </w:rPr>
        <w:t>report on</w:t>
      </w:r>
      <w:r w:rsidRPr="00024118">
        <w:rPr>
          <w:rFonts w:ascii="Arial" w:hAnsi="Arial" w:cs="Arial"/>
          <w:sz w:val="22"/>
        </w:rPr>
        <w:t xml:space="preserve"> </w:t>
      </w:r>
      <w:r w:rsidR="00CB225C">
        <w:rPr>
          <w:rFonts w:ascii="Arial" w:hAnsi="Arial" w:cs="Arial"/>
          <w:sz w:val="22"/>
        </w:rPr>
        <w:t>c</w:t>
      </w:r>
      <w:r w:rsidRPr="00024118">
        <w:rPr>
          <w:rFonts w:ascii="Arial" w:hAnsi="Arial" w:cs="Arial"/>
          <w:sz w:val="22"/>
        </w:rPr>
        <w:t xml:space="preserve">apital flows and CRE hotspots </w:t>
      </w:r>
      <w:r w:rsidR="007D204A" w:rsidRPr="00024118">
        <w:rPr>
          <w:rFonts w:ascii="Arial" w:hAnsi="Arial" w:cs="Arial"/>
          <w:sz w:val="22"/>
        </w:rPr>
        <w:t xml:space="preserve">across EMEA </w:t>
      </w:r>
      <w:r w:rsidRPr="00024118">
        <w:rPr>
          <w:rFonts w:ascii="Arial" w:hAnsi="Arial" w:cs="Arial"/>
          <w:sz w:val="22"/>
        </w:rPr>
        <w:t xml:space="preserve">looks at how the </w:t>
      </w:r>
      <w:r w:rsidR="00712D1E" w:rsidRPr="00024118">
        <w:rPr>
          <w:rFonts w:ascii="Arial" w:hAnsi="Arial" w:cs="Arial"/>
          <w:sz w:val="22"/>
        </w:rPr>
        <w:t xml:space="preserve">investment market is responding to the ways in which </w:t>
      </w:r>
      <w:r w:rsidRPr="00024118">
        <w:rPr>
          <w:rFonts w:ascii="Arial" w:hAnsi="Arial" w:cs="Arial"/>
          <w:sz w:val="22"/>
        </w:rPr>
        <w:t>cities</w:t>
      </w:r>
      <w:r w:rsidR="00712D1E" w:rsidRPr="00024118">
        <w:rPr>
          <w:rFonts w:ascii="Arial" w:hAnsi="Arial" w:cs="Arial"/>
          <w:sz w:val="22"/>
        </w:rPr>
        <w:t xml:space="preserve"> and sectors have </w:t>
      </w:r>
      <w:r w:rsidR="00CB225C">
        <w:rPr>
          <w:rFonts w:ascii="Arial" w:hAnsi="Arial" w:cs="Arial"/>
          <w:sz w:val="22"/>
        </w:rPr>
        <w:t>reacted</w:t>
      </w:r>
      <w:r w:rsidR="00712D1E" w:rsidRPr="00024118">
        <w:rPr>
          <w:rFonts w:ascii="Arial" w:hAnsi="Arial" w:cs="Arial"/>
          <w:sz w:val="22"/>
        </w:rPr>
        <w:t xml:space="preserve"> to the pandemic</w:t>
      </w:r>
      <w:r w:rsidR="00CB225C">
        <w:rPr>
          <w:rFonts w:ascii="Arial" w:hAnsi="Arial" w:cs="Arial"/>
          <w:sz w:val="22"/>
        </w:rPr>
        <w:t xml:space="preserve">. It also explores </w:t>
      </w:r>
      <w:r w:rsidR="00712D1E" w:rsidRPr="00024118">
        <w:rPr>
          <w:rFonts w:ascii="Arial" w:hAnsi="Arial" w:cs="Arial"/>
          <w:sz w:val="22"/>
        </w:rPr>
        <w:t>how different city markets and capital destinations are positioned to benefit from the ongoing economic and investment market recovery that has picked up speed in Q3</w:t>
      </w:r>
      <w:r w:rsidR="00CB225C">
        <w:rPr>
          <w:rFonts w:ascii="Arial" w:hAnsi="Arial" w:cs="Arial"/>
          <w:sz w:val="22"/>
        </w:rPr>
        <w:t xml:space="preserve"> 2020.</w:t>
      </w:r>
      <w:r w:rsidR="00712D1E" w:rsidRPr="00024118">
        <w:rPr>
          <w:rFonts w:ascii="Arial" w:hAnsi="Arial" w:cs="Arial"/>
          <w:sz w:val="22"/>
        </w:rPr>
        <w:t xml:space="preserve"> </w:t>
      </w:r>
    </w:p>
    <w:p w14:paraId="479CB06A" w14:textId="77777777" w:rsidR="005F330E" w:rsidRPr="00024118" w:rsidRDefault="005F330E" w:rsidP="00F85F98">
      <w:pPr>
        <w:spacing w:before="0" w:after="0"/>
        <w:ind w:right="187"/>
        <w:jc w:val="both"/>
        <w:rPr>
          <w:rFonts w:ascii="Arial" w:hAnsi="Arial" w:cs="Arial"/>
          <w:sz w:val="22"/>
        </w:rPr>
      </w:pPr>
    </w:p>
    <w:p w14:paraId="7F40628F" w14:textId="0F2DFEB9" w:rsidR="00390B73" w:rsidRPr="00024118" w:rsidRDefault="00E74FDB" w:rsidP="00F85F98">
      <w:pPr>
        <w:spacing w:before="0" w:after="0"/>
        <w:ind w:right="187"/>
        <w:jc w:val="both"/>
        <w:rPr>
          <w:rFonts w:ascii="Arial" w:hAnsi="Arial" w:cs="Arial"/>
          <w:sz w:val="22"/>
        </w:rPr>
      </w:pPr>
      <w:r>
        <w:rPr>
          <w:rFonts w:ascii="Arial" w:hAnsi="Arial" w:cs="Arial"/>
          <w:sz w:val="22"/>
        </w:rPr>
        <w:t xml:space="preserve">Highlights </w:t>
      </w:r>
      <w:r w:rsidR="00CB225C">
        <w:rPr>
          <w:rFonts w:ascii="Arial" w:hAnsi="Arial" w:cs="Arial"/>
          <w:sz w:val="22"/>
        </w:rPr>
        <w:t xml:space="preserve">from </w:t>
      </w:r>
      <w:r w:rsidR="00CB225C" w:rsidRPr="00CB225C">
        <w:rPr>
          <w:rFonts w:ascii="Arial" w:hAnsi="Arial" w:cs="Arial"/>
          <w:b/>
          <w:bCs/>
          <w:i/>
          <w:iCs/>
          <w:sz w:val="22"/>
        </w:rPr>
        <w:t>Prevail &amp; Pro</w:t>
      </w:r>
      <w:r w:rsidR="00A03340">
        <w:rPr>
          <w:rFonts w:ascii="Arial" w:hAnsi="Arial" w:cs="Arial"/>
          <w:b/>
          <w:bCs/>
          <w:i/>
          <w:iCs/>
          <w:sz w:val="22"/>
        </w:rPr>
        <w:t>s</w:t>
      </w:r>
      <w:r w:rsidR="00CB225C" w:rsidRPr="00CB225C">
        <w:rPr>
          <w:rFonts w:ascii="Arial" w:hAnsi="Arial" w:cs="Arial"/>
          <w:b/>
          <w:bCs/>
          <w:i/>
          <w:iCs/>
          <w:sz w:val="22"/>
        </w:rPr>
        <w:t>per</w:t>
      </w:r>
      <w:r w:rsidR="007D204A" w:rsidRPr="00024118">
        <w:rPr>
          <w:rFonts w:ascii="Arial" w:hAnsi="Arial" w:cs="Arial"/>
          <w:sz w:val="22"/>
        </w:rPr>
        <w:t xml:space="preserve"> include</w:t>
      </w:r>
      <w:r w:rsidR="00390B73" w:rsidRPr="00024118">
        <w:rPr>
          <w:rFonts w:ascii="Arial" w:hAnsi="Arial" w:cs="Arial"/>
          <w:sz w:val="22"/>
        </w:rPr>
        <w:t>:</w:t>
      </w:r>
    </w:p>
    <w:p w14:paraId="5671E5A8" w14:textId="0CC5F2BA" w:rsidR="00D47DFC" w:rsidRPr="00D47DFC" w:rsidRDefault="00D47DFC" w:rsidP="00F85F98">
      <w:pPr>
        <w:pStyle w:val="ListParagraph"/>
        <w:numPr>
          <w:ilvl w:val="0"/>
          <w:numId w:val="23"/>
        </w:numPr>
        <w:spacing w:before="0" w:after="0" w:line="240" w:lineRule="auto"/>
        <w:contextualSpacing w:val="0"/>
        <w:jc w:val="both"/>
        <w:rPr>
          <w:rFonts w:ascii="Arial" w:eastAsia="Times New Roman" w:hAnsi="Arial" w:cs="Arial"/>
          <w:sz w:val="22"/>
        </w:rPr>
      </w:pPr>
      <w:r w:rsidRPr="00634562">
        <w:rPr>
          <w:rFonts w:ascii="Arial" w:eastAsia="Times New Roman" w:hAnsi="Arial" w:cs="Arial"/>
          <w:b/>
          <w:bCs/>
          <w:sz w:val="22"/>
        </w:rPr>
        <w:t>95 per cent</w:t>
      </w:r>
      <w:r w:rsidRPr="00024118">
        <w:rPr>
          <w:rFonts w:ascii="Arial" w:eastAsia="Times New Roman" w:hAnsi="Arial" w:cs="Arial"/>
          <w:sz w:val="22"/>
        </w:rPr>
        <w:t xml:space="preserve"> </w:t>
      </w:r>
      <w:r w:rsidRPr="00634562">
        <w:rPr>
          <w:rFonts w:ascii="Arial" w:eastAsia="Times New Roman" w:hAnsi="Arial" w:cs="Arial"/>
          <w:b/>
          <w:bCs/>
          <w:sz w:val="22"/>
        </w:rPr>
        <w:t>of investors expect the market to recover in 12 months’ time</w:t>
      </w:r>
      <w:r>
        <w:rPr>
          <w:rFonts w:ascii="Arial" w:eastAsia="Times New Roman" w:hAnsi="Arial" w:cs="Arial"/>
          <w:sz w:val="22"/>
        </w:rPr>
        <w:t xml:space="preserve"> according to </w:t>
      </w:r>
      <w:r w:rsidRPr="00024118">
        <w:rPr>
          <w:rFonts w:ascii="Arial" w:eastAsia="Times New Roman" w:hAnsi="Arial" w:cs="Arial"/>
          <w:sz w:val="22"/>
        </w:rPr>
        <w:t>Colliers</w:t>
      </w:r>
      <w:r>
        <w:rPr>
          <w:rFonts w:ascii="Arial" w:eastAsia="Times New Roman" w:hAnsi="Arial" w:cs="Arial"/>
          <w:sz w:val="22"/>
        </w:rPr>
        <w:t>’</w:t>
      </w:r>
      <w:r w:rsidRPr="00024118">
        <w:rPr>
          <w:rFonts w:ascii="Arial" w:eastAsia="Times New Roman" w:hAnsi="Arial" w:cs="Arial"/>
          <w:sz w:val="22"/>
        </w:rPr>
        <w:t xml:space="preserve"> investor survey</w:t>
      </w:r>
      <w:r>
        <w:rPr>
          <w:rFonts w:ascii="Arial" w:eastAsia="Times New Roman" w:hAnsi="Arial" w:cs="Arial"/>
          <w:sz w:val="22"/>
        </w:rPr>
        <w:t>.</w:t>
      </w:r>
      <w:r w:rsidRPr="00024118">
        <w:rPr>
          <w:rFonts w:ascii="Arial" w:eastAsia="Times New Roman" w:hAnsi="Arial" w:cs="Arial"/>
          <w:sz w:val="22"/>
        </w:rPr>
        <w:t xml:space="preserve"> </w:t>
      </w:r>
    </w:p>
    <w:p w14:paraId="26CBB92B" w14:textId="12AA08F0" w:rsidR="00712D1E" w:rsidRPr="00E74FDB" w:rsidRDefault="00712D1E" w:rsidP="00F85F98">
      <w:pPr>
        <w:numPr>
          <w:ilvl w:val="0"/>
          <w:numId w:val="23"/>
        </w:numPr>
        <w:spacing w:before="0" w:after="0" w:line="240" w:lineRule="auto"/>
        <w:jc w:val="both"/>
        <w:rPr>
          <w:rFonts w:ascii="Arial" w:eastAsia="Times New Roman" w:hAnsi="Arial" w:cs="Arial"/>
          <w:color w:val="auto"/>
          <w:sz w:val="22"/>
        </w:rPr>
      </w:pPr>
      <w:r w:rsidRPr="00CB225C">
        <w:rPr>
          <w:rFonts w:ascii="Arial" w:eastAsia="Times New Roman" w:hAnsi="Arial" w:cs="Arial"/>
          <w:b/>
          <w:bCs/>
          <w:sz w:val="22"/>
        </w:rPr>
        <w:t>German, Swiss and French</w:t>
      </w:r>
      <w:r w:rsidRPr="00024118">
        <w:rPr>
          <w:rFonts w:ascii="Arial" w:eastAsia="Times New Roman" w:hAnsi="Arial" w:cs="Arial"/>
          <w:sz w:val="22"/>
        </w:rPr>
        <w:t xml:space="preserve"> capital has been particularly active</w:t>
      </w:r>
      <w:r w:rsidR="00CB225C">
        <w:rPr>
          <w:rFonts w:ascii="Arial" w:eastAsia="Times New Roman" w:hAnsi="Arial" w:cs="Arial"/>
          <w:sz w:val="22"/>
        </w:rPr>
        <w:t xml:space="preserve"> within EMEA</w:t>
      </w:r>
      <w:r w:rsidR="002B668F" w:rsidRPr="00024118">
        <w:rPr>
          <w:rFonts w:ascii="Arial" w:eastAsia="Times New Roman" w:hAnsi="Arial" w:cs="Arial"/>
          <w:sz w:val="22"/>
        </w:rPr>
        <w:t>, sustaining high inter-regional flows year-on-yea</w:t>
      </w:r>
      <w:r w:rsidR="00CB225C">
        <w:rPr>
          <w:rFonts w:ascii="Arial" w:eastAsia="Times New Roman" w:hAnsi="Arial" w:cs="Arial"/>
          <w:sz w:val="22"/>
        </w:rPr>
        <w:t xml:space="preserve">r. </w:t>
      </w:r>
    </w:p>
    <w:p w14:paraId="5DFC63F8" w14:textId="77777777" w:rsidR="00E74FDB" w:rsidRPr="00024118" w:rsidRDefault="00E74FDB" w:rsidP="00F85F98">
      <w:pPr>
        <w:pStyle w:val="ListParagraph"/>
        <w:numPr>
          <w:ilvl w:val="0"/>
          <w:numId w:val="23"/>
        </w:numPr>
        <w:spacing w:before="0" w:after="0" w:line="240" w:lineRule="auto"/>
        <w:contextualSpacing w:val="0"/>
        <w:jc w:val="both"/>
        <w:rPr>
          <w:rFonts w:ascii="Arial" w:eastAsia="Times New Roman" w:hAnsi="Arial" w:cs="Arial"/>
          <w:sz w:val="22"/>
        </w:rPr>
      </w:pPr>
      <w:r w:rsidRPr="00634562">
        <w:rPr>
          <w:rFonts w:ascii="Arial" w:eastAsia="Times New Roman" w:hAnsi="Arial" w:cs="Arial"/>
          <w:b/>
          <w:bCs/>
          <w:sz w:val="22"/>
        </w:rPr>
        <w:t>German and Nordic markets benefit from the most stable</w:t>
      </w:r>
      <w:r w:rsidRPr="00024118">
        <w:rPr>
          <w:rFonts w:ascii="Arial" w:eastAsia="Times New Roman" w:hAnsi="Arial" w:cs="Arial"/>
          <w:sz w:val="22"/>
        </w:rPr>
        <w:t xml:space="preserve"> </w:t>
      </w:r>
      <w:r w:rsidRPr="00D47DFC">
        <w:rPr>
          <w:rFonts w:ascii="Arial" w:eastAsia="Times New Roman" w:hAnsi="Arial" w:cs="Arial"/>
          <w:b/>
          <w:bCs/>
          <w:sz w:val="22"/>
        </w:rPr>
        <w:t xml:space="preserve">macro and political environments, </w:t>
      </w:r>
      <w:r w:rsidRPr="00024118">
        <w:rPr>
          <w:rFonts w:ascii="Arial" w:eastAsia="Times New Roman" w:hAnsi="Arial" w:cs="Arial"/>
          <w:sz w:val="22"/>
        </w:rPr>
        <w:t>and their mid-sized cities with alternative commuting</w:t>
      </w:r>
      <w:r>
        <w:rPr>
          <w:rFonts w:ascii="Arial" w:eastAsia="Times New Roman" w:hAnsi="Arial" w:cs="Arial"/>
          <w:sz w:val="22"/>
        </w:rPr>
        <w:t xml:space="preserve"> solutions</w:t>
      </w:r>
      <w:r w:rsidRPr="00024118">
        <w:rPr>
          <w:rFonts w:ascii="Arial" w:eastAsia="Times New Roman" w:hAnsi="Arial" w:cs="Arial"/>
          <w:sz w:val="22"/>
        </w:rPr>
        <w:t xml:space="preserve">, low lease break risks and tight supply-demand conditions put them at the top of the core league table. </w:t>
      </w:r>
    </w:p>
    <w:p w14:paraId="20259CC8" w14:textId="4582A00C" w:rsidR="00E74FDB" w:rsidRPr="00E74FDB" w:rsidRDefault="00E74FDB" w:rsidP="00F85F98">
      <w:pPr>
        <w:pStyle w:val="ListParagraph"/>
        <w:numPr>
          <w:ilvl w:val="0"/>
          <w:numId w:val="23"/>
        </w:numPr>
        <w:spacing w:before="0" w:after="0" w:line="240" w:lineRule="auto"/>
        <w:contextualSpacing w:val="0"/>
        <w:jc w:val="both"/>
        <w:rPr>
          <w:rFonts w:ascii="Arial" w:eastAsia="Times New Roman" w:hAnsi="Arial" w:cs="Arial"/>
          <w:sz w:val="22"/>
        </w:rPr>
      </w:pPr>
      <w:r w:rsidRPr="00D47DFC">
        <w:rPr>
          <w:rFonts w:ascii="Arial" w:eastAsia="Times New Roman" w:hAnsi="Arial" w:cs="Arial"/>
          <w:b/>
          <w:bCs/>
          <w:sz w:val="22"/>
        </w:rPr>
        <w:t xml:space="preserve">London and Paris will not face diminished long-term economic positions </w:t>
      </w:r>
      <w:r w:rsidRPr="00D47DFC">
        <w:rPr>
          <w:rFonts w:ascii="Arial" w:eastAsia="Times New Roman" w:hAnsi="Arial" w:cs="Arial"/>
          <w:sz w:val="22"/>
        </w:rPr>
        <w:t xml:space="preserve">despite several market uncertainties. This presents a great opportunity to buy into deep, core markets undergoing a price correction. London and UK regional cities are also attractive </w:t>
      </w:r>
      <w:bookmarkStart w:id="2" w:name="_Hlk54180045"/>
      <w:r w:rsidRPr="00D47DFC">
        <w:rPr>
          <w:rFonts w:ascii="Arial" w:eastAsia="Times New Roman" w:hAnsi="Arial" w:cs="Arial"/>
          <w:sz w:val="22"/>
        </w:rPr>
        <w:t>debt placement</w:t>
      </w:r>
      <w:bookmarkEnd w:id="2"/>
      <w:r w:rsidRPr="00D47DFC">
        <w:rPr>
          <w:rFonts w:ascii="Arial" w:eastAsia="Times New Roman" w:hAnsi="Arial" w:cs="Arial"/>
          <w:sz w:val="22"/>
        </w:rPr>
        <w:t xml:space="preserve"> destinations, currently standing at significant premiums to other major European cities, due to limited competition. </w:t>
      </w:r>
    </w:p>
    <w:p w14:paraId="6C633536" w14:textId="259D9258" w:rsidR="002B668F" w:rsidRPr="00024118" w:rsidRDefault="002B668F" w:rsidP="00F85F98">
      <w:pPr>
        <w:pStyle w:val="ListParagraph"/>
        <w:numPr>
          <w:ilvl w:val="0"/>
          <w:numId w:val="23"/>
        </w:numPr>
        <w:spacing w:before="0" w:after="0" w:line="240" w:lineRule="auto"/>
        <w:contextualSpacing w:val="0"/>
        <w:jc w:val="both"/>
        <w:rPr>
          <w:rFonts w:ascii="Arial" w:eastAsia="Times New Roman" w:hAnsi="Arial" w:cs="Arial"/>
          <w:sz w:val="22"/>
        </w:rPr>
      </w:pPr>
      <w:r w:rsidRPr="00CB225C">
        <w:rPr>
          <w:rFonts w:ascii="Arial" w:eastAsia="Times New Roman" w:hAnsi="Arial" w:cs="Arial"/>
          <w:b/>
          <w:bCs/>
          <w:sz w:val="22"/>
        </w:rPr>
        <w:t>Logistics and residential investment</w:t>
      </w:r>
      <w:r w:rsidRPr="00024118">
        <w:rPr>
          <w:rFonts w:ascii="Arial" w:eastAsia="Times New Roman" w:hAnsi="Arial" w:cs="Arial"/>
          <w:sz w:val="22"/>
        </w:rPr>
        <w:t xml:space="preserve"> have proven to be the most resilient sectors, sustaining high levels of investment</w:t>
      </w:r>
      <w:r w:rsidR="00E74FDB">
        <w:rPr>
          <w:rFonts w:ascii="Arial" w:eastAsia="Times New Roman" w:hAnsi="Arial" w:cs="Arial"/>
          <w:sz w:val="22"/>
        </w:rPr>
        <w:t xml:space="preserve">. </w:t>
      </w:r>
      <w:r w:rsidRPr="00024118">
        <w:rPr>
          <w:rFonts w:ascii="Arial" w:eastAsia="Times New Roman" w:hAnsi="Arial" w:cs="Arial"/>
          <w:sz w:val="22"/>
        </w:rPr>
        <w:t xml:space="preserve">Colliers estimates over EUR3 billion of </w:t>
      </w:r>
      <w:r w:rsidR="00A426D7" w:rsidRPr="005C5BF2">
        <w:rPr>
          <w:rFonts w:ascii="Arial" w:eastAsia="Times New Roman" w:hAnsi="Arial" w:cs="Arial"/>
          <w:color w:val="auto"/>
          <w:sz w:val="22"/>
        </w:rPr>
        <w:t xml:space="preserve">logistic </w:t>
      </w:r>
      <w:r w:rsidRPr="00024118">
        <w:rPr>
          <w:rFonts w:ascii="Arial" w:eastAsia="Times New Roman" w:hAnsi="Arial" w:cs="Arial"/>
          <w:sz w:val="22"/>
        </w:rPr>
        <w:t xml:space="preserve">portfolios </w:t>
      </w:r>
      <w:r w:rsidR="00A426D7" w:rsidRPr="005C5BF2">
        <w:rPr>
          <w:rFonts w:ascii="Arial" w:eastAsia="Times New Roman" w:hAnsi="Arial" w:cs="Arial"/>
          <w:color w:val="auto"/>
          <w:sz w:val="22"/>
        </w:rPr>
        <w:t xml:space="preserve">alone </w:t>
      </w:r>
      <w:r w:rsidRPr="00024118">
        <w:rPr>
          <w:rFonts w:ascii="Arial" w:eastAsia="Times New Roman" w:hAnsi="Arial" w:cs="Arial"/>
          <w:sz w:val="22"/>
        </w:rPr>
        <w:t>has been introduced to the market this September, some of which have already closed, with values increasing by up to 20</w:t>
      </w:r>
      <w:r w:rsidR="00CB225C">
        <w:rPr>
          <w:rFonts w:ascii="Arial" w:eastAsia="Times New Roman" w:hAnsi="Arial" w:cs="Arial"/>
          <w:sz w:val="22"/>
        </w:rPr>
        <w:t xml:space="preserve"> per</w:t>
      </w:r>
      <w:r w:rsidR="00D47DFC">
        <w:rPr>
          <w:rFonts w:ascii="Arial" w:eastAsia="Times New Roman" w:hAnsi="Arial" w:cs="Arial"/>
          <w:sz w:val="22"/>
        </w:rPr>
        <w:t xml:space="preserve"> </w:t>
      </w:r>
      <w:r w:rsidR="00CB225C">
        <w:rPr>
          <w:rFonts w:ascii="Arial" w:eastAsia="Times New Roman" w:hAnsi="Arial" w:cs="Arial"/>
          <w:sz w:val="22"/>
        </w:rPr>
        <w:t>cent</w:t>
      </w:r>
      <w:r w:rsidRPr="00024118">
        <w:rPr>
          <w:rFonts w:ascii="Arial" w:eastAsia="Times New Roman" w:hAnsi="Arial" w:cs="Arial"/>
          <w:sz w:val="22"/>
        </w:rPr>
        <w:t xml:space="preserve"> for core assets. </w:t>
      </w:r>
    </w:p>
    <w:p w14:paraId="545811B0" w14:textId="6D6014FE" w:rsidR="00274A63" w:rsidRPr="00024118" w:rsidRDefault="00CB225C" w:rsidP="00F85F98">
      <w:pPr>
        <w:pStyle w:val="ListParagraph"/>
        <w:numPr>
          <w:ilvl w:val="0"/>
          <w:numId w:val="23"/>
        </w:numPr>
        <w:spacing w:before="0" w:after="0" w:line="240" w:lineRule="auto"/>
        <w:contextualSpacing w:val="0"/>
        <w:jc w:val="both"/>
        <w:rPr>
          <w:rFonts w:ascii="Arial" w:eastAsia="Times New Roman" w:hAnsi="Arial" w:cs="Arial"/>
          <w:sz w:val="22"/>
        </w:rPr>
      </w:pPr>
      <w:r w:rsidRPr="00CB225C">
        <w:rPr>
          <w:rFonts w:ascii="Arial" w:eastAsia="Times New Roman" w:hAnsi="Arial" w:cs="Arial"/>
          <w:b/>
          <w:bCs/>
          <w:sz w:val="22"/>
        </w:rPr>
        <w:t>Office investment volumes</w:t>
      </w:r>
      <w:r w:rsidRPr="00024118">
        <w:rPr>
          <w:rFonts w:ascii="Arial" w:eastAsia="Times New Roman" w:hAnsi="Arial" w:cs="Arial"/>
          <w:sz w:val="22"/>
        </w:rPr>
        <w:t xml:space="preserve"> declined during Q2 and Q3, and pricing levels have started to adjust </w:t>
      </w:r>
      <w:r>
        <w:rPr>
          <w:rFonts w:ascii="Arial" w:eastAsia="Times New Roman" w:hAnsi="Arial" w:cs="Arial"/>
          <w:sz w:val="22"/>
        </w:rPr>
        <w:t xml:space="preserve">due to </w:t>
      </w:r>
      <w:r w:rsidR="00634562">
        <w:rPr>
          <w:rFonts w:ascii="Arial" w:eastAsia="Times New Roman" w:hAnsi="Arial" w:cs="Arial"/>
          <w:sz w:val="22"/>
        </w:rPr>
        <w:t>t</w:t>
      </w:r>
      <w:r w:rsidR="002B668F" w:rsidRPr="00024118">
        <w:rPr>
          <w:rFonts w:ascii="Arial" w:eastAsia="Times New Roman" w:hAnsi="Arial" w:cs="Arial"/>
          <w:sz w:val="22"/>
        </w:rPr>
        <w:t xml:space="preserve">he uncertainty over </w:t>
      </w:r>
      <w:r w:rsidR="00634562">
        <w:rPr>
          <w:rFonts w:ascii="Arial" w:eastAsia="Times New Roman" w:hAnsi="Arial" w:cs="Arial"/>
          <w:sz w:val="22"/>
        </w:rPr>
        <w:t xml:space="preserve">perceptions of the </w:t>
      </w:r>
      <w:r w:rsidR="00A03340">
        <w:rPr>
          <w:rFonts w:ascii="Arial" w:eastAsia="Times New Roman" w:hAnsi="Arial" w:cs="Arial"/>
          <w:sz w:val="22"/>
        </w:rPr>
        <w:t>future role of the workplace</w:t>
      </w:r>
      <w:r w:rsidR="002B668F" w:rsidRPr="00024118">
        <w:rPr>
          <w:rFonts w:ascii="Arial" w:eastAsia="Times New Roman" w:hAnsi="Arial" w:cs="Arial"/>
          <w:sz w:val="22"/>
        </w:rPr>
        <w:t>. As of September, while core asset pricing has moved by a few percentage points, values for core-plus and Value-Add offices have declined by up to 20</w:t>
      </w:r>
      <w:r w:rsidR="00634562">
        <w:rPr>
          <w:rFonts w:ascii="Arial" w:eastAsia="Times New Roman" w:hAnsi="Arial" w:cs="Arial"/>
          <w:sz w:val="22"/>
        </w:rPr>
        <w:t xml:space="preserve"> per cent</w:t>
      </w:r>
      <w:r w:rsidR="002B668F" w:rsidRPr="00024118">
        <w:rPr>
          <w:rFonts w:ascii="Arial" w:eastAsia="Times New Roman" w:hAnsi="Arial" w:cs="Arial"/>
          <w:sz w:val="22"/>
        </w:rPr>
        <w:t xml:space="preserve"> on active deals. </w:t>
      </w:r>
      <w:r w:rsidR="00274A63" w:rsidRPr="00024118">
        <w:rPr>
          <w:rFonts w:ascii="Arial" w:eastAsia="Times New Roman" w:hAnsi="Arial" w:cs="Arial"/>
          <w:sz w:val="22"/>
        </w:rPr>
        <w:t>The</w:t>
      </w:r>
      <w:r w:rsidR="00634562">
        <w:rPr>
          <w:rFonts w:ascii="Arial" w:eastAsia="Times New Roman" w:hAnsi="Arial" w:cs="Arial"/>
          <w:sz w:val="22"/>
        </w:rPr>
        <w:t xml:space="preserve"> office’s </w:t>
      </w:r>
      <w:r w:rsidR="00274A63" w:rsidRPr="00024118">
        <w:rPr>
          <w:rFonts w:ascii="Arial" w:eastAsia="Times New Roman" w:hAnsi="Arial" w:cs="Arial"/>
          <w:sz w:val="22"/>
        </w:rPr>
        <w:t xml:space="preserve">vital role in driving revenue and economic output will not change, </w:t>
      </w:r>
      <w:r w:rsidR="00940721">
        <w:rPr>
          <w:rFonts w:ascii="Arial" w:eastAsia="Times New Roman" w:hAnsi="Arial" w:cs="Arial"/>
          <w:sz w:val="22"/>
        </w:rPr>
        <w:t xml:space="preserve">and </w:t>
      </w:r>
      <w:r w:rsidR="00274A63" w:rsidRPr="00024118">
        <w:rPr>
          <w:rFonts w:ascii="Arial" w:eastAsia="Times New Roman" w:hAnsi="Arial" w:cs="Arial"/>
          <w:sz w:val="22"/>
        </w:rPr>
        <w:t xml:space="preserve">our analysis of economic </w:t>
      </w:r>
      <w:r w:rsidR="00274A63" w:rsidRPr="00634562">
        <w:rPr>
          <w:rFonts w:ascii="Arial" w:eastAsia="Times New Roman" w:hAnsi="Arial" w:cs="Arial"/>
          <w:b/>
          <w:bCs/>
          <w:sz w:val="22"/>
        </w:rPr>
        <w:t>density vs rents</w:t>
      </w:r>
      <w:r w:rsidR="00274A63" w:rsidRPr="00024118">
        <w:rPr>
          <w:rFonts w:ascii="Arial" w:eastAsia="Times New Roman" w:hAnsi="Arial" w:cs="Arial"/>
          <w:sz w:val="22"/>
        </w:rPr>
        <w:t xml:space="preserve"> on a spatial basis supports limited movement in long-term office rents and values. </w:t>
      </w:r>
    </w:p>
    <w:p w14:paraId="248FBA64" w14:textId="41D67562" w:rsidR="0050568B" w:rsidRPr="005C5BF2" w:rsidRDefault="00634562" w:rsidP="00F85F98">
      <w:pPr>
        <w:pStyle w:val="ListParagraph"/>
        <w:numPr>
          <w:ilvl w:val="0"/>
          <w:numId w:val="23"/>
        </w:numPr>
        <w:spacing w:before="0" w:after="0" w:line="240" w:lineRule="auto"/>
        <w:contextualSpacing w:val="0"/>
        <w:jc w:val="both"/>
        <w:rPr>
          <w:rFonts w:ascii="Arial" w:eastAsia="Times New Roman" w:hAnsi="Arial" w:cs="Arial"/>
          <w:color w:val="auto"/>
          <w:sz w:val="22"/>
        </w:rPr>
      </w:pPr>
      <w:r w:rsidRPr="00634562">
        <w:rPr>
          <w:rFonts w:ascii="Arial" w:eastAsia="Times New Roman" w:hAnsi="Arial" w:cs="Arial"/>
          <w:b/>
          <w:bCs/>
          <w:sz w:val="22"/>
        </w:rPr>
        <w:t>R</w:t>
      </w:r>
      <w:r w:rsidR="00274A63" w:rsidRPr="00634562">
        <w:rPr>
          <w:rFonts w:ascii="Arial" w:eastAsia="Times New Roman" w:hAnsi="Arial" w:cs="Arial"/>
          <w:b/>
          <w:bCs/>
          <w:sz w:val="22"/>
        </w:rPr>
        <w:t>etail and hospitality sectors</w:t>
      </w:r>
      <w:r w:rsidR="00D47DFC">
        <w:rPr>
          <w:rFonts w:ascii="Arial" w:eastAsia="Times New Roman" w:hAnsi="Arial" w:cs="Arial"/>
          <w:sz w:val="22"/>
        </w:rPr>
        <w:t xml:space="preserve"> will face </w:t>
      </w:r>
      <w:r w:rsidR="0050568B" w:rsidRPr="00024118">
        <w:rPr>
          <w:rFonts w:ascii="Arial" w:eastAsia="Times New Roman" w:hAnsi="Arial" w:cs="Arial"/>
          <w:sz w:val="22"/>
        </w:rPr>
        <w:t>extreme challenge</w:t>
      </w:r>
      <w:r w:rsidR="00E74FDB">
        <w:rPr>
          <w:rFonts w:ascii="Arial" w:eastAsia="Times New Roman" w:hAnsi="Arial" w:cs="Arial"/>
          <w:sz w:val="22"/>
        </w:rPr>
        <w:t>s</w:t>
      </w:r>
      <w:r w:rsidR="0050568B" w:rsidRPr="00024118">
        <w:rPr>
          <w:rFonts w:ascii="Arial" w:eastAsia="Times New Roman" w:hAnsi="Arial" w:cs="Arial"/>
          <w:sz w:val="22"/>
        </w:rPr>
        <w:t xml:space="preserve"> </w:t>
      </w:r>
      <w:r w:rsidR="00E74FDB">
        <w:rPr>
          <w:rFonts w:ascii="Arial" w:eastAsia="Times New Roman" w:hAnsi="Arial" w:cs="Arial"/>
          <w:sz w:val="22"/>
        </w:rPr>
        <w:t xml:space="preserve">and </w:t>
      </w:r>
      <w:r w:rsidR="0050568B" w:rsidRPr="00024118">
        <w:rPr>
          <w:rFonts w:ascii="Arial" w:eastAsia="Times New Roman" w:hAnsi="Arial" w:cs="Arial"/>
          <w:sz w:val="22"/>
        </w:rPr>
        <w:t xml:space="preserve">many </w:t>
      </w:r>
      <w:r w:rsidR="00E74FDB">
        <w:rPr>
          <w:rFonts w:ascii="Arial" w:eastAsia="Times New Roman" w:hAnsi="Arial" w:cs="Arial"/>
          <w:sz w:val="22"/>
        </w:rPr>
        <w:t xml:space="preserve">smaller operators </w:t>
      </w:r>
      <w:r w:rsidR="0050568B" w:rsidRPr="00024118">
        <w:rPr>
          <w:rFonts w:ascii="Arial" w:eastAsia="Times New Roman" w:hAnsi="Arial" w:cs="Arial"/>
          <w:sz w:val="22"/>
        </w:rPr>
        <w:t>will not pr</w:t>
      </w:r>
      <w:r>
        <w:rPr>
          <w:rFonts w:ascii="Arial" w:eastAsia="Times New Roman" w:hAnsi="Arial" w:cs="Arial"/>
          <w:sz w:val="22"/>
        </w:rPr>
        <w:t>e</w:t>
      </w:r>
      <w:r w:rsidR="0050568B" w:rsidRPr="00024118">
        <w:rPr>
          <w:rFonts w:ascii="Arial" w:eastAsia="Times New Roman" w:hAnsi="Arial" w:cs="Arial"/>
          <w:sz w:val="22"/>
        </w:rPr>
        <w:t>vail</w:t>
      </w:r>
      <w:r w:rsidR="00A03340">
        <w:rPr>
          <w:rFonts w:ascii="Arial" w:eastAsia="Times New Roman" w:hAnsi="Arial" w:cs="Arial"/>
          <w:sz w:val="22"/>
        </w:rPr>
        <w:t xml:space="preserve"> in </w:t>
      </w:r>
      <w:r w:rsidR="00D47DFC">
        <w:rPr>
          <w:rFonts w:ascii="Arial" w:eastAsia="Times New Roman" w:hAnsi="Arial" w:cs="Arial"/>
          <w:sz w:val="22"/>
        </w:rPr>
        <w:t xml:space="preserve">their </w:t>
      </w:r>
      <w:r w:rsidR="00A03340">
        <w:rPr>
          <w:rFonts w:ascii="Arial" w:eastAsia="Times New Roman" w:hAnsi="Arial" w:cs="Arial"/>
          <w:sz w:val="22"/>
        </w:rPr>
        <w:t>current form</w:t>
      </w:r>
      <w:r w:rsidR="0050568B" w:rsidRPr="00024118">
        <w:rPr>
          <w:rFonts w:ascii="Arial" w:eastAsia="Times New Roman" w:hAnsi="Arial" w:cs="Arial"/>
          <w:sz w:val="22"/>
        </w:rPr>
        <w:t>, let alone prosper</w:t>
      </w:r>
      <w:r w:rsidR="00A03340">
        <w:rPr>
          <w:rFonts w:ascii="Arial" w:eastAsia="Times New Roman" w:hAnsi="Arial" w:cs="Arial"/>
          <w:sz w:val="22"/>
        </w:rPr>
        <w:t>,</w:t>
      </w:r>
      <w:r w:rsidR="0050568B" w:rsidRPr="00024118">
        <w:rPr>
          <w:rFonts w:ascii="Arial" w:eastAsia="Times New Roman" w:hAnsi="Arial" w:cs="Arial"/>
          <w:sz w:val="22"/>
        </w:rPr>
        <w:t xml:space="preserve"> as the market adjusts </w:t>
      </w:r>
      <w:r w:rsidR="0050568B" w:rsidRPr="00024118">
        <w:rPr>
          <w:rFonts w:ascii="Arial" w:eastAsia="Times New Roman" w:hAnsi="Arial" w:cs="Arial"/>
          <w:sz w:val="22"/>
        </w:rPr>
        <w:lastRenderedPageBreak/>
        <w:t>over the next 12-18 months</w:t>
      </w:r>
      <w:r w:rsidR="0050568B" w:rsidRPr="005C5BF2">
        <w:rPr>
          <w:rFonts w:ascii="Arial" w:eastAsia="Times New Roman" w:hAnsi="Arial" w:cs="Arial"/>
          <w:color w:val="auto"/>
          <w:sz w:val="22"/>
        </w:rPr>
        <w:t xml:space="preserve">. </w:t>
      </w:r>
      <w:r w:rsidR="00A426D7" w:rsidRPr="005C5BF2">
        <w:rPr>
          <w:rFonts w:ascii="Arial" w:eastAsia="Times New Roman" w:hAnsi="Arial" w:cs="Arial"/>
          <w:color w:val="auto"/>
          <w:sz w:val="22"/>
        </w:rPr>
        <w:t>2019 R</w:t>
      </w:r>
      <w:r w:rsidR="007C0009">
        <w:rPr>
          <w:rFonts w:ascii="Arial" w:eastAsia="Times New Roman" w:hAnsi="Arial" w:cs="Arial"/>
          <w:color w:val="auto"/>
          <w:sz w:val="22"/>
        </w:rPr>
        <w:t>ev</w:t>
      </w:r>
      <w:r w:rsidR="00A426D7" w:rsidRPr="005C5BF2">
        <w:rPr>
          <w:rFonts w:ascii="Arial" w:eastAsia="Times New Roman" w:hAnsi="Arial" w:cs="Arial"/>
          <w:color w:val="auto"/>
          <w:sz w:val="22"/>
        </w:rPr>
        <w:t xml:space="preserve">PAR levels for hotels </w:t>
      </w:r>
      <w:r w:rsidR="007C0009">
        <w:rPr>
          <w:rFonts w:ascii="Arial" w:eastAsia="Times New Roman" w:hAnsi="Arial" w:cs="Arial"/>
          <w:color w:val="auto"/>
          <w:sz w:val="22"/>
        </w:rPr>
        <w:t>have been sever</w:t>
      </w:r>
      <w:r w:rsidR="001E53D1">
        <w:rPr>
          <w:rFonts w:ascii="Arial" w:eastAsia="Times New Roman" w:hAnsi="Arial" w:cs="Arial"/>
          <w:color w:val="auto"/>
          <w:sz w:val="22"/>
        </w:rPr>
        <w:t>e</w:t>
      </w:r>
      <w:r w:rsidR="007C0009">
        <w:rPr>
          <w:rFonts w:ascii="Arial" w:eastAsia="Times New Roman" w:hAnsi="Arial" w:cs="Arial"/>
          <w:color w:val="auto"/>
          <w:sz w:val="22"/>
        </w:rPr>
        <w:t xml:space="preserve">ly impaired by the pandemic </w:t>
      </w:r>
      <w:r w:rsidR="001E53D1">
        <w:rPr>
          <w:rFonts w:ascii="Arial" w:eastAsia="Times New Roman" w:hAnsi="Arial" w:cs="Arial"/>
          <w:color w:val="auto"/>
          <w:sz w:val="22"/>
        </w:rPr>
        <w:t xml:space="preserve">and </w:t>
      </w:r>
      <w:r w:rsidR="00A426D7" w:rsidRPr="005C5BF2">
        <w:rPr>
          <w:rFonts w:ascii="Arial" w:eastAsia="Times New Roman" w:hAnsi="Arial" w:cs="Arial"/>
          <w:color w:val="auto"/>
          <w:sz w:val="22"/>
        </w:rPr>
        <w:t xml:space="preserve">are not likely to return </w:t>
      </w:r>
      <w:r w:rsidR="001E53D1">
        <w:rPr>
          <w:rFonts w:ascii="Arial" w:eastAsia="Times New Roman" w:hAnsi="Arial" w:cs="Arial"/>
          <w:color w:val="auto"/>
          <w:sz w:val="22"/>
        </w:rPr>
        <w:t xml:space="preserve">to pre-COVID levels </w:t>
      </w:r>
      <w:r w:rsidR="00A426D7" w:rsidRPr="005C5BF2">
        <w:rPr>
          <w:rFonts w:ascii="Arial" w:eastAsia="Times New Roman" w:hAnsi="Arial" w:cs="Arial"/>
          <w:color w:val="auto"/>
          <w:sz w:val="22"/>
        </w:rPr>
        <w:t>until the end of 2022</w:t>
      </w:r>
      <w:r w:rsidR="001E53D1">
        <w:rPr>
          <w:rFonts w:ascii="Arial" w:eastAsia="Times New Roman" w:hAnsi="Arial" w:cs="Arial"/>
          <w:color w:val="auto"/>
          <w:sz w:val="22"/>
        </w:rPr>
        <w:t xml:space="preserve"> at the earliest</w:t>
      </w:r>
      <w:r w:rsidR="00A426D7" w:rsidRPr="005C5BF2">
        <w:rPr>
          <w:rFonts w:ascii="Arial" w:eastAsia="Times New Roman" w:hAnsi="Arial" w:cs="Arial"/>
          <w:color w:val="auto"/>
          <w:sz w:val="22"/>
        </w:rPr>
        <w:t>.</w:t>
      </w:r>
    </w:p>
    <w:p w14:paraId="216DC3F2" w14:textId="77777777" w:rsidR="00D47DFC" w:rsidRPr="00D47DFC" w:rsidRDefault="00D47DFC" w:rsidP="00F85F98">
      <w:pPr>
        <w:pStyle w:val="ListParagraph"/>
        <w:numPr>
          <w:ilvl w:val="0"/>
          <w:numId w:val="0"/>
        </w:numPr>
        <w:spacing w:before="0" w:after="0" w:line="240" w:lineRule="auto"/>
        <w:ind w:left="720"/>
        <w:contextualSpacing w:val="0"/>
        <w:jc w:val="both"/>
        <w:rPr>
          <w:rFonts w:ascii="Arial" w:eastAsia="Times New Roman" w:hAnsi="Arial" w:cs="Arial"/>
          <w:sz w:val="22"/>
        </w:rPr>
      </w:pPr>
    </w:p>
    <w:p w14:paraId="6D4FB428" w14:textId="77777777" w:rsidR="00024118" w:rsidRDefault="00202322" w:rsidP="00F85F98">
      <w:pPr>
        <w:pStyle w:val="PlainText"/>
        <w:jc w:val="both"/>
        <w:rPr>
          <w:rFonts w:ascii="Arial" w:hAnsi="Arial" w:cs="Arial"/>
        </w:rPr>
      </w:pPr>
      <w:r w:rsidRPr="00024118">
        <w:rPr>
          <w:rFonts w:ascii="Arial" w:hAnsi="Arial" w:cs="Arial"/>
          <w:b/>
          <w:bCs/>
        </w:rPr>
        <w:t xml:space="preserve">Richard Divall, Head of Cross Border Capital Markets, EMEA </w:t>
      </w:r>
      <w:r w:rsidR="00024118">
        <w:rPr>
          <w:rFonts w:ascii="Arial" w:hAnsi="Arial" w:cs="Arial"/>
          <w:b/>
          <w:bCs/>
        </w:rPr>
        <w:t>explained</w:t>
      </w:r>
      <w:r w:rsidRPr="00024118">
        <w:rPr>
          <w:rFonts w:ascii="Arial" w:hAnsi="Arial" w:cs="Arial"/>
          <w:b/>
          <w:bCs/>
        </w:rPr>
        <w:t>:</w:t>
      </w:r>
      <w:r w:rsidRPr="00024118">
        <w:rPr>
          <w:rFonts w:ascii="Arial" w:hAnsi="Arial" w:cs="Arial"/>
        </w:rPr>
        <w:t xml:space="preserve"> </w:t>
      </w:r>
    </w:p>
    <w:p w14:paraId="379DD641" w14:textId="77777777" w:rsidR="00024118" w:rsidRDefault="00024118" w:rsidP="00F85F98">
      <w:pPr>
        <w:pStyle w:val="PlainText"/>
        <w:jc w:val="both"/>
        <w:rPr>
          <w:rFonts w:ascii="Arial" w:hAnsi="Arial" w:cs="Arial"/>
        </w:rPr>
      </w:pPr>
    </w:p>
    <w:p w14:paraId="383F2EBB" w14:textId="77777777" w:rsidR="00017881" w:rsidRDefault="00202322" w:rsidP="00F85F98">
      <w:pPr>
        <w:pStyle w:val="PlainText"/>
        <w:jc w:val="both"/>
        <w:rPr>
          <w:rFonts w:ascii="Arial" w:hAnsi="Arial" w:cs="Arial"/>
        </w:rPr>
      </w:pPr>
      <w:r w:rsidRPr="00024118">
        <w:rPr>
          <w:rFonts w:ascii="Arial" w:hAnsi="Arial" w:cs="Arial"/>
        </w:rPr>
        <w:t xml:space="preserve">“Over Q3, sentiment and liquidity in the markets has improved, with larger transactions happening throughout Europe. As we enter the final quarter of the year, we are expecting to see a spike in volumes, as investors look to deploy some of their </w:t>
      </w:r>
      <w:bookmarkStart w:id="3" w:name="_Hlk54180610"/>
      <w:r w:rsidRPr="00024118">
        <w:rPr>
          <w:rFonts w:ascii="Arial" w:hAnsi="Arial" w:cs="Arial"/>
        </w:rPr>
        <w:t xml:space="preserve">‘dry powder’ </w:t>
      </w:r>
      <w:bookmarkEnd w:id="3"/>
      <w:r w:rsidRPr="00024118">
        <w:rPr>
          <w:rFonts w:ascii="Arial" w:hAnsi="Arial" w:cs="Arial"/>
        </w:rPr>
        <w:t xml:space="preserve">and sellers become more confident with the depth of buyers and liquidity in the markets. </w:t>
      </w:r>
    </w:p>
    <w:p w14:paraId="297B0C71" w14:textId="77777777" w:rsidR="00017881" w:rsidRDefault="00017881" w:rsidP="00F85F98">
      <w:pPr>
        <w:pStyle w:val="PlainText"/>
        <w:jc w:val="both"/>
        <w:rPr>
          <w:rFonts w:ascii="Arial" w:hAnsi="Arial" w:cs="Arial"/>
        </w:rPr>
      </w:pPr>
    </w:p>
    <w:p w14:paraId="00E145BD" w14:textId="2D4D1C4B" w:rsidR="00202322" w:rsidRDefault="00017881" w:rsidP="00F85F98">
      <w:pPr>
        <w:pStyle w:val="PlainText"/>
        <w:jc w:val="both"/>
        <w:rPr>
          <w:rFonts w:ascii="Arial" w:hAnsi="Arial" w:cs="Arial"/>
        </w:rPr>
      </w:pPr>
      <w:r>
        <w:rPr>
          <w:rFonts w:ascii="Arial" w:hAnsi="Arial" w:cs="Arial"/>
        </w:rPr>
        <w:t>“</w:t>
      </w:r>
      <w:r w:rsidR="00202322" w:rsidRPr="00024118">
        <w:rPr>
          <w:rFonts w:ascii="Arial" w:hAnsi="Arial" w:cs="Arial"/>
        </w:rPr>
        <w:t xml:space="preserve">Property sectors such as logistics, affordable residential, science parks and healthcare continue to attract more demand with investors taking caution and becoming highly selective in the other sectors. Of course, the market is still </w:t>
      </w:r>
      <w:r w:rsidRPr="00024118">
        <w:rPr>
          <w:rFonts w:ascii="Arial" w:hAnsi="Arial" w:cs="Arial"/>
        </w:rPr>
        <w:t>fragile,</w:t>
      </w:r>
      <w:r w:rsidR="00202322" w:rsidRPr="00024118">
        <w:rPr>
          <w:rFonts w:ascii="Arial" w:hAnsi="Arial" w:cs="Arial"/>
        </w:rPr>
        <w:t xml:space="preserve"> and external factors could send the market back into </w:t>
      </w:r>
      <w:r w:rsidR="00232B22">
        <w:rPr>
          <w:rFonts w:ascii="Arial" w:hAnsi="Arial" w:cs="Arial"/>
        </w:rPr>
        <w:t>turbulence</w:t>
      </w:r>
      <w:r>
        <w:rPr>
          <w:rFonts w:ascii="Arial" w:hAnsi="Arial" w:cs="Arial"/>
        </w:rPr>
        <w:t xml:space="preserve">, </w:t>
      </w:r>
      <w:r w:rsidR="00202322" w:rsidRPr="00024118">
        <w:rPr>
          <w:rFonts w:ascii="Arial" w:hAnsi="Arial" w:cs="Arial"/>
        </w:rPr>
        <w:t xml:space="preserve">including the US Election in November, and a second wave </w:t>
      </w:r>
      <w:r>
        <w:rPr>
          <w:rFonts w:ascii="Arial" w:hAnsi="Arial" w:cs="Arial"/>
        </w:rPr>
        <w:t xml:space="preserve">of the pandemic </w:t>
      </w:r>
      <w:r w:rsidR="00202322" w:rsidRPr="00024118">
        <w:rPr>
          <w:rFonts w:ascii="Arial" w:hAnsi="Arial" w:cs="Arial"/>
        </w:rPr>
        <w:t xml:space="preserve">in Europe. However, if this can be avoided and </w:t>
      </w:r>
      <w:bookmarkStart w:id="4" w:name="_Hlk54180831"/>
      <w:r w:rsidR="00202322" w:rsidRPr="00024118">
        <w:rPr>
          <w:rFonts w:ascii="Arial" w:hAnsi="Arial" w:cs="Arial"/>
        </w:rPr>
        <w:t>smooth waters prevail</w:t>
      </w:r>
      <w:bookmarkEnd w:id="4"/>
      <w:r w:rsidR="00202322" w:rsidRPr="00024118">
        <w:rPr>
          <w:rFonts w:ascii="Arial" w:hAnsi="Arial" w:cs="Arial"/>
        </w:rPr>
        <w:t>, we could see investment volumes reach over €100 billion in Q4, doubling those of Q3 and Q2.”</w:t>
      </w:r>
    </w:p>
    <w:p w14:paraId="66FA406C" w14:textId="77777777" w:rsidR="00F14AF1" w:rsidRDefault="00F14AF1" w:rsidP="00F85F98">
      <w:pPr>
        <w:pStyle w:val="PlainText"/>
        <w:jc w:val="both"/>
        <w:rPr>
          <w:rFonts w:ascii="Arial" w:hAnsi="Arial" w:cs="Arial"/>
        </w:rPr>
      </w:pPr>
    </w:p>
    <w:p w14:paraId="298653A4" w14:textId="352C4660" w:rsidR="00F14AF1" w:rsidRDefault="00F14AF1" w:rsidP="00F85F98">
      <w:pPr>
        <w:pStyle w:val="PlainText"/>
        <w:jc w:val="both"/>
        <w:rPr>
          <w:rFonts w:ascii="Arial" w:hAnsi="Arial" w:cs="Arial"/>
          <w:b/>
        </w:rPr>
      </w:pPr>
      <w:r w:rsidRPr="00F14AF1">
        <w:rPr>
          <w:rFonts w:ascii="Arial" w:hAnsi="Arial" w:cs="Arial"/>
          <w:b/>
        </w:rPr>
        <w:t>The view of Poland in the report</w:t>
      </w:r>
    </w:p>
    <w:p w14:paraId="7E94AD8F" w14:textId="77777777" w:rsidR="00F14AF1" w:rsidRDefault="00F14AF1" w:rsidP="00F85F98">
      <w:pPr>
        <w:pStyle w:val="PlainText"/>
        <w:jc w:val="both"/>
        <w:rPr>
          <w:rFonts w:ascii="Arial" w:hAnsi="Arial" w:cs="Arial"/>
          <w:b/>
        </w:rPr>
      </w:pPr>
    </w:p>
    <w:p w14:paraId="28D33B3D" w14:textId="1D33E9FD" w:rsidR="00F14AF1" w:rsidRDefault="00F14AF1" w:rsidP="00F85F98">
      <w:pPr>
        <w:pStyle w:val="PlainText"/>
        <w:jc w:val="both"/>
        <w:rPr>
          <w:rFonts w:ascii="Arial" w:hAnsi="Arial" w:cs="Arial"/>
        </w:rPr>
      </w:pPr>
      <w:r w:rsidRPr="00F14AF1">
        <w:rPr>
          <w:rFonts w:ascii="Arial" w:hAnsi="Arial" w:cs="Arial"/>
        </w:rPr>
        <w:t>European national economies are diverse - other sectors drive them to different degrees. Italy, Spain, Portugal, France and the United Kingdom have been severely affected by the closure of borders in the second quarter, because the tourism sector is an important part of their economy. Poland has suffered a little in this aspect.</w:t>
      </w:r>
    </w:p>
    <w:p w14:paraId="6BA45291" w14:textId="77777777" w:rsidR="00F14AF1" w:rsidRDefault="00F14AF1" w:rsidP="00F85F98">
      <w:pPr>
        <w:pStyle w:val="PlainText"/>
        <w:jc w:val="both"/>
        <w:rPr>
          <w:rFonts w:ascii="Arial" w:hAnsi="Arial" w:cs="Arial"/>
        </w:rPr>
      </w:pPr>
    </w:p>
    <w:p w14:paraId="3E683725" w14:textId="77777777" w:rsidR="00F14AF1" w:rsidRDefault="00F14AF1" w:rsidP="00F85F98">
      <w:pPr>
        <w:pStyle w:val="PlainText"/>
        <w:jc w:val="both"/>
        <w:rPr>
          <w:rFonts w:ascii="Arial" w:hAnsi="Arial" w:cs="Arial"/>
        </w:rPr>
      </w:pPr>
      <w:r w:rsidRPr="00F14AF1">
        <w:rPr>
          <w:rFonts w:ascii="Arial" w:hAnsi="Arial" w:cs="Arial"/>
        </w:rPr>
        <w:t>In the autumn, the return of people to their offices and the opening of schools has inevitably increased the number of infections throughout Europe. However, this must be seen in the context of the changes that have taken place since March. Although the number of infections is increasing compared with the first wave, the number of tests has also increased - four times on average. Comparing these figures with the first wave, we see that most EU countries have mastered the pandemic. For countries such as the United Kingdom, Spain, the Netherlands and France, which are applying new protection measures, the situation appears to be safe. The exceptions to this rule are Poland, the Czech Republic and Hungary, where the rates of the second wave are much higher than the first. The reason for these figures is that there were few cases in the spring, thanks to the immediate lockdown in March.</w:t>
      </w:r>
    </w:p>
    <w:p w14:paraId="7315A5DA" w14:textId="77777777" w:rsidR="005672B8" w:rsidRDefault="005672B8" w:rsidP="00F85F98">
      <w:pPr>
        <w:pStyle w:val="PlainText"/>
        <w:jc w:val="both"/>
        <w:rPr>
          <w:rFonts w:ascii="Arial" w:hAnsi="Arial" w:cs="Arial"/>
          <w:lang w:val="en-US"/>
        </w:rPr>
      </w:pPr>
    </w:p>
    <w:p w14:paraId="1C9B603E" w14:textId="155B0160" w:rsidR="005672B8" w:rsidRDefault="005672B8" w:rsidP="00F85F98">
      <w:pPr>
        <w:pStyle w:val="PlainText"/>
        <w:jc w:val="both"/>
        <w:rPr>
          <w:rFonts w:ascii="Arial" w:hAnsi="Arial" w:cs="Arial"/>
        </w:rPr>
      </w:pPr>
      <w:r w:rsidRPr="005672B8">
        <w:rPr>
          <w:rFonts w:ascii="Arial" w:hAnsi="Arial" w:cs="Arial"/>
        </w:rPr>
        <w:t>Germany and the Nordic region, especially Norway, Denmark and Sweden look the most appealing countries based on these metrics. Tech-centric Ireland also benefits from many positive factors. The big economies of France and the UK have a positive balance of economic conditions, but the next six months remain uncertain in terms of the management of the pandemic. It will become financially challenging to buoy the economy for any extended period of time, especially in France. The Benelux and core CEE markets of Poland and Czechia look in a good position, provided they can weather the large second COVID-19 wave.</w:t>
      </w:r>
      <w:r>
        <w:rPr>
          <w:rFonts w:ascii="Arial" w:hAnsi="Arial" w:cs="Arial"/>
        </w:rPr>
        <w:t xml:space="preserve"> </w:t>
      </w:r>
      <w:r w:rsidRPr="005672B8">
        <w:rPr>
          <w:rFonts w:ascii="Arial" w:hAnsi="Arial" w:cs="Arial"/>
        </w:rPr>
        <w:t>Belgium will be more challenged if it needs to continue funding the economy, given its reliance on the EU recovery fund to maintain targeted stimulus measures until end 2020. At the other end of the spectrum, Spain and Italy have some difficult years ahead, but this distress will create multiple opportunities for investors engaging in the riskier end of the spectrum.</w:t>
      </w:r>
    </w:p>
    <w:p w14:paraId="5F508555" w14:textId="77777777" w:rsidR="003B4B82" w:rsidRDefault="003B4B82" w:rsidP="00F85F98">
      <w:pPr>
        <w:pStyle w:val="PlainText"/>
        <w:jc w:val="both"/>
        <w:rPr>
          <w:rFonts w:ascii="Arial" w:hAnsi="Arial" w:cs="Arial"/>
        </w:rPr>
      </w:pPr>
    </w:p>
    <w:p w14:paraId="4BA1B2F3" w14:textId="77777777" w:rsidR="003B4B82" w:rsidRDefault="003B4B82" w:rsidP="003B4B82">
      <w:pPr>
        <w:pStyle w:val="PlainText"/>
        <w:jc w:val="both"/>
        <w:rPr>
          <w:rFonts w:ascii="Arial" w:hAnsi="Arial" w:cs="Arial"/>
          <w:szCs w:val="26"/>
          <w:lang w:val="en-US"/>
        </w:rPr>
      </w:pPr>
      <w:r w:rsidRPr="005672B8">
        <w:rPr>
          <w:rFonts w:ascii="Arial" w:hAnsi="Arial" w:cs="Arial"/>
          <w:color w:val="000000"/>
          <w:lang w:val="en-US"/>
        </w:rPr>
        <w:t>“</w:t>
      </w:r>
      <w:bookmarkStart w:id="5" w:name="_Hlk54181836"/>
      <w:r w:rsidRPr="005672B8">
        <w:rPr>
          <w:rFonts w:ascii="Arial" w:hAnsi="Arial" w:cs="Arial"/>
          <w:color w:val="000000"/>
          <w:lang w:val="en-US"/>
        </w:rPr>
        <w:t>The Polish investment market has remained strong through the lockdown and the ongoing pandemic. Whilst the end of year volumes are expected to be lower this year, office and logistics sectors in particular continue to perform and we see a continued strong inflow of capital into Poland’s key markets, however transactions understandably take longer to complete</w:t>
      </w:r>
      <w:r>
        <w:rPr>
          <w:rFonts w:ascii="Arial" w:hAnsi="Arial" w:cs="Arial"/>
          <w:color w:val="000000"/>
          <w:lang w:val="en-US"/>
        </w:rPr>
        <w:t>”</w:t>
      </w:r>
      <w:bookmarkEnd w:id="5"/>
      <w:r w:rsidRPr="005672B8">
        <w:rPr>
          <w:rFonts w:ascii="Arial" w:hAnsi="Arial" w:cs="Arial"/>
          <w:color w:val="000000"/>
          <w:lang w:val="en-US"/>
        </w:rPr>
        <w:t xml:space="preserve">, said </w:t>
      </w:r>
      <w:r w:rsidRPr="005672B8">
        <w:rPr>
          <w:rFonts w:ascii="Arial" w:hAnsi="Arial" w:cs="Arial"/>
          <w:b/>
          <w:szCs w:val="26"/>
          <w:lang w:val="en-US"/>
        </w:rPr>
        <w:t>Piotr Mirowski</w:t>
      </w:r>
      <w:r w:rsidRPr="005672B8">
        <w:rPr>
          <w:rFonts w:ascii="Arial" w:hAnsi="Arial" w:cs="Arial"/>
          <w:szCs w:val="26"/>
          <w:lang w:val="en-US"/>
        </w:rPr>
        <w:t xml:space="preserve">, Senior Partner, Director of Investment Services at Colliers International. </w:t>
      </w:r>
    </w:p>
    <w:p w14:paraId="29736977" w14:textId="77777777" w:rsidR="003B4B82" w:rsidRPr="005672B8" w:rsidRDefault="003B4B82" w:rsidP="00F85F98">
      <w:pPr>
        <w:pStyle w:val="PlainText"/>
        <w:jc w:val="both"/>
        <w:rPr>
          <w:rFonts w:ascii="Arial" w:hAnsi="Arial" w:cs="Arial"/>
          <w:lang w:val="en-US"/>
        </w:rPr>
      </w:pPr>
    </w:p>
    <w:p w14:paraId="3F186A8C" w14:textId="77777777" w:rsidR="00F14AF1" w:rsidRPr="005672B8" w:rsidRDefault="00F14AF1" w:rsidP="00F85F98">
      <w:pPr>
        <w:pStyle w:val="PlainText"/>
        <w:jc w:val="both"/>
        <w:rPr>
          <w:rFonts w:ascii="Arial" w:hAnsi="Arial" w:cs="Arial"/>
        </w:rPr>
      </w:pPr>
    </w:p>
    <w:p w14:paraId="255D21AA" w14:textId="77777777" w:rsidR="00202322" w:rsidRPr="00024118" w:rsidRDefault="00202322" w:rsidP="00F85F98">
      <w:pPr>
        <w:spacing w:before="0" w:after="0" w:line="240" w:lineRule="auto"/>
        <w:jc w:val="both"/>
        <w:rPr>
          <w:rFonts w:ascii="Arial" w:eastAsia="Times New Roman" w:hAnsi="Arial" w:cs="Arial"/>
          <w:sz w:val="22"/>
        </w:rPr>
      </w:pPr>
    </w:p>
    <w:p w14:paraId="40A7FF5C" w14:textId="77777777" w:rsidR="00024118" w:rsidRDefault="00024118" w:rsidP="00F85F98">
      <w:pPr>
        <w:pStyle w:val="PlainText"/>
        <w:jc w:val="both"/>
        <w:rPr>
          <w:rFonts w:ascii="Arial" w:hAnsi="Arial" w:cs="Arial"/>
        </w:rPr>
      </w:pPr>
      <w:r>
        <w:rPr>
          <w:rFonts w:ascii="Arial" w:hAnsi="Arial" w:cs="Arial"/>
          <w:b/>
          <w:bCs/>
        </w:rPr>
        <w:lastRenderedPageBreak/>
        <w:t xml:space="preserve">Author of </w:t>
      </w:r>
      <w:r w:rsidRPr="002007DB">
        <w:rPr>
          <w:rFonts w:ascii="Arial" w:hAnsi="Arial" w:cs="Arial"/>
          <w:b/>
          <w:bCs/>
          <w:i/>
          <w:iCs/>
        </w:rPr>
        <w:t>Prevail &amp; Prosper</w:t>
      </w:r>
      <w:r w:rsidRPr="00017881">
        <w:rPr>
          <w:rFonts w:ascii="Arial" w:hAnsi="Arial" w:cs="Arial"/>
          <w:b/>
          <w:bCs/>
          <w:i/>
          <w:iCs/>
        </w:rPr>
        <w:t>,</w:t>
      </w:r>
      <w:r>
        <w:rPr>
          <w:rFonts w:ascii="Arial" w:hAnsi="Arial" w:cs="Arial"/>
          <w:b/>
          <w:bCs/>
        </w:rPr>
        <w:t xml:space="preserve"> </w:t>
      </w:r>
      <w:r w:rsidR="00B84FB7" w:rsidRPr="00024118">
        <w:rPr>
          <w:rFonts w:ascii="Arial" w:hAnsi="Arial" w:cs="Arial"/>
          <w:b/>
          <w:bCs/>
        </w:rPr>
        <w:t>Damian Harrington, Head of EMEA research at Colliers Intonational</w:t>
      </w:r>
      <w:r w:rsidR="00B84FB7" w:rsidRPr="00024118">
        <w:rPr>
          <w:rFonts w:ascii="Arial" w:hAnsi="Arial" w:cs="Arial"/>
        </w:rPr>
        <w:t xml:space="preserve"> </w:t>
      </w:r>
      <w:r w:rsidRPr="00024118">
        <w:rPr>
          <w:rFonts w:ascii="Arial" w:hAnsi="Arial" w:cs="Arial"/>
          <w:b/>
          <w:bCs/>
        </w:rPr>
        <w:t>concluded</w:t>
      </w:r>
      <w:r w:rsidR="00B84FB7" w:rsidRPr="00024118">
        <w:rPr>
          <w:rFonts w:ascii="Arial" w:hAnsi="Arial" w:cs="Arial"/>
          <w:b/>
          <w:bCs/>
        </w:rPr>
        <w:t>:</w:t>
      </w:r>
      <w:r w:rsidR="00B84FB7" w:rsidRPr="00024118">
        <w:rPr>
          <w:rFonts w:ascii="Arial" w:hAnsi="Arial" w:cs="Arial"/>
        </w:rPr>
        <w:t xml:space="preserve"> </w:t>
      </w:r>
    </w:p>
    <w:p w14:paraId="76147382" w14:textId="77777777" w:rsidR="00024118" w:rsidRDefault="00024118" w:rsidP="00F85F98">
      <w:pPr>
        <w:pStyle w:val="PlainText"/>
        <w:jc w:val="both"/>
        <w:rPr>
          <w:rFonts w:ascii="Arial" w:hAnsi="Arial" w:cs="Arial"/>
        </w:rPr>
      </w:pPr>
    </w:p>
    <w:p w14:paraId="0D64FC5A" w14:textId="545E17BD" w:rsidR="00E74FDB" w:rsidRPr="00E74FDB" w:rsidRDefault="009B0E1B" w:rsidP="00F85F98">
      <w:pPr>
        <w:pStyle w:val="PlainText"/>
        <w:jc w:val="both"/>
        <w:rPr>
          <w:rFonts w:ascii="Arial" w:hAnsi="Arial" w:cs="Arial"/>
        </w:rPr>
      </w:pPr>
      <w:r w:rsidRPr="00024118">
        <w:rPr>
          <w:rFonts w:ascii="Arial" w:hAnsi="Arial" w:cs="Arial"/>
        </w:rPr>
        <w:t>“</w:t>
      </w:r>
      <w:r w:rsidR="00AD0055" w:rsidRPr="00024118">
        <w:rPr>
          <w:rFonts w:ascii="Arial" w:hAnsi="Arial" w:cs="Arial"/>
        </w:rPr>
        <w:t xml:space="preserve">On the whole, </w:t>
      </w:r>
      <w:r w:rsidRPr="00024118">
        <w:rPr>
          <w:rFonts w:ascii="Arial" w:hAnsi="Arial" w:cs="Arial"/>
        </w:rPr>
        <w:t xml:space="preserve">activity </w:t>
      </w:r>
      <w:r w:rsidR="00AD0055" w:rsidRPr="00024118">
        <w:rPr>
          <w:rFonts w:ascii="Arial" w:hAnsi="Arial" w:cs="Arial"/>
        </w:rPr>
        <w:t xml:space="preserve">across the region </w:t>
      </w:r>
      <w:r w:rsidRPr="00024118">
        <w:rPr>
          <w:rFonts w:ascii="Arial" w:hAnsi="Arial" w:cs="Arial"/>
        </w:rPr>
        <w:t xml:space="preserve">has been positive </w:t>
      </w:r>
      <w:r w:rsidR="002B668F" w:rsidRPr="00024118">
        <w:rPr>
          <w:rFonts w:ascii="Arial" w:hAnsi="Arial" w:cs="Arial"/>
        </w:rPr>
        <w:t xml:space="preserve">from an investment perspective </w:t>
      </w:r>
      <w:r w:rsidRPr="00024118">
        <w:rPr>
          <w:rFonts w:ascii="Arial" w:hAnsi="Arial" w:cs="Arial"/>
        </w:rPr>
        <w:t xml:space="preserve">– in relative terms – with overall H1 volumes only down by </w:t>
      </w:r>
      <w:r w:rsidR="00017881">
        <w:rPr>
          <w:rFonts w:ascii="Arial" w:hAnsi="Arial" w:cs="Arial"/>
        </w:rPr>
        <w:t xml:space="preserve">10 </w:t>
      </w:r>
      <w:r w:rsidRPr="00024118">
        <w:rPr>
          <w:rFonts w:ascii="Arial" w:hAnsi="Arial" w:cs="Arial"/>
        </w:rPr>
        <w:t>per cent year-on-year</w:t>
      </w:r>
      <w:r w:rsidR="0050568B" w:rsidRPr="00024118">
        <w:rPr>
          <w:rFonts w:ascii="Arial" w:hAnsi="Arial" w:cs="Arial"/>
        </w:rPr>
        <w:t xml:space="preserve">. The anticipated </w:t>
      </w:r>
      <w:r w:rsidRPr="00024118">
        <w:rPr>
          <w:rFonts w:ascii="Arial" w:hAnsi="Arial" w:cs="Arial"/>
        </w:rPr>
        <w:t xml:space="preserve">rebound in Q4 </w:t>
      </w:r>
      <w:r w:rsidR="0050568B" w:rsidRPr="00024118">
        <w:rPr>
          <w:rFonts w:ascii="Arial" w:hAnsi="Arial" w:cs="Arial"/>
        </w:rPr>
        <w:t xml:space="preserve">would take </w:t>
      </w:r>
      <w:r w:rsidR="00652D53" w:rsidRPr="00024118">
        <w:rPr>
          <w:rFonts w:ascii="Arial" w:hAnsi="Arial" w:cs="Arial"/>
        </w:rPr>
        <w:t>EMEA to only 14</w:t>
      </w:r>
      <w:r w:rsidR="00017881">
        <w:rPr>
          <w:rFonts w:ascii="Arial" w:hAnsi="Arial" w:cs="Arial"/>
        </w:rPr>
        <w:t xml:space="preserve"> percent</w:t>
      </w:r>
      <w:r w:rsidR="00652D53" w:rsidRPr="00024118">
        <w:rPr>
          <w:rFonts w:ascii="Arial" w:hAnsi="Arial" w:cs="Arial"/>
        </w:rPr>
        <w:t xml:space="preserve"> down year on year. While t</w:t>
      </w:r>
      <w:r w:rsidR="00AD0055" w:rsidRPr="00024118">
        <w:rPr>
          <w:rFonts w:ascii="Arial" w:hAnsi="Arial" w:cs="Arial"/>
          <w:lang w:val="en-US"/>
        </w:rPr>
        <w:t xml:space="preserve">he second half of 2020 heralds the start of a recovery from the sharp lockdown-induced economic slump of Q2, the way in which markets are </w:t>
      </w:r>
      <w:r w:rsidR="00232B22">
        <w:rPr>
          <w:rFonts w:ascii="Arial" w:hAnsi="Arial" w:cs="Arial"/>
          <w:lang w:val="en-US"/>
        </w:rPr>
        <w:t xml:space="preserve">achieving a </w:t>
      </w:r>
      <w:r w:rsidR="00AD0055" w:rsidRPr="00024118">
        <w:rPr>
          <w:rFonts w:ascii="Arial" w:hAnsi="Arial" w:cs="Arial"/>
          <w:lang w:val="en-US"/>
        </w:rPr>
        <w:t xml:space="preserve">new normality continues to differ significantly by sector and </w:t>
      </w:r>
      <w:r w:rsidR="009848D3" w:rsidRPr="00024118">
        <w:rPr>
          <w:rFonts w:ascii="Arial" w:hAnsi="Arial" w:cs="Arial"/>
          <w:lang w:val="en-US"/>
        </w:rPr>
        <w:t xml:space="preserve">by </w:t>
      </w:r>
      <w:r w:rsidR="00AD0055" w:rsidRPr="00024118">
        <w:rPr>
          <w:rFonts w:ascii="Arial" w:hAnsi="Arial" w:cs="Arial"/>
          <w:lang w:val="en-US"/>
        </w:rPr>
        <w:t>location.</w:t>
      </w:r>
      <w:r w:rsidR="00652D53" w:rsidRPr="00024118">
        <w:rPr>
          <w:rFonts w:ascii="Arial" w:hAnsi="Arial" w:cs="Arial"/>
          <w:lang w:val="en-US"/>
        </w:rPr>
        <w:t xml:space="preserve"> </w:t>
      </w:r>
    </w:p>
    <w:p w14:paraId="69A30FB0" w14:textId="77777777" w:rsidR="00A43536" w:rsidRDefault="00A43536" w:rsidP="00F85F98">
      <w:pPr>
        <w:pStyle w:val="PlainText"/>
        <w:jc w:val="both"/>
        <w:rPr>
          <w:rFonts w:ascii="Arial" w:hAnsi="Arial" w:cs="Arial"/>
          <w:lang w:val="en-US"/>
        </w:rPr>
      </w:pPr>
    </w:p>
    <w:p w14:paraId="46BE838A" w14:textId="65A020A2" w:rsidR="00652D53" w:rsidRPr="00024118" w:rsidRDefault="00017881" w:rsidP="00F85F98">
      <w:pPr>
        <w:pStyle w:val="PlainText"/>
        <w:jc w:val="both"/>
        <w:rPr>
          <w:rFonts w:ascii="Arial" w:hAnsi="Arial" w:cs="Arial"/>
          <w:lang w:val="en-US"/>
        </w:rPr>
      </w:pPr>
      <w:r>
        <w:rPr>
          <w:rFonts w:ascii="Arial" w:hAnsi="Arial" w:cs="Arial"/>
          <w:lang w:val="en-US"/>
        </w:rPr>
        <w:t>“</w:t>
      </w:r>
      <w:r w:rsidR="00652D53" w:rsidRPr="00024118">
        <w:rPr>
          <w:rFonts w:ascii="Arial" w:hAnsi="Arial" w:cs="Arial"/>
          <w:lang w:val="en-US"/>
        </w:rPr>
        <w:t>Depending on what side of the fence you sit, the market presents a bitter-sweet picture – bitter; if you’re holding a problematic asset in the wrong location</w:t>
      </w:r>
      <w:r w:rsidR="00232B22">
        <w:rPr>
          <w:rFonts w:ascii="Arial" w:hAnsi="Arial" w:cs="Arial"/>
          <w:lang w:val="en-US"/>
        </w:rPr>
        <w:t>, or sweet</w:t>
      </w:r>
      <w:r w:rsidR="00652D53" w:rsidRPr="00024118">
        <w:rPr>
          <w:rFonts w:ascii="Arial" w:hAnsi="Arial" w:cs="Arial"/>
          <w:lang w:val="en-US"/>
        </w:rPr>
        <w:t xml:space="preserve">; for those </w:t>
      </w:r>
      <w:bookmarkStart w:id="6" w:name="_Hlk54182676"/>
      <w:r w:rsidR="00652D53" w:rsidRPr="00024118">
        <w:rPr>
          <w:rFonts w:ascii="Arial" w:hAnsi="Arial" w:cs="Arial"/>
          <w:lang w:val="en-US"/>
        </w:rPr>
        <w:t xml:space="preserve">with a war chest </w:t>
      </w:r>
      <w:bookmarkEnd w:id="6"/>
      <w:r w:rsidR="00652D53" w:rsidRPr="00024118">
        <w:rPr>
          <w:rFonts w:ascii="Arial" w:hAnsi="Arial" w:cs="Arial"/>
          <w:lang w:val="en-US"/>
        </w:rPr>
        <w:t>looking to seize opportunities or those able to sell logistics assets and portfolios at a premium.</w:t>
      </w:r>
    </w:p>
    <w:p w14:paraId="4B1AE773" w14:textId="77777777" w:rsidR="00A43536" w:rsidRDefault="00A43536" w:rsidP="00F85F98">
      <w:pPr>
        <w:pStyle w:val="PlainText"/>
        <w:jc w:val="both"/>
        <w:rPr>
          <w:rFonts w:ascii="Arial" w:hAnsi="Arial" w:cs="Arial"/>
          <w:lang w:val="en-US"/>
        </w:rPr>
      </w:pPr>
    </w:p>
    <w:p w14:paraId="06DCEF4D" w14:textId="77777777" w:rsidR="00E23620" w:rsidRDefault="00E23620" w:rsidP="00AE4925">
      <w:pPr>
        <w:spacing w:before="0" w:after="0"/>
        <w:ind w:right="187"/>
        <w:rPr>
          <w:rFonts w:ascii="Arial" w:hAnsi="Arial" w:cs="Arial"/>
          <w:sz w:val="22"/>
        </w:rPr>
      </w:pPr>
    </w:p>
    <w:p w14:paraId="64D51026" w14:textId="0509E786" w:rsidR="00C55AAB" w:rsidRDefault="00C55AAB" w:rsidP="00460AFC">
      <w:pPr>
        <w:spacing w:before="0" w:after="0" w:line="360" w:lineRule="auto"/>
        <w:ind w:right="180"/>
        <w:jc w:val="center"/>
        <w:rPr>
          <w:rFonts w:ascii="Arial" w:hAnsi="Arial" w:cs="Arial"/>
          <w:sz w:val="22"/>
        </w:rPr>
      </w:pPr>
      <w:r>
        <w:rPr>
          <w:rFonts w:ascii="Arial" w:hAnsi="Arial" w:cs="Arial"/>
          <w:sz w:val="22"/>
        </w:rPr>
        <w:t xml:space="preserve">-- End </w:t>
      </w:r>
      <w:r w:rsidR="00024118">
        <w:rPr>
          <w:rFonts w:ascii="Arial" w:hAnsi="Arial" w:cs="Arial"/>
          <w:sz w:val="22"/>
        </w:rPr>
        <w:t>–</w:t>
      </w:r>
    </w:p>
    <w:p w14:paraId="7FA29DCC" w14:textId="77777777" w:rsidR="00024118" w:rsidRDefault="00024118" w:rsidP="00024118">
      <w:pPr>
        <w:spacing w:before="0" w:after="0" w:line="360" w:lineRule="auto"/>
        <w:ind w:right="180"/>
        <w:rPr>
          <w:rFonts w:ascii="Arial" w:hAnsi="Arial" w:cs="Arial"/>
          <w:sz w:val="22"/>
        </w:rPr>
      </w:pPr>
    </w:p>
    <w:p w14:paraId="6FAA4593" w14:textId="77777777" w:rsidR="00176747" w:rsidRPr="000633BA" w:rsidRDefault="00176747" w:rsidP="00176747">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0633BA">
        <w:rPr>
          <w:rFonts w:ascii="Arial" w:eastAsia="Calibri" w:hAnsi="Arial" w:cs="Arial"/>
          <w:b/>
          <w:bCs/>
          <w:color w:val="000000"/>
          <w:sz w:val="18"/>
          <w:szCs w:val="18"/>
          <w:lang w:eastAsia="en-GB"/>
        </w:rPr>
        <w:t>About Colliers International</w:t>
      </w:r>
      <w:r w:rsidRPr="000633BA">
        <w:rPr>
          <w:rFonts w:ascii="Arial" w:eastAsia="Calibri" w:hAnsi="Arial" w:cs="Arial"/>
          <w:b/>
          <w:color w:val="000000"/>
          <w:sz w:val="18"/>
          <w:szCs w:val="18"/>
          <w:lang w:eastAsia="en-GB"/>
        </w:rPr>
        <w:br/>
      </w:r>
    </w:p>
    <w:p w14:paraId="723C1980" w14:textId="77777777" w:rsidR="00176747" w:rsidRPr="000633BA" w:rsidRDefault="00176747" w:rsidP="00176747">
      <w:pPr>
        <w:suppressAutoHyphens/>
        <w:autoSpaceDE w:val="0"/>
        <w:autoSpaceDN w:val="0"/>
        <w:spacing w:before="0" w:after="0" w:line="240" w:lineRule="auto"/>
        <w:jc w:val="both"/>
        <w:textAlignment w:val="baseline"/>
        <w:rPr>
          <w:rFonts w:ascii="Arial" w:hAnsi="Arial" w:cs="Arial"/>
          <w:sz w:val="18"/>
          <w:szCs w:val="18"/>
        </w:rPr>
      </w:pPr>
      <w:r w:rsidRPr="000633BA">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2" w:history="1">
        <w:r w:rsidRPr="000633BA">
          <w:rPr>
            <w:rStyle w:val="Hyperlink"/>
            <w:rFonts w:ascii="Arial" w:hAnsi="Arial" w:cs="Arial"/>
            <w:sz w:val="18"/>
            <w:szCs w:val="18"/>
          </w:rPr>
          <w:t>corporate.colliers.com</w:t>
        </w:r>
      </w:hyperlink>
      <w:r w:rsidRPr="000633BA">
        <w:rPr>
          <w:rFonts w:ascii="Arial" w:hAnsi="Arial" w:cs="Arial"/>
          <w:sz w:val="18"/>
          <w:szCs w:val="18"/>
        </w:rPr>
        <w:t xml:space="preserve">, Twitter </w:t>
      </w:r>
      <w:hyperlink r:id="rId13" w:history="1">
        <w:r w:rsidRPr="000633BA">
          <w:rPr>
            <w:rStyle w:val="Hyperlink"/>
            <w:rFonts w:ascii="Arial" w:hAnsi="Arial" w:cs="Arial"/>
            <w:sz w:val="18"/>
            <w:szCs w:val="18"/>
          </w:rPr>
          <w:t>@Colliers</w:t>
        </w:r>
      </w:hyperlink>
      <w:r w:rsidRPr="000633BA">
        <w:rPr>
          <w:rFonts w:ascii="Arial" w:hAnsi="Arial" w:cs="Arial"/>
          <w:sz w:val="18"/>
          <w:szCs w:val="18"/>
        </w:rPr>
        <w:t xml:space="preserve"> or </w:t>
      </w:r>
      <w:hyperlink r:id="rId14" w:history="1">
        <w:r w:rsidRPr="000633BA">
          <w:rPr>
            <w:rStyle w:val="Hyperlink"/>
            <w:rFonts w:ascii="Arial" w:hAnsi="Arial" w:cs="Arial"/>
            <w:sz w:val="18"/>
            <w:szCs w:val="18"/>
          </w:rPr>
          <w:t>LinkedIn</w:t>
        </w:r>
      </w:hyperlink>
      <w:r w:rsidRPr="000633BA">
        <w:rPr>
          <w:rFonts w:ascii="Arial" w:hAnsi="Arial" w:cs="Arial"/>
          <w:sz w:val="18"/>
          <w:szCs w:val="18"/>
        </w:rPr>
        <w:t>.</w:t>
      </w:r>
    </w:p>
    <w:p w14:paraId="06AB4282" w14:textId="77777777" w:rsidR="00176747" w:rsidRPr="000633BA" w:rsidRDefault="00176747" w:rsidP="00176747">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73232434" w14:textId="77777777" w:rsidR="00176747" w:rsidRPr="000633BA" w:rsidRDefault="00176747" w:rsidP="00176747">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0633BA">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0633BA">
        <w:rPr>
          <w:rFonts w:ascii="Arial" w:eastAsia="Calibri" w:hAnsi="Arial" w:cs="Arial"/>
          <w:i/>
          <w:color w:val="000000"/>
          <w:sz w:val="18"/>
          <w:szCs w:val="18"/>
          <w:lang w:eastAsia="en-GB"/>
        </w:rPr>
        <w:t>Wrocław</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Poznań</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Gdańsk</w:t>
      </w:r>
      <w:proofErr w:type="spellEnd"/>
      <w:r w:rsidRPr="000633BA">
        <w:rPr>
          <w:rFonts w:ascii="Arial" w:eastAsia="Calibri" w:hAnsi="Arial" w:cs="Arial"/>
          <w:i/>
          <w:color w:val="000000"/>
          <w:sz w:val="18"/>
          <w:szCs w:val="18"/>
          <w:lang w:eastAsia="en-GB"/>
        </w:rPr>
        <w:t>, Katowice</w:t>
      </w:r>
      <w:r>
        <w:rPr>
          <w:rFonts w:ascii="Arial" w:eastAsia="Calibri" w:hAnsi="Arial" w:cs="Arial"/>
          <w:i/>
          <w:color w:val="000000"/>
          <w:sz w:val="18"/>
          <w:szCs w:val="18"/>
          <w:lang w:eastAsia="en-GB"/>
        </w:rPr>
        <w:t xml:space="preserve"> and</w:t>
      </w:r>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Łódź</w:t>
      </w:r>
      <w:proofErr w:type="spellEnd"/>
      <w:r w:rsidRPr="000633BA">
        <w:rPr>
          <w:rFonts w:ascii="Arial" w:eastAsia="Calibri" w:hAnsi="Arial" w:cs="Arial"/>
          <w:i/>
          <w:color w:val="000000"/>
          <w:sz w:val="18"/>
          <w:szCs w:val="18"/>
          <w:lang w:eastAsia="en-GB"/>
        </w:rPr>
        <w:t xml:space="preserve"> with 300 employees in total. The company has been often </w:t>
      </w:r>
      <w:proofErr w:type="spellStart"/>
      <w:r w:rsidRPr="000633BA">
        <w:rPr>
          <w:rFonts w:ascii="Arial" w:eastAsia="Calibri" w:hAnsi="Arial" w:cs="Arial"/>
          <w:i/>
          <w:color w:val="000000"/>
          <w:sz w:val="18"/>
          <w:szCs w:val="18"/>
          <w:lang w:eastAsia="en-GB"/>
        </w:rPr>
        <w:t>honored</w:t>
      </w:r>
      <w:proofErr w:type="spellEnd"/>
      <w:r w:rsidRPr="000633BA">
        <w:rPr>
          <w:rFonts w:ascii="Arial" w:eastAsia="Calibri" w:hAnsi="Arial" w:cs="Arial"/>
          <w:i/>
          <w:color w:val="000000"/>
          <w:sz w:val="18"/>
          <w:szCs w:val="18"/>
          <w:lang w:eastAsia="en-GB"/>
        </w:rPr>
        <w:t xml:space="preserve"> for its achievements by industry organizations such as </w:t>
      </w:r>
      <w:proofErr w:type="spellStart"/>
      <w:r w:rsidRPr="000633BA">
        <w:rPr>
          <w:rFonts w:ascii="Arial" w:eastAsia="Calibri" w:hAnsi="Arial" w:cs="Arial"/>
          <w:i/>
          <w:color w:val="000000"/>
          <w:sz w:val="18"/>
          <w:szCs w:val="18"/>
          <w:lang w:eastAsia="en-GB"/>
        </w:rPr>
        <w:t>Eurobuild</w:t>
      </w:r>
      <w:proofErr w:type="spellEnd"/>
      <w:r w:rsidRPr="000633BA">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0633BA">
        <w:rPr>
          <w:rFonts w:ascii="Arial" w:eastAsia="Calibri" w:hAnsi="Arial" w:cs="Arial"/>
          <w:i/>
          <w:color w:val="000000"/>
          <w:sz w:val="18"/>
          <w:szCs w:val="18"/>
          <w:lang w:eastAsia="en-GB"/>
        </w:rPr>
        <w:t>Gazele</w:t>
      </w:r>
      <w:proofErr w:type="spellEnd"/>
      <w:r w:rsidRPr="000633BA">
        <w:rPr>
          <w:rFonts w:ascii="Arial" w:eastAsia="Calibri" w:hAnsi="Arial" w:cs="Arial"/>
          <w:i/>
          <w:color w:val="000000"/>
          <w:sz w:val="18"/>
          <w:szCs w:val="18"/>
          <w:lang w:eastAsia="en-GB"/>
        </w:rPr>
        <w:t xml:space="preserve"> </w:t>
      </w:r>
      <w:proofErr w:type="spellStart"/>
      <w:r w:rsidRPr="000633BA">
        <w:rPr>
          <w:rFonts w:ascii="Arial" w:eastAsia="Calibri" w:hAnsi="Arial" w:cs="Arial"/>
          <w:i/>
          <w:color w:val="000000"/>
          <w:sz w:val="18"/>
          <w:szCs w:val="18"/>
          <w:lang w:eastAsia="en-GB"/>
        </w:rPr>
        <w:t>Biznesu</w:t>
      </w:r>
      <w:proofErr w:type="spellEnd"/>
      <w:r w:rsidRPr="000633BA">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5" w:history="1">
        <w:r w:rsidRPr="000633BA">
          <w:rPr>
            <w:rStyle w:val="Hyperlink"/>
            <w:rFonts w:ascii="Arial" w:eastAsia="Calibri" w:hAnsi="Arial" w:cs="Arial"/>
            <w:i/>
            <w:sz w:val="18"/>
            <w:szCs w:val="18"/>
            <w:lang w:eastAsia="en-GB"/>
          </w:rPr>
          <w:t>Colliers.pl</w:t>
        </w:r>
      </w:hyperlink>
      <w:r w:rsidRPr="000633BA">
        <w:rPr>
          <w:rFonts w:ascii="Arial" w:eastAsia="Calibri" w:hAnsi="Arial" w:cs="Arial"/>
          <w:i/>
          <w:color w:val="000000"/>
          <w:sz w:val="18"/>
          <w:szCs w:val="18"/>
          <w:lang w:eastAsia="en-GB"/>
        </w:rPr>
        <w:t xml:space="preserve"> and our </w:t>
      </w:r>
      <w:hyperlink r:id="rId16" w:history="1">
        <w:r w:rsidRPr="000633BA">
          <w:rPr>
            <w:rStyle w:val="Hyperlink"/>
            <w:rFonts w:ascii="Arial" w:eastAsia="Calibri" w:hAnsi="Arial" w:cs="Arial"/>
            <w:i/>
            <w:sz w:val="18"/>
            <w:szCs w:val="18"/>
            <w:lang w:eastAsia="en-GB"/>
          </w:rPr>
          <w:t>LinkedIn</w:t>
        </w:r>
      </w:hyperlink>
      <w:r w:rsidRPr="000633BA">
        <w:rPr>
          <w:rFonts w:ascii="Arial" w:eastAsia="Calibri" w:hAnsi="Arial" w:cs="Arial"/>
          <w:i/>
          <w:color w:val="000000"/>
          <w:sz w:val="18"/>
          <w:szCs w:val="18"/>
          <w:lang w:eastAsia="en-GB"/>
        </w:rPr>
        <w:t xml:space="preserve">, </w:t>
      </w:r>
      <w:hyperlink r:id="rId17" w:history="1">
        <w:r w:rsidRPr="000633BA">
          <w:rPr>
            <w:rStyle w:val="Hyperlink"/>
            <w:rFonts w:ascii="Arial" w:eastAsia="Calibri" w:hAnsi="Arial" w:cs="Arial"/>
            <w:i/>
            <w:sz w:val="18"/>
            <w:szCs w:val="18"/>
            <w:lang w:eastAsia="en-GB"/>
          </w:rPr>
          <w:t>Instagram</w:t>
        </w:r>
      </w:hyperlink>
      <w:r w:rsidRPr="000633BA">
        <w:rPr>
          <w:rFonts w:ascii="Arial" w:eastAsia="Calibri" w:hAnsi="Arial" w:cs="Arial"/>
          <w:i/>
          <w:color w:val="000000"/>
          <w:sz w:val="18"/>
          <w:szCs w:val="18"/>
          <w:lang w:eastAsia="en-GB"/>
        </w:rPr>
        <w:t xml:space="preserve">, </w:t>
      </w:r>
      <w:hyperlink r:id="rId18" w:history="1">
        <w:r w:rsidRPr="000633BA">
          <w:rPr>
            <w:rStyle w:val="Hyperlink"/>
            <w:rFonts w:ascii="Arial" w:eastAsia="Calibri" w:hAnsi="Arial" w:cs="Arial"/>
            <w:i/>
            <w:sz w:val="18"/>
            <w:szCs w:val="18"/>
            <w:lang w:eastAsia="en-GB"/>
          </w:rPr>
          <w:t>YouTube</w:t>
        </w:r>
      </w:hyperlink>
      <w:r w:rsidRPr="000633BA">
        <w:rPr>
          <w:rFonts w:ascii="Arial" w:eastAsia="Calibri" w:hAnsi="Arial" w:cs="Arial"/>
          <w:i/>
          <w:color w:val="000000"/>
          <w:sz w:val="18"/>
          <w:szCs w:val="18"/>
          <w:lang w:eastAsia="en-GB"/>
        </w:rPr>
        <w:t xml:space="preserve"> and </w:t>
      </w:r>
      <w:hyperlink r:id="rId19" w:history="1">
        <w:r w:rsidRPr="000633BA">
          <w:rPr>
            <w:rStyle w:val="Hyperlink"/>
            <w:rFonts w:ascii="Arial" w:eastAsia="Calibri" w:hAnsi="Arial" w:cs="Arial"/>
            <w:i/>
            <w:sz w:val="18"/>
            <w:szCs w:val="18"/>
            <w:lang w:eastAsia="en-GB"/>
          </w:rPr>
          <w:t>Facebook</w:t>
        </w:r>
      </w:hyperlink>
      <w:r w:rsidRPr="000633BA">
        <w:rPr>
          <w:rFonts w:ascii="Arial" w:eastAsia="Calibri" w:hAnsi="Arial" w:cs="Arial"/>
          <w:i/>
          <w:color w:val="000000"/>
          <w:sz w:val="18"/>
          <w:szCs w:val="18"/>
          <w:lang w:eastAsia="en-GB"/>
        </w:rPr>
        <w:t xml:space="preserve"> pages. </w:t>
      </w:r>
    </w:p>
    <w:p w14:paraId="2630DAD3" w14:textId="77777777" w:rsidR="00176747" w:rsidRPr="00187726" w:rsidRDefault="00176747" w:rsidP="00176747">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3B4794EA" w14:textId="77777777" w:rsidR="00176747" w:rsidRPr="00187726" w:rsidRDefault="00176747" w:rsidP="00176747">
      <w:pPr>
        <w:suppressAutoHyphens/>
        <w:autoSpaceDE w:val="0"/>
        <w:autoSpaceDN w:val="0"/>
        <w:spacing w:before="0" w:after="0" w:line="240" w:lineRule="auto"/>
        <w:textAlignment w:val="baseline"/>
        <w:rPr>
          <w:rFonts w:asciiTheme="minorHAnsi" w:eastAsia="Calibri" w:hAnsiTheme="minorHAnsi" w:cstheme="minorHAnsi"/>
          <w:iCs/>
          <w:color w:val="4B4B4B"/>
          <w:sz w:val="18"/>
          <w:szCs w:val="18"/>
          <w:lang w:eastAsia="en-GB"/>
        </w:rPr>
      </w:pPr>
    </w:p>
    <w:p w14:paraId="44289AB1" w14:textId="77777777" w:rsidR="00176747" w:rsidRPr="000633BA" w:rsidRDefault="00176747" w:rsidP="00176747">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0633BA">
        <w:rPr>
          <w:rFonts w:ascii="Arial" w:eastAsia="Times New Roman" w:hAnsi="Arial" w:cs="Arial"/>
          <w:b/>
          <w:color w:val="000000"/>
          <w:sz w:val="18"/>
          <w:szCs w:val="18"/>
        </w:rPr>
        <w:t>For further information, please contact:</w:t>
      </w:r>
    </w:p>
    <w:p w14:paraId="64C34F4A" w14:textId="77777777" w:rsidR="00176747" w:rsidRPr="000633BA" w:rsidRDefault="00176747" w:rsidP="00176747">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176747" w:rsidRPr="004D4734" w14:paraId="33F52D00" w14:textId="77777777" w:rsidTr="00F37F7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176747" w:rsidRPr="004D4734" w14:paraId="66E9B0BF" w14:textId="77777777" w:rsidTr="00F37F71">
              <w:tc>
                <w:tcPr>
                  <w:tcW w:w="4626" w:type="dxa"/>
                  <w:shd w:val="clear" w:color="auto" w:fill="auto"/>
                  <w:tcMar>
                    <w:top w:w="0" w:type="dxa"/>
                    <w:left w:w="108" w:type="dxa"/>
                    <w:bottom w:w="0" w:type="dxa"/>
                    <w:right w:w="108" w:type="dxa"/>
                  </w:tcMar>
                </w:tcPr>
                <w:p w14:paraId="33C5C5AA"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Sylwia Skubiszewska</w:t>
                  </w:r>
                </w:p>
                <w:p w14:paraId="453CE74B"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Mobile +48 666 819 228</w:t>
                  </w:r>
                </w:p>
                <w:p w14:paraId="4C820E99"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rPr>
                    <w:t xml:space="preserve">Email: </w:t>
                  </w:r>
                  <w:hyperlink r:id="rId20" w:history="1">
                    <w:r w:rsidRPr="000633BA">
                      <w:rPr>
                        <w:rStyle w:val="Hyperlink"/>
                        <w:rFonts w:ascii="Arial" w:hAnsi="Arial" w:cs="Arial"/>
                        <w:sz w:val="18"/>
                        <w:szCs w:val="18"/>
                        <w:lang w:val="pl-PL"/>
                      </w:rPr>
                      <w:t>sylwia</w:t>
                    </w:r>
                    <w:r w:rsidRPr="000633BA">
                      <w:rPr>
                        <w:rStyle w:val="Hyperlink"/>
                        <w:rFonts w:ascii="Arial" w:eastAsia="Times New Roman" w:hAnsi="Arial" w:cs="Arial"/>
                        <w:sz w:val="18"/>
                        <w:szCs w:val="18"/>
                        <w:lang w:val="pl-PL"/>
                      </w:rPr>
                      <w:t>.skubiszewska@colliers.com</w:t>
                    </w:r>
                  </w:hyperlink>
                </w:p>
                <w:p w14:paraId="3476E211" w14:textId="77777777" w:rsidR="00176747" w:rsidRPr="000633BA" w:rsidRDefault="00176747" w:rsidP="00F37F7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FCB81E3"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Małgorzata Ciechanowska</w:t>
                  </w:r>
                </w:p>
                <w:p w14:paraId="4D42C7E4"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0633BA">
                    <w:rPr>
                      <w:rFonts w:ascii="Arial" w:eastAsia="Times New Roman" w:hAnsi="Arial" w:cs="Arial"/>
                      <w:color w:val="000000"/>
                      <w:sz w:val="18"/>
                      <w:szCs w:val="18"/>
                      <w:lang w:val="pl-PL" w:eastAsia="en-GB"/>
                    </w:rPr>
                    <w:t xml:space="preserve">Mobile: +48 882 014 424 </w:t>
                  </w:r>
                </w:p>
                <w:p w14:paraId="15FB5B49"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0633BA">
                    <w:rPr>
                      <w:rFonts w:ascii="Arial" w:eastAsia="Times New Roman" w:hAnsi="Arial" w:cs="Arial"/>
                      <w:color w:val="000000"/>
                      <w:sz w:val="18"/>
                      <w:szCs w:val="18"/>
                      <w:lang w:val="pl-PL" w:eastAsia="en-GB"/>
                    </w:rPr>
                    <w:t xml:space="preserve">Email: </w:t>
                  </w:r>
                  <w:hyperlink r:id="rId21" w:history="1">
                    <w:r w:rsidRPr="000633BA">
                      <w:rPr>
                        <w:rStyle w:val="Hyperlink"/>
                        <w:rFonts w:ascii="Arial" w:hAnsi="Arial" w:cs="Arial"/>
                        <w:sz w:val="18"/>
                        <w:szCs w:val="18"/>
                        <w:lang w:val="pl-PL"/>
                      </w:rPr>
                      <w:t>malgorzata</w:t>
                    </w:r>
                    <w:r w:rsidRPr="000633BA">
                      <w:rPr>
                        <w:rStyle w:val="Hyperlink"/>
                        <w:rFonts w:ascii="Arial" w:eastAsia="Times New Roman" w:hAnsi="Arial" w:cs="Arial"/>
                        <w:sz w:val="18"/>
                        <w:szCs w:val="18"/>
                        <w:lang w:val="pl-PL" w:eastAsia="en-GB"/>
                      </w:rPr>
                      <w:t>.ciechanowska@colliers.com</w:t>
                    </w:r>
                  </w:hyperlink>
                </w:p>
              </w:tc>
            </w:tr>
            <w:tr w:rsidR="00176747" w:rsidRPr="004D4734" w14:paraId="05D08C80" w14:textId="77777777" w:rsidTr="00F37F71">
              <w:tc>
                <w:tcPr>
                  <w:tcW w:w="4626" w:type="dxa"/>
                  <w:shd w:val="clear" w:color="auto" w:fill="auto"/>
                  <w:tcMar>
                    <w:top w:w="0" w:type="dxa"/>
                    <w:left w:w="108" w:type="dxa"/>
                    <w:bottom w:w="0" w:type="dxa"/>
                    <w:right w:w="108" w:type="dxa"/>
                  </w:tcMar>
                </w:tcPr>
                <w:p w14:paraId="2E2E7631" w14:textId="77777777" w:rsidR="00176747" w:rsidRPr="000633BA" w:rsidRDefault="00176747" w:rsidP="00F37F7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778F15E" w14:textId="77777777" w:rsidR="00176747" w:rsidRPr="000633BA" w:rsidRDefault="00176747" w:rsidP="00F37F7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176747" w:rsidRPr="004D4734" w14:paraId="60212E83" w14:textId="77777777" w:rsidTr="00F37F71">
              <w:trPr>
                <w:trHeight w:val="80"/>
              </w:trPr>
              <w:tc>
                <w:tcPr>
                  <w:tcW w:w="4626" w:type="dxa"/>
                  <w:shd w:val="clear" w:color="auto" w:fill="auto"/>
                  <w:tcMar>
                    <w:top w:w="0" w:type="dxa"/>
                    <w:left w:w="108" w:type="dxa"/>
                    <w:bottom w:w="0" w:type="dxa"/>
                    <w:right w:w="108" w:type="dxa"/>
                  </w:tcMar>
                </w:tcPr>
                <w:p w14:paraId="2CAACCD0"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F8017E3" w14:textId="77777777" w:rsidR="00176747" w:rsidRPr="000633BA" w:rsidRDefault="00176747" w:rsidP="00F37F7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740249A1" w14:textId="77777777" w:rsidR="00176747" w:rsidRPr="000633BA" w:rsidRDefault="00176747" w:rsidP="00F37F7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16CF90DD" w14:textId="77777777" w:rsidR="00176747" w:rsidRPr="000633BA" w:rsidRDefault="00176747" w:rsidP="00F37F7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21E1908A" w14:textId="77777777" w:rsidR="00BF1681" w:rsidRPr="003277FF" w:rsidRDefault="00BF1681" w:rsidP="00176747">
      <w:pPr>
        <w:rPr>
          <w:lang w:val="pl-PL"/>
        </w:rPr>
      </w:pPr>
    </w:p>
    <w:sectPr w:rsidR="00BF1681" w:rsidRPr="003277FF" w:rsidSect="00AD73C4">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3656" w14:textId="77777777" w:rsidR="00CF1A37" w:rsidRDefault="00CF1A37" w:rsidP="007C68E7">
      <w:pPr>
        <w:spacing w:before="0" w:after="0" w:line="240" w:lineRule="auto"/>
      </w:pPr>
      <w:r>
        <w:separator/>
      </w:r>
    </w:p>
  </w:endnote>
  <w:endnote w:type="continuationSeparator" w:id="0">
    <w:p w14:paraId="05CA33D4" w14:textId="77777777" w:rsidR="00CF1A37" w:rsidRDefault="00CF1A37"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Aaux Next Bold">
    <w:panose1 w:val="02000506000000020004"/>
    <w:charset w:val="00"/>
    <w:family w:val="modern"/>
    <w:notTrueType/>
    <w:pitch w:val="variable"/>
    <w:sig w:usb0="A000006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3942"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CEFD622" w14:textId="1A8597DE"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3B4D70F4" wp14:editId="24F31CE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03BE51"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1DA7AE38" wp14:editId="44D362F3">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7AE38"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7C87DE7D" wp14:editId="036F55E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C850E0"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176747">
          <w:rPr>
            <w:noProof/>
            <w:color w:val="FFFFFF" w:themeColor="background1"/>
          </w:rPr>
          <w:t>2</w:t>
        </w:r>
        <w:r w:rsidRPr="007C68E7">
          <w:rPr>
            <w:noProof/>
            <w:color w:val="FFFFFF" w:themeColor="background1"/>
          </w:rPr>
          <w:fldChar w:fldCharType="end"/>
        </w:r>
      </w:p>
    </w:sdtContent>
  </w:sdt>
  <w:p w14:paraId="77F6B32F"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83E"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5437" w14:textId="77777777" w:rsidR="00CF1A37" w:rsidRDefault="00CF1A37" w:rsidP="007C68E7">
      <w:pPr>
        <w:spacing w:before="0" w:after="0" w:line="240" w:lineRule="auto"/>
      </w:pPr>
      <w:r>
        <w:separator/>
      </w:r>
    </w:p>
  </w:footnote>
  <w:footnote w:type="continuationSeparator" w:id="0">
    <w:p w14:paraId="361A04C9" w14:textId="77777777" w:rsidR="00CF1A37" w:rsidRDefault="00CF1A37"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D1"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06D"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7C9494EC" wp14:editId="6B220D8E">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94EC"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146EE91D" wp14:editId="7DF1BFFE">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789C6EE"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3E5F77E6" wp14:editId="6F87798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56CEB6A"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C1F"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29DE"/>
    <w:multiLevelType w:val="hybridMultilevel"/>
    <w:tmpl w:val="91E6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F197B"/>
    <w:multiLevelType w:val="hybridMultilevel"/>
    <w:tmpl w:val="5CB648B0"/>
    <w:lvl w:ilvl="0" w:tplc="DF9857FE">
      <w:start w:val="1"/>
      <w:numFmt w:val="bullet"/>
      <w:lvlText w:val="•"/>
      <w:lvlJc w:val="left"/>
      <w:pPr>
        <w:tabs>
          <w:tab w:val="num" w:pos="720"/>
        </w:tabs>
        <w:ind w:left="720" w:hanging="360"/>
      </w:pPr>
      <w:rPr>
        <w:rFonts w:ascii="Arial" w:hAnsi="Arial" w:cs="Times New Roman" w:hint="default"/>
      </w:rPr>
    </w:lvl>
    <w:lvl w:ilvl="1" w:tplc="0706BC26">
      <w:start w:val="1"/>
      <w:numFmt w:val="bullet"/>
      <w:lvlText w:val="•"/>
      <w:lvlJc w:val="left"/>
      <w:pPr>
        <w:tabs>
          <w:tab w:val="num" w:pos="1440"/>
        </w:tabs>
        <w:ind w:left="1440" w:hanging="360"/>
      </w:pPr>
      <w:rPr>
        <w:rFonts w:ascii="Arial" w:hAnsi="Arial" w:cs="Times New Roman" w:hint="default"/>
      </w:rPr>
    </w:lvl>
    <w:lvl w:ilvl="2" w:tplc="8624830E">
      <w:start w:val="1"/>
      <w:numFmt w:val="bullet"/>
      <w:lvlText w:val="•"/>
      <w:lvlJc w:val="left"/>
      <w:pPr>
        <w:tabs>
          <w:tab w:val="num" w:pos="2160"/>
        </w:tabs>
        <w:ind w:left="2160" w:hanging="360"/>
      </w:pPr>
      <w:rPr>
        <w:rFonts w:ascii="Arial" w:hAnsi="Arial" w:cs="Times New Roman" w:hint="default"/>
      </w:rPr>
    </w:lvl>
    <w:lvl w:ilvl="3" w:tplc="1E82E7B0">
      <w:start w:val="1"/>
      <w:numFmt w:val="bullet"/>
      <w:lvlText w:val="•"/>
      <w:lvlJc w:val="left"/>
      <w:pPr>
        <w:tabs>
          <w:tab w:val="num" w:pos="2880"/>
        </w:tabs>
        <w:ind w:left="2880" w:hanging="360"/>
      </w:pPr>
      <w:rPr>
        <w:rFonts w:ascii="Arial" w:hAnsi="Arial" w:cs="Times New Roman" w:hint="default"/>
      </w:rPr>
    </w:lvl>
    <w:lvl w:ilvl="4" w:tplc="D5CA623C">
      <w:start w:val="1"/>
      <w:numFmt w:val="bullet"/>
      <w:lvlText w:val="•"/>
      <w:lvlJc w:val="left"/>
      <w:pPr>
        <w:tabs>
          <w:tab w:val="num" w:pos="3600"/>
        </w:tabs>
        <w:ind w:left="3600" w:hanging="360"/>
      </w:pPr>
      <w:rPr>
        <w:rFonts w:ascii="Arial" w:hAnsi="Arial" w:cs="Times New Roman" w:hint="default"/>
      </w:rPr>
    </w:lvl>
    <w:lvl w:ilvl="5" w:tplc="07FCAC48">
      <w:start w:val="1"/>
      <w:numFmt w:val="bullet"/>
      <w:lvlText w:val="•"/>
      <w:lvlJc w:val="left"/>
      <w:pPr>
        <w:tabs>
          <w:tab w:val="num" w:pos="4320"/>
        </w:tabs>
        <w:ind w:left="4320" w:hanging="360"/>
      </w:pPr>
      <w:rPr>
        <w:rFonts w:ascii="Arial" w:hAnsi="Arial" w:cs="Times New Roman" w:hint="default"/>
      </w:rPr>
    </w:lvl>
    <w:lvl w:ilvl="6" w:tplc="B1A8EE72">
      <w:start w:val="1"/>
      <w:numFmt w:val="bullet"/>
      <w:lvlText w:val="•"/>
      <w:lvlJc w:val="left"/>
      <w:pPr>
        <w:tabs>
          <w:tab w:val="num" w:pos="5040"/>
        </w:tabs>
        <w:ind w:left="5040" w:hanging="360"/>
      </w:pPr>
      <w:rPr>
        <w:rFonts w:ascii="Arial" w:hAnsi="Arial" w:cs="Times New Roman" w:hint="default"/>
      </w:rPr>
    </w:lvl>
    <w:lvl w:ilvl="7" w:tplc="37202730">
      <w:start w:val="1"/>
      <w:numFmt w:val="bullet"/>
      <w:lvlText w:val="•"/>
      <w:lvlJc w:val="left"/>
      <w:pPr>
        <w:tabs>
          <w:tab w:val="num" w:pos="5760"/>
        </w:tabs>
        <w:ind w:left="5760" w:hanging="360"/>
      </w:pPr>
      <w:rPr>
        <w:rFonts w:ascii="Arial" w:hAnsi="Arial" w:cs="Times New Roman" w:hint="default"/>
      </w:rPr>
    </w:lvl>
    <w:lvl w:ilvl="8" w:tplc="CDF2524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7C7AC1"/>
    <w:multiLevelType w:val="hybridMultilevel"/>
    <w:tmpl w:val="D3A87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235AA"/>
    <w:multiLevelType w:val="hybridMultilevel"/>
    <w:tmpl w:val="91B8A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AF254B"/>
    <w:multiLevelType w:val="hybridMultilevel"/>
    <w:tmpl w:val="C3DC4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47201A"/>
    <w:multiLevelType w:val="hybridMultilevel"/>
    <w:tmpl w:val="94424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E00F00"/>
    <w:multiLevelType w:val="hybridMultilevel"/>
    <w:tmpl w:val="D3749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9425A"/>
    <w:multiLevelType w:val="hybridMultilevel"/>
    <w:tmpl w:val="757EC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A7336"/>
    <w:multiLevelType w:val="hybridMultilevel"/>
    <w:tmpl w:val="5726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C529B"/>
    <w:multiLevelType w:val="hybridMultilevel"/>
    <w:tmpl w:val="816EB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3" w15:restartNumberingAfterBreak="0">
    <w:nsid w:val="43E32903"/>
    <w:multiLevelType w:val="hybridMultilevel"/>
    <w:tmpl w:val="3392E5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4C1205A5"/>
    <w:multiLevelType w:val="hybridMultilevel"/>
    <w:tmpl w:val="7102D7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6A59D6"/>
    <w:multiLevelType w:val="hybridMultilevel"/>
    <w:tmpl w:val="753E6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E7437D"/>
    <w:multiLevelType w:val="hybridMultilevel"/>
    <w:tmpl w:val="CC5C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09655C"/>
    <w:multiLevelType w:val="hybridMultilevel"/>
    <w:tmpl w:val="90D6F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3802EE"/>
    <w:multiLevelType w:val="hybridMultilevel"/>
    <w:tmpl w:val="0B0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F6BEB"/>
    <w:multiLevelType w:val="hybridMultilevel"/>
    <w:tmpl w:val="B682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CF62A2"/>
    <w:multiLevelType w:val="hybridMultilevel"/>
    <w:tmpl w:val="E7BC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93525FF"/>
    <w:multiLevelType w:val="hybridMultilevel"/>
    <w:tmpl w:val="D090C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6"/>
  </w:num>
  <w:num w:numId="7">
    <w:abstractNumId w:val="13"/>
  </w:num>
  <w:num w:numId="8">
    <w:abstractNumId w:val="4"/>
  </w:num>
  <w:num w:numId="9">
    <w:abstractNumId w:val="5"/>
  </w:num>
  <w:num w:numId="10">
    <w:abstractNumId w:val="21"/>
  </w:num>
  <w:num w:numId="11">
    <w:abstractNumId w:val="15"/>
  </w:num>
  <w:num w:numId="12">
    <w:abstractNumId w:val="11"/>
  </w:num>
  <w:num w:numId="13">
    <w:abstractNumId w:val="9"/>
  </w:num>
  <w:num w:numId="14">
    <w:abstractNumId w:val="10"/>
  </w:num>
  <w:num w:numId="15">
    <w:abstractNumId w:val="17"/>
  </w:num>
  <w:num w:numId="16">
    <w:abstractNumId w:val="1"/>
  </w:num>
  <w:num w:numId="17">
    <w:abstractNumId w:val="16"/>
  </w:num>
  <w:num w:numId="18">
    <w:abstractNumId w:val="3"/>
  </w:num>
  <w:num w:numId="19">
    <w:abstractNumId w:val="7"/>
  </w:num>
  <w:num w:numId="20">
    <w:abstractNumId w:val="18"/>
  </w:num>
  <w:num w:numId="21">
    <w:abstractNumId w:val="7"/>
  </w:num>
  <w:num w:numId="22">
    <w:abstractNumId w:val="14"/>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0MDc1tTQ1tTA0tjBW0lEKTi0uzszPAykwrgUAK2BemywAAAA="/>
  </w:docVars>
  <w:rsids>
    <w:rsidRoot w:val="007C68E7"/>
    <w:rsid w:val="00002B5A"/>
    <w:rsid w:val="00017881"/>
    <w:rsid w:val="00024118"/>
    <w:rsid w:val="00027FA8"/>
    <w:rsid w:val="00045B50"/>
    <w:rsid w:val="0005355D"/>
    <w:rsid w:val="00057230"/>
    <w:rsid w:val="000B6C6E"/>
    <w:rsid w:val="000C30BA"/>
    <w:rsid w:val="000E77A7"/>
    <w:rsid w:val="000F4293"/>
    <w:rsid w:val="000F600D"/>
    <w:rsid w:val="00113614"/>
    <w:rsid w:val="00126400"/>
    <w:rsid w:val="00133FEA"/>
    <w:rsid w:val="00134F4A"/>
    <w:rsid w:val="001522F2"/>
    <w:rsid w:val="00174963"/>
    <w:rsid w:val="00176747"/>
    <w:rsid w:val="00181C88"/>
    <w:rsid w:val="00182F3F"/>
    <w:rsid w:val="00195EFD"/>
    <w:rsid w:val="00196180"/>
    <w:rsid w:val="001A331F"/>
    <w:rsid w:val="001B166F"/>
    <w:rsid w:val="001D274C"/>
    <w:rsid w:val="001E53D1"/>
    <w:rsid w:val="002007DB"/>
    <w:rsid w:val="00200B2D"/>
    <w:rsid w:val="00202322"/>
    <w:rsid w:val="0021387E"/>
    <w:rsid w:val="00230CB5"/>
    <w:rsid w:val="00232B22"/>
    <w:rsid w:val="00242F79"/>
    <w:rsid w:val="00245371"/>
    <w:rsid w:val="00262C4E"/>
    <w:rsid w:val="00274A63"/>
    <w:rsid w:val="00296ABC"/>
    <w:rsid w:val="002A02ED"/>
    <w:rsid w:val="002A1E33"/>
    <w:rsid w:val="002B10FF"/>
    <w:rsid w:val="002B668F"/>
    <w:rsid w:val="002D1666"/>
    <w:rsid w:val="002D4C0A"/>
    <w:rsid w:val="002E2916"/>
    <w:rsid w:val="002F7E6E"/>
    <w:rsid w:val="003031F8"/>
    <w:rsid w:val="0032696E"/>
    <w:rsid w:val="003277DA"/>
    <w:rsid w:val="003277FF"/>
    <w:rsid w:val="003460A5"/>
    <w:rsid w:val="00347514"/>
    <w:rsid w:val="003745F3"/>
    <w:rsid w:val="003835E6"/>
    <w:rsid w:val="00387F1D"/>
    <w:rsid w:val="00390B73"/>
    <w:rsid w:val="00392654"/>
    <w:rsid w:val="003B2A23"/>
    <w:rsid w:val="003B4B82"/>
    <w:rsid w:val="003D1C5E"/>
    <w:rsid w:val="00412A8C"/>
    <w:rsid w:val="004361BF"/>
    <w:rsid w:val="00441CD1"/>
    <w:rsid w:val="00453920"/>
    <w:rsid w:val="004603EE"/>
    <w:rsid w:val="00460AFC"/>
    <w:rsid w:val="00462E43"/>
    <w:rsid w:val="00467589"/>
    <w:rsid w:val="004740AB"/>
    <w:rsid w:val="00484710"/>
    <w:rsid w:val="004A606B"/>
    <w:rsid w:val="004C6347"/>
    <w:rsid w:val="004D0D51"/>
    <w:rsid w:val="004D4734"/>
    <w:rsid w:val="004E2AE7"/>
    <w:rsid w:val="00501F4A"/>
    <w:rsid w:val="0050568B"/>
    <w:rsid w:val="0051700E"/>
    <w:rsid w:val="0054606D"/>
    <w:rsid w:val="005465AF"/>
    <w:rsid w:val="00552096"/>
    <w:rsid w:val="00555F08"/>
    <w:rsid w:val="005672B8"/>
    <w:rsid w:val="00580A78"/>
    <w:rsid w:val="00580DE1"/>
    <w:rsid w:val="005845D2"/>
    <w:rsid w:val="005849A0"/>
    <w:rsid w:val="005B7286"/>
    <w:rsid w:val="005C1DCA"/>
    <w:rsid w:val="005C2365"/>
    <w:rsid w:val="005C5BF2"/>
    <w:rsid w:val="005C78BA"/>
    <w:rsid w:val="005D278E"/>
    <w:rsid w:val="005D507F"/>
    <w:rsid w:val="005D5121"/>
    <w:rsid w:val="005F16D8"/>
    <w:rsid w:val="005F330E"/>
    <w:rsid w:val="00600EEE"/>
    <w:rsid w:val="00605E80"/>
    <w:rsid w:val="00615640"/>
    <w:rsid w:val="006252B4"/>
    <w:rsid w:val="00634562"/>
    <w:rsid w:val="006368DE"/>
    <w:rsid w:val="00652D53"/>
    <w:rsid w:val="0066334B"/>
    <w:rsid w:val="00665BC8"/>
    <w:rsid w:val="00671B78"/>
    <w:rsid w:val="006728DD"/>
    <w:rsid w:val="00672D47"/>
    <w:rsid w:val="0067437F"/>
    <w:rsid w:val="00677648"/>
    <w:rsid w:val="00683376"/>
    <w:rsid w:val="00696A8F"/>
    <w:rsid w:val="006A3FE0"/>
    <w:rsid w:val="006D1F2A"/>
    <w:rsid w:val="006D60A5"/>
    <w:rsid w:val="006D65A3"/>
    <w:rsid w:val="006D6C1E"/>
    <w:rsid w:val="006F779C"/>
    <w:rsid w:val="0070044F"/>
    <w:rsid w:val="00712D1E"/>
    <w:rsid w:val="007301EC"/>
    <w:rsid w:val="00732C98"/>
    <w:rsid w:val="007375A1"/>
    <w:rsid w:val="00743CCF"/>
    <w:rsid w:val="007548F1"/>
    <w:rsid w:val="007800A0"/>
    <w:rsid w:val="0078271B"/>
    <w:rsid w:val="00783DF8"/>
    <w:rsid w:val="007A60FA"/>
    <w:rsid w:val="007C0009"/>
    <w:rsid w:val="007C68E7"/>
    <w:rsid w:val="007C7C23"/>
    <w:rsid w:val="007D204A"/>
    <w:rsid w:val="007D3338"/>
    <w:rsid w:val="007D6D2D"/>
    <w:rsid w:val="007E0A01"/>
    <w:rsid w:val="007E3D74"/>
    <w:rsid w:val="00806AF8"/>
    <w:rsid w:val="00836C4E"/>
    <w:rsid w:val="0084322D"/>
    <w:rsid w:val="00850AD7"/>
    <w:rsid w:val="00870DF4"/>
    <w:rsid w:val="0087785F"/>
    <w:rsid w:val="008A2248"/>
    <w:rsid w:val="008A3C27"/>
    <w:rsid w:val="008A5EFF"/>
    <w:rsid w:val="008B7BEA"/>
    <w:rsid w:val="008E21AA"/>
    <w:rsid w:val="00907454"/>
    <w:rsid w:val="00907477"/>
    <w:rsid w:val="00907BF3"/>
    <w:rsid w:val="00913A7C"/>
    <w:rsid w:val="00926120"/>
    <w:rsid w:val="00940721"/>
    <w:rsid w:val="009461E1"/>
    <w:rsid w:val="00965301"/>
    <w:rsid w:val="00975544"/>
    <w:rsid w:val="009839BC"/>
    <w:rsid w:val="009848D3"/>
    <w:rsid w:val="0098591D"/>
    <w:rsid w:val="00993B8D"/>
    <w:rsid w:val="00994780"/>
    <w:rsid w:val="009B0E1B"/>
    <w:rsid w:val="009C01F3"/>
    <w:rsid w:val="009D1BC7"/>
    <w:rsid w:val="009E083C"/>
    <w:rsid w:val="009E5544"/>
    <w:rsid w:val="009E655D"/>
    <w:rsid w:val="00A03340"/>
    <w:rsid w:val="00A0784E"/>
    <w:rsid w:val="00A22021"/>
    <w:rsid w:val="00A254F3"/>
    <w:rsid w:val="00A36624"/>
    <w:rsid w:val="00A37AAD"/>
    <w:rsid w:val="00A426D7"/>
    <w:rsid w:val="00A43536"/>
    <w:rsid w:val="00A46300"/>
    <w:rsid w:val="00A535B1"/>
    <w:rsid w:val="00A900BE"/>
    <w:rsid w:val="00A9765F"/>
    <w:rsid w:val="00A97BF2"/>
    <w:rsid w:val="00AA7522"/>
    <w:rsid w:val="00AD0055"/>
    <w:rsid w:val="00AD27BE"/>
    <w:rsid w:val="00AD51BA"/>
    <w:rsid w:val="00AD5BD7"/>
    <w:rsid w:val="00AD5FB5"/>
    <w:rsid w:val="00AD73C4"/>
    <w:rsid w:val="00AE3437"/>
    <w:rsid w:val="00AE4925"/>
    <w:rsid w:val="00AE4B1B"/>
    <w:rsid w:val="00AF57E2"/>
    <w:rsid w:val="00AF5B26"/>
    <w:rsid w:val="00B07781"/>
    <w:rsid w:val="00B20DF5"/>
    <w:rsid w:val="00B21EFA"/>
    <w:rsid w:val="00B63E80"/>
    <w:rsid w:val="00B64704"/>
    <w:rsid w:val="00B7798F"/>
    <w:rsid w:val="00B84FB7"/>
    <w:rsid w:val="00B854A4"/>
    <w:rsid w:val="00BA3543"/>
    <w:rsid w:val="00BC1D5F"/>
    <w:rsid w:val="00BC3DA1"/>
    <w:rsid w:val="00BE0953"/>
    <w:rsid w:val="00BE27EB"/>
    <w:rsid w:val="00BF1681"/>
    <w:rsid w:val="00C060D0"/>
    <w:rsid w:val="00C13823"/>
    <w:rsid w:val="00C17C1F"/>
    <w:rsid w:val="00C4256E"/>
    <w:rsid w:val="00C4282B"/>
    <w:rsid w:val="00C55AAB"/>
    <w:rsid w:val="00C576A9"/>
    <w:rsid w:val="00C8123E"/>
    <w:rsid w:val="00C84B5C"/>
    <w:rsid w:val="00CA14E8"/>
    <w:rsid w:val="00CA4D9F"/>
    <w:rsid w:val="00CA6D05"/>
    <w:rsid w:val="00CB121A"/>
    <w:rsid w:val="00CB225C"/>
    <w:rsid w:val="00CB6526"/>
    <w:rsid w:val="00CC041E"/>
    <w:rsid w:val="00CC5DBC"/>
    <w:rsid w:val="00CE6120"/>
    <w:rsid w:val="00CF1A37"/>
    <w:rsid w:val="00CF3DFE"/>
    <w:rsid w:val="00D1533C"/>
    <w:rsid w:val="00D2596B"/>
    <w:rsid w:val="00D452FD"/>
    <w:rsid w:val="00D45B77"/>
    <w:rsid w:val="00D47DFC"/>
    <w:rsid w:val="00D57D94"/>
    <w:rsid w:val="00D64115"/>
    <w:rsid w:val="00DA32B7"/>
    <w:rsid w:val="00DA67B1"/>
    <w:rsid w:val="00DC5509"/>
    <w:rsid w:val="00DD249C"/>
    <w:rsid w:val="00DD7F88"/>
    <w:rsid w:val="00DE3682"/>
    <w:rsid w:val="00DF7514"/>
    <w:rsid w:val="00E102FD"/>
    <w:rsid w:val="00E17F4A"/>
    <w:rsid w:val="00E202B5"/>
    <w:rsid w:val="00E23620"/>
    <w:rsid w:val="00E30D13"/>
    <w:rsid w:val="00E31D52"/>
    <w:rsid w:val="00E375A6"/>
    <w:rsid w:val="00E56DE6"/>
    <w:rsid w:val="00E72EFB"/>
    <w:rsid w:val="00E74FDB"/>
    <w:rsid w:val="00EB1991"/>
    <w:rsid w:val="00EB19A6"/>
    <w:rsid w:val="00EB5133"/>
    <w:rsid w:val="00EC2935"/>
    <w:rsid w:val="00EC3C41"/>
    <w:rsid w:val="00ED32C5"/>
    <w:rsid w:val="00ED368A"/>
    <w:rsid w:val="00EF7053"/>
    <w:rsid w:val="00F10F8A"/>
    <w:rsid w:val="00F13E4B"/>
    <w:rsid w:val="00F14AF1"/>
    <w:rsid w:val="00F37811"/>
    <w:rsid w:val="00F41AA7"/>
    <w:rsid w:val="00F449D8"/>
    <w:rsid w:val="00F62210"/>
    <w:rsid w:val="00F85F98"/>
    <w:rsid w:val="00FA3927"/>
    <w:rsid w:val="00FA632B"/>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FFBDC"/>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paragraph" w:styleId="PlainText">
    <w:name w:val="Plain Text"/>
    <w:basedOn w:val="Normal"/>
    <w:link w:val="PlainTextChar"/>
    <w:uiPriority w:val="99"/>
    <w:unhideWhenUsed/>
    <w:rsid w:val="00AF57E2"/>
    <w:pPr>
      <w:spacing w:before="0" w:after="0" w:line="240" w:lineRule="auto"/>
    </w:pPr>
    <w:rPr>
      <w:rFonts w:ascii="Calibri" w:hAnsi="Calibri" w:cs="Calibri"/>
      <w:color w:val="auto"/>
      <w:sz w:val="22"/>
    </w:rPr>
  </w:style>
  <w:style w:type="character" w:customStyle="1" w:styleId="PlainTextChar">
    <w:name w:val="Plain Text Char"/>
    <w:basedOn w:val="DefaultParagraphFont"/>
    <w:link w:val="PlainText"/>
    <w:uiPriority w:val="99"/>
    <w:rsid w:val="00AF57E2"/>
    <w:rPr>
      <w:rFonts w:ascii="Calibri" w:hAnsi="Calibri" w:cs="Calibri"/>
    </w:rPr>
  </w:style>
  <w:style w:type="character" w:customStyle="1" w:styleId="UnresolvedMention1">
    <w:name w:val="Unresolved Mention1"/>
    <w:basedOn w:val="DefaultParagraphFont"/>
    <w:uiPriority w:val="99"/>
    <w:semiHidden/>
    <w:unhideWhenUsed/>
    <w:rsid w:val="00CB225C"/>
    <w:rPr>
      <w:color w:val="605E5C"/>
      <w:shd w:val="clear" w:color="auto" w:fill="E1DFDD"/>
    </w:rPr>
  </w:style>
  <w:style w:type="character" w:styleId="FollowedHyperlink">
    <w:name w:val="FollowedHyperlink"/>
    <w:basedOn w:val="DefaultParagraphFont"/>
    <w:uiPriority w:val="99"/>
    <w:semiHidden/>
    <w:unhideWhenUsed/>
    <w:rsid w:val="008E2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698">
      <w:bodyDiv w:val="1"/>
      <w:marLeft w:val="0"/>
      <w:marRight w:val="0"/>
      <w:marTop w:val="0"/>
      <w:marBottom w:val="0"/>
      <w:divBdr>
        <w:top w:val="none" w:sz="0" w:space="0" w:color="auto"/>
        <w:left w:val="none" w:sz="0" w:space="0" w:color="auto"/>
        <w:bottom w:val="none" w:sz="0" w:space="0" w:color="auto"/>
        <w:right w:val="none" w:sz="0" w:space="0" w:color="auto"/>
      </w:divBdr>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247809661">
      <w:bodyDiv w:val="1"/>
      <w:marLeft w:val="0"/>
      <w:marRight w:val="0"/>
      <w:marTop w:val="0"/>
      <w:marBottom w:val="0"/>
      <w:divBdr>
        <w:top w:val="none" w:sz="0" w:space="0" w:color="auto"/>
        <w:left w:val="none" w:sz="0" w:space="0" w:color="auto"/>
        <w:bottom w:val="none" w:sz="0" w:space="0" w:color="auto"/>
        <w:right w:val="none" w:sz="0" w:space="0" w:color="auto"/>
      </w:divBdr>
    </w:div>
    <w:div w:id="265232595">
      <w:bodyDiv w:val="1"/>
      <w:marLeft w:val="0"/>
      <w:marRight w:val="0"/>
      <w:marTop w:val="0"/>
      <w:marBottom w:val="0"/>
      <w:divBdr>
        <w:top w:val="none" w:sz="0" w:space="0" w:color="auto"/>
        <w:left w:val="none" w:sz="0" w:space="0" w:color="auto"/>
        <w:bottom w:val="none" w:sz="0" w:space="0" w:color="auto"/>
        <w:right w:val="none" w:sz="0" w:space="0" w:color="auto"/>
      </w:divBdr>
    </w:div>
    <w:div w:id="337268485">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56266619">
      <w:bodyDiv w:val="1"/>
      <w:marLeft w:val="0"/>
      <w:marRight w:val="0"/>
      <w:marTop w:val="0"/>
      <w:marBottom w:val="0"/>
      <w:divBdr>
        <w:top w:val="none" w:sz="0" w:space="0" w:color="auto"/>
        <w:left w:val="none" w:sz="0" w:space="0" w:color="auto"/>
        <w:bottom w:val="none" w:sz="0" w:space="0" w:color="auto"/>
        <w:right w:val="none" w:sz="0" w:space="0" w:color="auto"/>
      </w:divBdr>
    </w:div>
    <w:div w:id="482544232">
      <w:bodyDiv w:val="1"/>
      <w:marLeft w:val="0"/>
      <w:marRight w:val="0"/>
      <w:marTop w:val="0"/>
      <w:marBottom w:val="0"/>
      <w:divBdr>
        <w:top w:val="none" w:sz="0" w:space="0" w:color="auto"/>
        <w:left w:val="none" w:sz="0" w:space="0" w:color="auto"/>
        <w:bottom w:val="none" w:sz="0" w:space="0" w:color="auto"/>
        <w:right w:val="none" w:sz="0" w:space="0" w:color="auto"/>
      </w:divBdr>
    </w:div>
    <w:div w:id="589508390">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993070116">
      <w:bodyDiv w:val="1"/>
      <w:marLeft w:val="0"/>
      <w:marRight w:val="0"/>
      <w:marTop w:val="0"/>
      <w:marBottom w:val="0"/>
      <w:divBdr>
        <w:top w:val="none" w:sz="0" w:space="0" w:color="auto"/>
        <w:left w:val="none" w:sz="0" w:space="0" w:color="auto"/>
        <w:bottom w:val="none" w:sz="0" w:space="0" w:color="auto"/>
        <w:right w:val="none" w:sz="0" w:space="0" w:color="auto"/>
      </w:divBdr>
    </w:div>
    <w:div w:id="1081637539">
      <w:bodyDiv w:val="1"/>
      <w:marLeft w:val="0"/>
      <w:marRight w:val="0"/>
      <w:marTop w:val="0"/>
      <w:marBottom w:val="0"/>
      <w:divBdr>
        <w:top w:val="none" w:sz="0" w:space="0" w:color="auto"/>
        <w:left w:val="none" w:sz="0" w:space="0" w:color="auto"/>
        <w:bottom w:val="none" w:sz="0" w:space="0" w:color="auto"/>
        <w:right w:val="none" w:sz="0" w:space="0" w:color="auto"/>
      </w:divBdr>
    </w:div>
    <w:div w:id="1102801933">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73651482">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02308959">
      <w:bodyDiv w:val="1"/>
      <w:marLeft w:val="0"/>
      <w:marRight w:val="0"/>
      <w:marTop w:val="0"/>
      <w:marBottom w:val="0"/>
      <w:divBdr>
        <w:top w:val="none" w:sz="0" w:space="0" w:color="auto"/>
        <w:left w:val="none" w:sz="0" w:space="0" w:color="auto"/>
        <w:bottom w:val="none" w:sz="0" w:space="0" w:color="auto"/>
        <w:right w:val="none" w:sz="0" w:space="0" w:color="auto"/>
      </w:divBdr>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63714696">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openxmlformats.org/officeDocument/2006/relationships/settings" Target="setting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65020B57174A91102635CE37BB5A" ma:contentTypeVersion="12" ma:contentTypeDescription="Create a new document." ma:contentTypeScope="" ma:versionID="e31464fbf5cda2dac84f1d316d77bc08">
  <xsd:schema xmlns:xsd="http://www.w3.org/2001/XMLSchema" xmlns:xs="http://www.w3.org/2001/XMLSchema" xmlns:p="http://schemas.microsoft.com/office/2006/metadata/properties" xmlns:ns3="effb12e1-2854-4b18-a256-df7b0ea5bf64" xmlns:ns4="43dcdbb8-c406-49e1-bb94-f03cef5dd69e" targetNamespace="http://schemas.microsoft.com/office/2006/metadata/properties" ma:root="true" ma:fieldsID="7a2a60b35147084156feec0858d1b180" ns3:_="" ns4:_="">
    <xsd:import namespace="effb12e1-2854-4b18-a256-df7b0ea5bf64"/>
    <xsd:import namespace="43dcdbb8-c406-49e1-bb94-f03cef5dd6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b12e1-2854-4b18-a256-df7b0ea5b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cdbb8-c406-49e1-bb94-f03cef5dd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93C1-1B5E-461F-8390-C656F66A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b12e1-2854-4b18-a256-df7b0ea5bf64"/>
    <ds:schemaRef ds:uri="43dcdbb8-c406-49e1-bb94-f03cef5dd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8744D-C7E6-4206-BE11-353C2DA59E2A}">
  <ds:schemaRefs>
    <ds:schemaRef ds:uri="http://schemas.microsoft.com/sharepoint/v3/contenttype/forms"/>
  </ds:schemaRefs>
</ds:datastoreItem>
</file>

<file path=customXml/itemProps3.xml><?xml version="1.0" encoding="utf-8"?>
<ds:datastoreItem xmlns:ds="http://schemas.openxmlformats.org/officeDocument/2006/customXml" ds:itemID="{20E148BE-97BD-404E-B720-15A012AF2D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D9EA2-2478-4750-95C2-00862504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1457</Words>
  <Characters>8743</Characters>
  <Application>Microsoft Office Word</Application>
  <DocSecurity>0</DocSecurity>
  <Lines>72</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4</cp:revision>
  <cp:lastPrinted>2020-09-22T15:20:00Z</cp:lastPrinted>
  <dcterms:created xsi:type="dcterms:W3CDTF">2020-10-21T13:09:00Z</dcterms:created>
  <dcterms:modified xsi:type="dcterms:W3CDTF">2020-10-23T08:36:00Z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0x010100CDA065020B57174A91102635CE37BB5A</vt:lpwstr>
  </property>
</Properties>
</file>