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1CAC" w14:textId="77777777" w:rsidR="00BC0FED" w:rsidRDefault="00BC0FED" w:rsidP="00BC0FED">
      <w:pPr>
        <w:ind w:left="-567" w:right="-336"/>
        <w:rPr>
          <w:rFonts w:ascii="Arial" w:hAnsi="Arial" w:cs="Arial"/>
          <w:b/>
          <w:bCs/>
          <w:sz w:val="28"/>
          <w:szCs w:val="28"/>
          <w:lang w:val="pl-PL"/>
        </w:rPr>
      </w:pPr>
    </w:p>
    <w:p w14:paraId="44AC98A5" w14:textId="60617964" w:rsidR="001E0200" w:rsidRPr="001E0200" w:rsidRDefault="001E0200" w:rsidP="001E0200">
      <w:pPr>
        <w:ind w:left="-567" w:right="-336"/>
        <w:rPr>
          <w:rFonts w:ascii="Arial" w:hAnsi="Arial" w:cs="Arial"/>
          <w:b/>
          <w:bCs/>
          <w:sz w:val="28"/>
          <w:szCs w:val="28"/>
          <w:lang w:val="pl-PL"/>
        </w:rPr>
      </w:pPr>
      <w:r w:rsidRPr="001E0200">
        <w:rPr>
          <w:rFonts w:ascii="Arial" w:hAnsi="Arial" w:cs="Arial"/>
          <w:b/>
          <w:bCs/>
          <w:sz w:val="28"/>
          <w:szCs w:val="28"/>
          <w:lang w:val="pl-PL"/>
        </w:rPr>
        <w:t>Geografia kapitału, czyli zmiany w kierunkach przepływu inwestycji</w:t>
      </w:r>
      <w:r w:rsidR="002E4F16">
        <w:rPr>
          <w:rFonts w:ascii="Arial" w:hAnsi="Arial" w:cs="Arial"/>
          <w:b/>
          <w:bCs/>
          <w:sz w:val="28"/>
          <w:szCs w:val="28"/>
          <w:lang w:val="pl-PL"/>
        </w:rPr>
        <w:t xml:space="preserve"> do Polski</w:t>
      </w:r>
    </w:p>
    <w:p w14:paraId="2B49AE33" w14:textId="77777777" w:rsidR="001E0200" w:rsidRPr="00BC0FED" w:rsidRDefault="001E0200" w:rsidP="00BC0FED">
      <w:pPr>
        <w:ind w:left="-567" w:right="-336"/>
        <w:rPr>
          <w:sz w:val="22"/>
          <w:szCs w:val="22"/>
          <w:lang w:val="pl-PL"/>
        </w:rPr>
      </w:pPr>
    </w:p>
    <w:p w14:paraId="66B5A9D5" w14:textId="77777777" w:rsidR="00980563" w:rsidRDefault="001E0200" w:rsidP="00980563">
      <w:pPr>
        <w:ind w:left="-567" w:right="-336"/>
        <w:rPr>
          <w:rFonts w:ascii="Arial" w:hAnsi="Arial" w:cs="Arial"/>
          <w:i/>
          <w:iCs/>
          <w:lang w:val="pl-PL"/>
        </w:rPr>
      </w:pPr>
      <w:r w:rsidRPr="001E0200">
        <w:rPr>
          <w:rFonts w:ascii="Arial" w:hAnsi="Arial" w:cs="Arial"/>
          <w:i/>
          <w:iCs/>
          <w:lang w:val="pl-PL"/>
        </w:rPr>
        <w:t xml:space="preserve">Skąd do Polski przychodzą </w:t>
      </w:r>
      <w:r w:rsidRPr="000872EC">
        <w:rPr>
          <w:rFonts w:ascii="Arial" w:hAnsi="Arial" w:cs="Arial"/>
          <w:i/>
          <w:iCs/>
          <w:lang w:val="pl-PL"/>
        </w:rPr>
        <w:t>inwestorzy i dlaczego nie są to rodzime firmy</w:t>
      </w:r>
      <w:r w:rsidRPr="001E0200">
        <w:rPr>
          <w:rFonts w:ascii="Arial" w:hAnsi="Arial" w:cs="Arial"/>
          <w:i/>
          <w:iCs/>
          <w:lang w:val="pl-PL"/>
        </w:rPr>
        <w:t>, jak w innych krajach Europy Środkowo - Wschodniej? </w:t>
      </w:r>
    </w:p>
    <w:p w14:paraId="7CD1ABE9" w14:textId="77777777" w:rsidR="00980563" w:rsidRDefault="00980563" w:rsidP="00980563">
      <w:pPr>
        <w:ind w:left="-567" w:right="-336"/>
        <w:rPr>
          <w:rFonts w:ascii="Arial" w:hAnsi="Arial" w:cs="Arial"/>
          <w:i/>
          <w:iCs/>
          <w:lang w:val="pl-PL"/>
        </w:rPr>
      </w:pPr>
    </w:p>
    <w:p w14:paraId="4ACF4AE4" w14:textId="423E4D96" w:rsidR="00980563" w:rsidRDefault="001E0200" w:rsidP="00980563">
      <w:pPr>
        <w:ind w:left="-567" w:right="-336"/>
        <w:rPr>
          <w:rFonts w:ascii="Arial" w:hAnsi="Arial" w:cs="Arial"/>
          <w:b/>
          <w:bCs/>
          <w:color w:val="00B050"/>
          <w:lang w:val="pl-PL"/>
        </w:rPr>
      </w:pPr>
      <w:r>
        <w:rPr>
          <w:rFonts w:ascii="Arial" w:hAnsi="Arial" w:cs="Arial"/>
          <w:b/>
          <w:bCs/>
          <w:sz w:val="22"/>
          <w:szCs w:val="22"/>
          <w:lang w:val="pl-PL"/>
        </w:rPr>
        <w:t>WARSZAWA</w:t>
      </w:r>
      <w:r w:rsidRPr="00B40899">
        <w:rPr>
          <w:rFonts w:ascii="Arial" w:hAnsi="Arial" w:cs="Arial"/>
          <w:b/>
          <w:bCs/>
          <w:sz w:val="22"/>
          <w:szCs w:val="22"/>
          <w:lang w:val="pl-PL"/>
        </w:rPr>
        <w:t xml:space="preserve">, </w:t>
      </w:r>
      <w:r w:rsidR="007626A6">
        <w:rPr>
          <w:rFonts w:ascii="Arial" w:hAnsi="Arial" w:cs="Arial"/>
          <w:b/>
          <w:bCs/>
          <w:sz w:val="22"/>
          <w:szCs w:val="22"/>
          <w:lang w:val="pl-PL"/>
        </w:rPr>
        <w:t>2</w:t>
      </w:r>
      <w:r w:rsidR="00E03C5E">
        <w:rPr>
          <w:rFonts w:ascii="Arial" w:hAnsi="Arial" w:cs="Arial"/>
          <w:b/>
          <w:bCs/>
          <w:sz w:val="22"/>
          <w:szCs w:val="22"/>
          <w:lang w:val="pl-PL"/>
        </w:rPr>
        <w:t>8</w:t>
      </w:r>
      <w:r w:rsidR="00B61AB5">
        <w:rPr>
          <w:rFonts w:ascii="Arial" w:hAnsi="Arial" w:cs="Arial"/>
          <w:b/>
          <w:bCs/>
          <w:sz w:val="22"/>
          <w:szCs w:val="22"/>
          <w:lang w:val="pl-PL"/>
        </w:rPr>
        <w:t xml:space="preserve"> października</w:t>
      </w:r>
      <w:r>
        <w:rPr>
          <w:rFonts w:ascii="Arial" w:hAnsi="Arial" w:cs="Arial"/>
          <w:b/>
          <w:bCs/>
          <w:sz w:val="22"/>
          <w:szCs w:val="22"/>
          <w:lang w:val="pl-PL"/>
        </w:rPr>
        <w:t xml:space="preserve"> </w:t>
      </w:r>
      <w:r w:rsidRPr="00BC0FED">
        <w:rPr>
          <w:rFonts w:ascii="Arial" w:hAnsi="Arial" w:cs="Arial"/>
          <w:b/>
          <w:bCs/>
          <w:sz w:val="22"/>
          <w:szCs w:val="22"/>
          <w:lang w:val="pl-PL"/>
        </w:rPr>
        <w:t>20</w:t>
      </w:r>
      <w:r>
        <w:rPr>
          <w:rFonts w:ascii="Arial" w:hAnsi="Arial" w:cs="Arial"/>
          <w:b/>
          <w:bCs/>
          <w:sz w:val="22"/>
          <w:szCs w:val="22"/>
          <w:lang w:val="pl-PL"/>
        </w:rPr>
        <w:t>20 r</w:t>
      </w:r>
      <w:r w:rsidRPr="00BC0FED">
        <w:rPr>
          <w:rFonts w:ascii="Arial" w:hAnsi="Arial" w:cs="Arial"/>
          <w:b/>
          <w:bCs/>
          <w:sz w:val="22"/>
          <w:szCs w:val="22"/>
          <w:lang w:val="pl-PL"/>
        </w:rPr>
        <w:t xml:space="preserve">. </w:t>
      </w:r>
      <w:r w:rsidRPr="001E0200">
        <w:rPr>
          <w:rFonts w:ascii="Arial" w:hAnsi="Arial" w:cs="Arial"/>
          <w:b/>
          <w:bCs/>
          <w:sz w:val="22"/>
          <w:szCs w:val="22"/>
          <w:lang w:val="pl-PL"/>
        </w:rPr>
        <w:t xml:space="preserve">- </w:t>
      </w:r>
      <w:bookmarkStart w:id="0" w:name="_Hlk54620908"/>
      <w:r w:rsidR="00980563" w:rsidRPr="00980563">
        <w:rPr>
          <w:rFonts w:ascii="Arial" w:hAnsi="Arial" w:cs="Arial"/>
          <w:sz w:val="22"/>
          <w:szCs w:val="22"/>
          <w:lang w:val="pl-PL"/>
        </w:rPr>
        <w:t>Ponad 64 mld euro</w:t>
      </w:r>
      <w:r w:rsidR="007636CF">
        <w:rPr>
          <w:rStyle w:val="Odwoanieprzypisudolnego"/>
          <w:rFonts w:ascii="Arial" w:hAnsi="Arial" w:cs="Arial"/>
          <w:sz w:val="22"/>
          <w:szCs w:val="22"/>
          <w:lang w:val="pl-PL"/>
        </w:rPr>
        <w:footnoteReference w:id="1"/>
      </w:r>
      <w:r w:rsidR="00980563" w:rsidRPr="00980563">
        <w:rPr>
          <w:rFonts w:ascii="Arial" w:hAnsi="Arial" w:cs="Arial"/>
          <w:sz w:val="22"/>
          <w:szCs w:val="22"/>
          <w:lang w:val="pl-PL"/>
        </w:rPr>
        <w:t xml:space="preserve"> z prawie 40 krajów – tak wygląda mapa inwestycji w polskie nieruchomości komercyjne w ostatnich 22 latach, z czego niewiele ponad 2,5 mld (tylko 3,9%) pochodzi z Polski. Dla przykładu, w okresie od stycznia do końca września </w:t>
      </w:r>
      <w:r w:rsidR="007636CF">
        <w:rPr>
          <w:rFonts w:ascii="Arial" w:hAnsi="Arial" w:cs="Arial"/>
          <w:sz w:val="22"/>
          <w:szCs w:val="22"/>
          <w:lang w:val="pl-PL"/>
        </w:rPr>
        <w:t>wartość</w:t>
      </w:r>
      <w:r w:rsidR="00980563" w:rsidRPr="00980563">
        <w:rPr>
          <w:rFonts w:ascii="Arial" w:hAnsi="Arial" w:cs="Arial"/>
          <w:sz w:val="22"/>
          <w:szCs w:val="22"/>
          <w:lang w:val="pl-PL"/>
        </w:rPr>
        <w:t xml:space="preserve"> transakcji inwestycyjnych w naszym kraju </w:t>
      </w:r>
      <w:r w:rsidR="001C2F70" w:rsidRPr="00980563">
        <w:rPr>
          <w:rFonts w:ascii="Arial" w:hAnsi="Arial" w:cs="Arial"/>
          <w:sz w:val="22"/>
          <w:szCs w:val="22"/>
          <w:lang w:val="pl-PL"/>
        </w:rPr>
        <w:t>wyniosł</w:t>
      </w:r>
      <w:r w:rsidR="001C2F70">
        <w:rPr>
          <w:rFonts w:ascii="Arial" w:hAnsi="Arial" w:cs="Arial"/>
          <w:sz w:val="22"/>
          <w:szCs w:val="22"/>
          <w:lang w:val="pl-PL"/>
        </w:rPr>
        <w:t>a</w:t>
      </w:r>
      <w:r w:rsidR="00980563" w:rsidRPr="00980563">
        <w:rPr>
          <w:rFonts w:ascii="Arial" w:hAnsi="Arial" w:cs="Arial"/>
          <w:sz w:val="22"/>
          <w:szCs w:val="22"/>
          <w:lang w:val="pl-PL"/>
        </w:rPr>
        <w:t xml:space="preserve"> aż 4,2 mld euro. Bardzo aktywne były fundusze z Singapuru, Węgier, USA, Czech, i Niemiec. W tym samym czasie, inwestorzy z polskim kapitałem wydali na rynku nieruchomości komercyjnych niespełna 60 milionów, co odpowiadało za 1,4% kapitału zainwestowanego od początku roku.</w:t>
      </w:r>
      <w:bookmarkEnd w:id="0"/>
    </w:p>
    <w:p w14:paraId="10E76E15" w14:textId="77777777" w:rsidR="00980563" w:rsidRPr="00980563" w:rsidRDefault="00980563" w:rsidP="00980563">
      <w:pPr>
        <w:ind w:left="-567" w:right="-336"/>
        <w:rPr>
          <w:rFonts w:ascii="Arial" w:hAnsi="Arial" w:cs="Arial"/>
          <w:i/>
          <w:iCs/>
          <w:lang w:val="pl-PL"/>
        </w:rPr>
      </w:pPr>
    </w:p>
    <w:p w14:paraId="059824E5" w14:textId="31B18638" w:rsidR="00D64235" w:rsidRPr="001E0200" w:rsidRDefault="001E0200" w:rsidP="001C2F70">
      <w:pPr>
        <w:ind w:left="-567" w:right="-336"/>
        <w:rPr>
          <w:rFonts w:ascii="Arial" w:eastAsia="Times New Roman" w:hAnsi="Arial" w:cs="Arial"/>
          <w:color w:val="000000"/>
          <w:sz w:val="22"/>
          <w:szCs w:val="22"/>
          <w:lang w:val="pl-PL" w:eastAsia="pl-PL"/>
        </w:rPr>
      </w:pPr>
      <w:bookmarkStart w:id="1" w:name="_Hlk54622402"/>
      <w:r w:rsidRPr="001E0200">
        <w:rPr>
          <w:rFonts w:ascii="Arial" w:eastAsia="Times New Roman" w:hAnsi="Arial" w:cs="Arial"/>
          <w:color w:val="000000"/>
          <w:sz w:val="22"/>
          <w:szCs w:val="22"/>
          <w:lang w:val="pl-PL" w:eastAsia="pl-PL"/>
        </w:rPr>
        <w:t xml:space="preserve">Każdy „kryzys” przyspiesza zmiany, uwalnia ukryte potencjały konkretnych sektorów gospodarki albo odkrywa ich słabości. Na pewno sprzyja innowacjom, usprawnia organizację firm czy wdrożenie nowych narzędzi technologicznych, ale też wprowadza do gry nowe biznesy i </w:t>
      </w:r>
      <w:r w:rsidRPr="00980563">
        <w:rPr>
          <w:rFonts w:ascii="Arial" w:eastAsia="Times New Roman" w:hAnsi="Arial" w:cs="Arial"/>
          <w:color w:val="000000"/>
          <w:sz w:val="22"/>
          <w:szCs w:val="22"/>
          <w:lang w:val="pl-PL" w:eastAsia="pl-PL"/>
        </w:rPr>
        <w:t>kapitał</w:t>
      </w:r>
      <w:r w:rsidRPr="001E0200">
        <w:rPr>
          <w:rFonts w:ascii="Arial" w:eastAsia="Times New Roman" w:hAnsi="Arial" w:cs="Arial"/>
          <w:color w:val="000000"/>
          <w:sz w:val="22"/>
          <w:szCs w:val="22"/>
          <w:lang w:val="pl-PL" w:eastAsia="pl-PL"/>
        </w:rPr>
        <w:t xml:space="preserve">. Dotyczy to również rynku nieruchomości komercyjnych. Zmieniają się kierunki, skąd przychodzi do nas </w:t>
      </w:r>
      <w:r w:rsidRPr="00980563">
        <w:rPr>
          <w:rFonts w:ascii="Arial" w:eastAsia="Times New Roman" w:hAnsi="Arial" w:cs="Arial"/>
          <w:color w:val="000000"/>
          <w:sz w:val="22"/>
          <w:szCs w:val="22"/>
          <w:lang w:val="pl-PL" w:eastAsia="pl-PL"/>
        </w:rPr>
        <w:t>kapitał</w:t>
      </w:r>
      <w:r w:rsidRPr="001E0200">
        <w:rPr>
          <w:rFonts w:ascii="Arial" w:eastAsia="Times New Roman" w:hAnsi="Arial" w:cs="Arial"/>
          <w:color w:val="000000"/>
          <w:sz w:val="22"/>
          <w:szCs w:val="22"/>
          <w:lang w:val="pl-PL" w:eastAsia="pl-PL"/>
        </w:rPr>
        <w:t xml:space="preserve"> inwestycyjny i to, jakie ma motywacje. Czy są w tym obszarze pewne prawidłowości, czy i dlaczego niektóre kraje inwestują u nas częściej, a inne rzadziej lub w ogóle? Dlaczego polskie firmy</w:t>
      </w:r>
      <w:r w:rsidR="00931F24">
        <w:rPr>
          <w:rFonts w:ascii="Arial" w:eastAsia="Times New Roman" w:hAnsi="Arial" w:cs="Arial"/>
          <w:color w:val="000000"/>
          <w:sz w:val="22"/>
          <w:szCs w:val="22"/>
          <w:lang w:val="pl-PL" w:eastAsia="pl-PL"/>
        </w:rPr>
        <w:t xml:space="preserve">, które </w:t>
      </w:r>
      <w:r w:rsidR="008B30AA">
        <w:rPr>
          <w:rFonts w:ascii="Arial" w:eastAsia="Times New Roman" w:hAnsi="Arial" w:cs="Arial"/>
          <w:color w:val="000000"/>
          <w:sz w:val="22"/>
          <w:szCs w:val="22"/>
          <w:lang w:val="pl-PL" w:eastAsia="pl-PL"/>
        </w:rPr>
        <w:t>prężnie działają jako deweloperzy w wielu sektorach nieruchomo</w:t>
      </w:r>
      <w:r w:rsidR="00690E61">
        <w:rPr>
          <w:rFonts w:ascii="Arial" w:eastAsia="Times New Roman" w:hAnsi="Arial" w:cs="Arial"/>
          <w:color w:val="000000"/>
          <w:sz w:val="22"/>
          <w:szCs w:val="22"/>
          <w:lang w:val="pl-PL" w:eastAsia="pl-PL"/>
        </w:rPr>
        <w:t>ś</w:t>
      </w:r>
      <w:r w:rsidR="008B30AA">
        <w:rPr>
          <w:rFonts w:ascii="Arial" w:eastAsia="Times New Roman" w:hAnsi="Arial" w:cs="Arial"/>
          <w:color w:val="000000"/>
          <w:sz w:val="22"/>
          <w:szCs w:val="22"/>
          <w:lang w:val="pl-PL" w:eastAsia="pl-PL"/>
        </w:rPr>
        <w:t>ci</w:t>
      </w:r>
      <w:r w:rsidR="00E9393E">
        <w:rPr>
          <w:rFonts w:ascii="Arial" w:eastAsia="Times New Roman" w:hAnsi="Arial" w:cs="Arial"/>
          <w:color w:val="000000"/>
          <w:sz w:val="22"/>
          <w:szCs w:val="22"/>
          <w:lang w:val="pl-PL" w:eastAsia="pl-PL"/>
        </w:rPr>
        <w:t>, decydują się na długoterminowe</w:t>
      </w:r>
      <w:r w:rsidRPr="001E0200">
        <w:rPr>
          <w:rFonts w:ascii="Arial" w:eastAsia="Times New Roman" w:hAnsi="Arial" w:cs="Arial"/>
          <w:color w:val="000000"/>
          <w:sz w:val="22"/>
          <w:szCs w:val="22"/>
          <w:lang w:val="pl-PL" w:eastAsia="pl-PL"/>
        </w:rPr>
        <w:t xml:space="preserve"> </w:t>
      </w:r>
      <w:r w:rsidR="00DC66E2">
        <w:rPr>
          <w:rFonts w:ascii="Arial" w:eastAsia="Times New Roman" w:hAnsi="Arial" w:cs="Arial"/>
          <w:color w:val="000000"/>
          <w:sz w:val="22"/>
          <w:szCs w:val="22"/>
          <w:lang w:val="pl-PL" w:eastAsia="pl-PL"/>
        </w:rPr>
        <w:t xml:space="preserve">inwestycyjne </w:t>
      </w:r>
      <w:r w:rsidRPr="001E0200">
        <w:rPr>
          <w:rFonts w:ascii="Arial" w:eastAsia="Times New Roman" w:hAnsi="Arial" w:cs="Arial"/>
          <w:color w:val="000000"/>
          <w:sz w:val="22"/>
          <w:szCs w:val="22"/>
          <w:lang w:val="pl-PL" w:eastAsia="pl-PL"/>
        </w:rPr>
        <w:t>lok</w:t>
      </w:r>
      <w:r w:rsidR="00E9393E">
        <w:rPr>
          <w:rFonts w:ascii="Arial" w:eastAsia="Times New Roman" w:hAnsi="Arial" w:cs="Arial"/>
          <w:color w:val="000000"/>
          <w:sz w:val="22"/>
          <w:szCs w:val="22"/>
          <w:lang w:val="pl-PL" w:eastAsia="pl-PL"/>
        </w:rPr>
        <w:t>owanie</w:t>
      </w:r>
      <w:r w:rsidR="00DC66E2">
        <w:rPr>
          <w:rFonts w:ascii="Arial" w:eastAsia="Times New Roman" w:hAnsi="Arial" w:cs="Arial"/>
          <w:color w:val="000000"/>
          <w:sz w:val="22"/>
          <w:szCs w:val="22"/>
          <w:lang w:val="pl-PL" w:eastAsia="pl-PL"/>
        </w:rPr>
        <w:t xml:space="preserve"> środków</w:t>
      </w:r>
      <w:r w:rsidRPr="001E0200">
        <w:rPr>
          <w:rFonts w:ascii="Arial" w:eastAsia="Times New Roman" w:hAnsi="Arial" w:cs="Arial"/>
          <w:color w:val="000000"/>
          <w:sz w:val="22"/>
          <w:szCs w:val="22"/>
          <w:lang w:val="pl-PL" w:eastAsia="pl-PL"/>
        </w:rPr>
        <w:t xml:space="preserve"> w nieruchomości </w:t>
      </w:r>
      <w:r w:rsidR="00130105">
        <w:rPr>
          <w:rFonts w:ascii="Arial" w:eastAsia="Times New Roman" w:hAnsi="Arial" w:cs="Arial"/>
          <w:color w:val="000000"/>
          <w:sz w:val="22"/>
          <w:szCs w:val="22"/>
          <w:lang w:val="pl-PL" w:eastAsia="pl-PL"/>
        </w:rPr>
        <w:t>w niewielkim zakresie</w:t>
      </w:r>
      <w:r w:rsidRPr="001E0200">
        <w:rPr>
          <w:rFonts w:ascii="Arial" w:eastAsia="Times New Roman" w:hAnsi="Arial" w:cs="Arial"/>
          <w:color w:val="000000"/>
          <w:sz w:val="22"/>
          <w:szCs w:val="22"/>
          <w:lang w:val="pl-PL" w:eastAsia="pl-PL"/>
        </w:rPr>
        <w:t>, oddając inicjatywę innym gospodarkom - często mniejszym i niekoniecznie bogatszym?</w:t>
      </w:r>
      <w:bookmarkEnd w:id="1"/>
    </w:p>
    <w:p w14:paraId="423D098B" w14:textId="56856F6B" w:rsidR="001E0200" w:rsidRPr="001E0200" w:rsidRDefault="001E0200" w:rsidP="001E0200">
      <w:pPr>
        <w:spacing w:before="100" w:beforeAutospacing="1" w:after="100" w:afterAutospacing="1"/>
        <w:ind w:left="-567" w:right="-336"/>
        <w:rPr>
          <w:rFonts w:ascii="Arial" w:eastAsia="Times New Roman" w:hAnsi="Arial" w:cs="Arial"/>
          <w:b/>
          <w:color w:val="000000"/>
          <w:sz w:val="22"/>
          <w:szCs w:val="22"/>
          <w:lang w:val="pl-PL" w:eastAsia="pl-PL"/>
        </w:rPr>
      </w:pPr>
      <w:r w:rsidRPr="001E0200">
        <w:rPr>
          <w:rFonts w:ascii="Arial" w:eastAsia="Times New Roman" w:hAnsi="Arial" w:cs="Arial"/>
          <w:b/>
          <w:color w:val="000000"/>
          <w:sz w:val="22"/>
          <w:szCs w:val="22"/>
          <w:lang w:val="pl-PL" w:eastAsia="pl-PL"/>
        </w:rPr>
        <w:t xml:space="preserve">Pierwsi byli </w:t>
      </w:r>
      <w:r w:rsidR="00792B65">
        <w:rPr>
          <w:rFonts w:ascii="Arial" w:eastAsia="Times New Roman" w:hAnsi="Arial" w:cs="Arial"/>
          <w:b/>
          <w:color w:val="000000"/>
          <w:sz w:val="22"/>
          <w:szCs w:val="22"/>
          <w:lang w:val="pl-PL" w:eastAsia="pl-PL"/>
        </w:rPr>
        <w:t>Brytyjczycy</w:t>
      </w:r>
      <w:r w:rsidR="00960EE9">
        <w:rPr>
          <w:rFonts w:ascii="Arial" w:eastAsia="Times New Roman" w:hAnsi="Arial" w:cs="Arial"/>
          <w:b/>
          <w:color w:val="000000"/>
          <w:sz w:val="22"/>
          <w:szCs w:val="22"/>
          <w:lang w:val="pl-PL" w:eastAsia="pl-PL"/>
        </w:rPr>
        <w:t xml:space="preserve"> i </w:t>
      </w:r>
      <w:r w:rsidRPr="001E0200">
        <w:rPr>
          <w:rFonts w:ascii="Arial" w:eastAsia="Times New Roman" w:hAnsi="Arial" w:cs="Arial"/>
          <w:b/>
          <w:color w:val="000000"/>
          <w:sz w:val="22"/>
          <w:szCs w:val="22"/>
          <w:lang w:val="pl-PL" w:eastAsia="pl-PL"/>
        </w:rPr>
        <w:t>Francuzi</w:t>
      </w:r>
      <w:r>
        <w:rPr>
          <w:rFonts w:ascii="Arial" w:eastAsia="Times New Roman" w:hAnsi="Arial" w:cs="Arial"/>
          <w:b/>
          <w:color w:val="000000"/>
          <w:sz w:val="22"/>
          <w:szCs w:val="22"/>
          <w:lang w:val="pl-PL" w:eastAsia="pl-PL"/>
        </w:rPr>
        <w:br/>
      </w:r>
      <w:r w:rsidRPr="001E0200">
        <w:rPr>
          <w:rFonts w:ascii="Arial" w:eastAsia="Times New Roman" w:hAnsi="Arial" w:cs="Arial"/>
          <w:color w:val="000000"/>
          <w:sz w:val="22"/>
          <w:szCs w:val="22"/>
          <w:lang w:val="pl-PL" w:eastAsia="pl-PL"/>
        </w:rPr>
        <w:t xml:space="preserve">Polska zaczęła być postrzegana przez </w:t>
      </w:r>
      <w:r w:rsidR="00374996">
        <w:rPr>
          <w:rFonts w:ascii="Arial" w:eastAsia="Times New Roman" w:hAnsi="Arial" w:cs="Arial"/>
          <w:color w:val="000000"/>
          <w:sz w:val="22"/>
          <w:szCs w:val="22"/>
          <w:lang w:val="pl-PL" w:eastAsia="pl-PL"/>
        </w:rPr>
        <w:t>deweloperów</w:t>
      </w:r>
      <w:r w:rsidRPr="001E0200">
        <w:rPr>
          <w:rFonts w:ascii="Arial" w:eastAsia="Times New Roman" w:hAnsi="Arial" w:cs="Arial"/>
          <w:color w:val="000000"/>
          <w:sz w:val="22"/>
          <w:szCs w:val="22"/>
          <w:lang w:val="pl-PL" w:eastAsia="pl-PL"/>
        </w:rPr>
        <w:t xml:space="preserve"> jako perspektywiczny rynek nieruchomości na początku lat 90-tych.</w:t>
      </w:r>
    </w:p>
    <w:p w14:paraId="3BEF3C1E" w14:textId="6E6D886C" w:rsidR="001E0200" w:rsidRDefault="001E0200" w:rsidP="001E0200">
      <w:pPr>
        <w:ind w:left="-567" w:right="-336"/>
        <w:rPr>
          <w:rFonts w:ascii="Arial" w:hAnsi="Arial"/>
          <w:b/>
          <w:sz w:val="22"/>
          <w:szCs w:val="22"/>
          <w:lang w:val="pl-PL"/>
        </w:rPr>
      </w:pPr>
      <w:r w:rsidRPr="001E0200">
        <w:rPr>
          <w:rFonts w:ascii="Arial" w:eastAsia="Times New Roman" w:hAnsi="Arial" w:cs="Arial"/>
          <w:color w:val="000000"/>
          <w:sz w:val="22"/>
          <w:szCs w:val="22"/>
          <w:lang w:val="pl-PL" w:eastAsia="pl-PL"/>
        </w:rPr>
        <w:t>„Pierwszymi firmami, które rozpoczęły komercyjną ekspansję w Polsce</w:t>
      </w:r>
      <w:r w:rsidR="001E05EE">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były francuskie </w:t>
      </w:r>
      <w:r w:rsidR="00960EE9">
        <w:rPr>
          <w:rFonts w:ascii="Arial" w:eastAsia="Times New Roman" w:hAnsi="Arial" w:cs="Arial"/>
          <w:color w:val="000000"/>
          <w:sz w:val="22"/>
          <w:szCs w:val="22"/>
          <w:lang w:val="pl-PL" w:eastAsia="pl-PL"/>
        </w:rPr>
        <w:t xml:space="preserve">i brytyjskie </w:t>
      </w:r>
      <w:r w:rsidRPr="001E0200">
        <w:rPr>
          <w:rFonts w:ascii="Arial" w:eastAsia="Times New Roman" w:hAnsi="Arial" w:cs="Arial"/>
          <w:color w:val="000000"/>
          <w:sz w:val="22"/>
          <w:szCs w:val="22"/>
          <w:lang w:val="pl-PL" w:eastAsia="pl-PL"/>
        </w:rPr>
        <w:t>sieci handlowe. Byliśmy czterdziestomilionowym społeczeństwem nowych</w:t>
      </w:r>
      <w:r w:rsidR="002B0D7F">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w:t>
      </w:r>
      <w:r w:rsidR="00374996">
        <w:rPr>
          <w:rFonts w:ascii="Arial" w:eastAsia="Times New Roman" w:hAnsi="Arial" w:cs="Arial"/>
          <w:color w:val="000000"/>
          <w:sz w:val="22"/>
          <w:szCs w:val="22"/>
          <w:lang w:val="pl-PL" w:eastAsia="pl-PL"/>
        </w:rPr>
        <w:t xml:space="preserve">„głodnych” </w:t>
      </w:r>
      <w:r w:rsidRPr="001E0200">
        <w:rPr>
          <w:rFonts w:ascii="Arial" w:eastAsia="Times New Roman" w:hAnsi="Arial" w:cs="Arial"/>
          <w:color w:val="000000"/>
          <w:sz w:val="22"/>
          <w:szCs w:val="22"/>
          <w:lang w:val="pl-PL" w:eastAsia="pl-PL"/>
        </w:rPr>
        <w:t>konsumentów o dużych aspiracjach i potrzebach. Potem przyszły inwestycje z Niemiec. Pojawiły się też pierwsze no</w:t>
      </w:r>
      <w:r w:rsidR="00374996">
        <w:rPr>
          <w:rFonts w:ascii="Arial" w:eastAsia="Times New Roman" w:hAnsi="Arial" w:cs="Arial"/>
          <w:color w:val="000000"/>
          <w:sz w:val="22"/>
          <w:szCs w:val="22"/>
          <w:lang w:val="pl-PL" w:eastAsia="pl-PL"/>
        </w:rPr>
        <w:t xml:space="preserve">we </w:t>
      </w:r>
      <w:r w:rsidRPr="001E0200">
        <w:rPr>
          <w:rFonts w:ascii="Arial" w:eastAsia="Times New Roman" w:hAnsi="Arial" w:cs="Arial"/>
          <w:color w:val="000000"/>
          <w:sz w:val="22"/>
          <w:szCs w:val="22"/>
          <w:lang w:val="pl-PL" w:eastAsia="pl-PL"/>
        </w:rPr>
        <w:t>centra handlowe – Panorama, Promenada</w:t>
      </w:r>
      <w:r w:rsidR="00DE1334">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King Cross</w:t>
      </w:r>
      <w:r w:rsidR="00DE1334">
        <w:rPr>
          <w:rFonts w:ascii="Arial" w:eastAsia="Times New Roman" w:hAnsi="Arial" w:cs="Arial"/>
          <w:color w:val="000000"/>
          <w:sz w:val="22"/>
          <w:szCs w:val="22"/>
          <w:lang w:val="pl-PL" w:eastAsia="pl-PL"/>
        </w:rPr>
        <w:t xml:space="preserve"> i </w:t>
      </w:r>
      <w:r w:rsidR="00510514">
        <w:rPr>
          <w:rFonts w:ascii="Arial" w:eastAsia="Times New Roman" w:hAnsi="Arial" w:cs="Arial"/>
          <w:color w:val="000000"/>
          <w:sz w:val="22"/>
          <w:szCs w:val="22"/>
          <w:lang w:val="pl-PL" w:eastAsia="pl-PL"/>
        </w:rPr>
        <w:t>portfel centrów M1</w:t>
      </w:r>
      <w:r w:rsidRPr="001E0200">
        <w:rPr>
          <w:rFonts w:ascii="Arial" w:eastAsia="Times New Roman" w:hAnsi="Arial" w:cs="Arial"/>
          <w:color w:val="000000"/>
          <w:sz w:val="22"/>
          <w:szCs w:val="22"/>
          <w:lang w:val="pl-PL" w:eastAsia="pl-PL"/>
        </w:rPr>
        <w:t xml:space="preserve">”, wspomina </w:t>
      </w:r>
      <w:r w:rsidR="002B0D7F" w:rsidRPr="006B190D">
        <w:rPr>
          <w:rFonts w:ascii="Arial" w:hAnsi="Arial"/>
          <w:b/>
          <w:sz w:val="22"/>
          <w:szCs w:val="22"/>
          <w:lang w:val="pl-PL"/>
        </w:rPr>
        <w:t>Agata Sekuła, Wiceprezes Zarządu JLL w Polsce</w:t>
      </w:r>
      <w:r w:rsidR="002B0D7F">
        <w:rPr>
          <w:rFonts w:ascii="Arial" w:hAnsi="Arial"/>
          <w:b/>
          <w:sz w:val="22"/>
          <w:szCs w:val="22"/>
          <w:lang w:val="pl-PL"/>
        </w:rPr>
        <w:t>.</w:t>
      </w:r>
    </w:p>
    <w:p w14:paraId="7B179423" w14:textId="77777777" w:rsidR="002B0D7F" w:rsidRPr="001E0200" w:rsidRDefault="002B0D7F" w:rsidP="001E0200">
      <w:pPr>
        <w:ind w:left="-567" w:right="-336"/>
        <w:rPr>
          <w:rFonts w:ascii="Arial" w:eastAsia="Times New Roman" w:hAnsi="Arial" w:cs="Arial"/>
          <w:i/>
          <w:iCs/>
          <w:color w:val="000000"/>
          <w:sz w:val="22"/>
          <w:szCs w:val="22"/>
          <w:lang w:val="pl-PL" w:eastAsia="pl-PL"/>
        </w:rPr>
      </w:pPr>
    </w:p>
    <w:p w14:paraId="63E21A9F" w14:textId="6638A0D2" w:rsidR="001E0200" w:rsidRPr="001E0200" w:rsidRDefault="00374996" w:rsidP="001E0200">
      <w:pPr>
        <w:ind w:left="-567" w:right="-336"/>
        <w:rPr>
          <w:rFonts w:ascii="Arial" w:eastAsia="Times New Roman" w:hAnsi="Arial" w:cs="Arial"/>
          <w:color w:val="000000"/>
          <w:sz w:val="22"/>
          <w:szCs w:val="22"/>
          <w:lang w:val="pl-PL" w:eastAsia="pl-PL"/>
        </w:rPr>
      </w:pPr>
      <w:r>
        <w:rPr>
          <w:rFonts w:ascii="Arial" w:eastAsia="Times New Roman" w:hAnsi="Arial" w:cs="Arial"/>
          <w:color w:val="000000"/>
          <w:sz w:val="22"/>
          <w:szCs w:val="22"/>
          <w:lang w:val="pl-PL" w:eastAsia="pl-PL"/>
        </w:rPr>
        <w:t xml:space="preserve">Za deweloperami podążyli inwestorzy. </w:t>
      </w:r>
      <w:r w:rsidR="001E0200" w:rsidRPr="001E0200">
        <w:rPr>
          <w:rFonts w:ascii="Arial" w:eastAsia="Times New Roman" w:hAnsi="Arial" w:cs="Arial"/>
          <w:color w:val="000000"/>
          <w:sz w:val="22"/>
          <w:szCs w:val="22"/>
          <w:lang w:val="pl-PL" w:eastAsia="pl-PL"/>
        </w:rPr>
        <w:t xml:space="preserve">Zwrot z kapitału versus ryzyko był atrakcyjny, gospodarka rozwijała się </w:t>
      </w:r>
      <w:r w:rsidR="00FB5411">
        <w:rPr>
          <w:rFonts w:ascii="Arial" w:eastAsia="Times New Roman" w:hAnsi="Arial" w:cs="Arial"/>
          <w:color w:val="000000"/>
          <w:sz w:val="22"/>
          <w:szCs w:val="22"/>
          <w:lang w:val="pl-PL" w:eastAsia="pl-PL"/>
        </w:rPr>
        <w:t>bardzo dynamicznie i jeszcze przyśpieszyła</w:t>
      </w:r>
      <w:r w:rsidR="001E0200" w:rsidRPr="001E0200">
        <w:rPr>
          <w:rFonts w:ascii="Arial" w:eastAsia="Times New Roman" w:hAnsi="Arial" w:cs="Arial"/>
          <w:color w:val="000000"/>
          <w:sz w:val="22"/>
          <w:szCs w:val="22"/>
          <w:lang w:val="pl-PL" w:eastAsia="pl-PL"/>
        </w:rPr>
        <w:t xml:space="preserve"> po wejściu Polski do Unii Europejskiej w 2004 roku.</w:t>
      </w:r>
    </w:p>
    <w:p w14:paraId="2A641708" w14:textId="076277A6"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bookmarkStart w:id="2" w:name="_Hlk49337582"/>
      <w:r w:rsidRPr="001E0200">
        <w:rPr>
          <w:rFonts w:ascii="Arial" w:eastAsia="Times New Roman" w:hAnsi="Arial" w:cs="Arial"/>
          <w:color w:val="000000"/>
          <w:sz w:val="22"/>
          <w:szCs w:val="22"/>
          <w:lang w:val="pl-PL" w:eastAsia="pl-PL"/>
        </w:rPr>
        <w:t xml:space="preserve">W latach 1998-2007 </w:t>
      </w:r>
      <w:r w:rsidR="00981BE7" w:rsidRPr="001E0200">
        <w:rPr>
          <w:rFonts w:ascii="Arial" w:eastAsia="Times New Roman" w:hAnsi="Arial" w:cs="Arial"/>
          <w:color w:val="000000"/>
          <w:sz w:val="22"/>
          <w:szCs w:val="22"/>
          <w:lang w:val="pl-PL" w:eastAsia="pl-PL"/>
        </w:rPr>
        <w:t xml:space="preserve">Amerykanie </w:t>
      </w:r>
      <w:r w:rsidR="00981BE7">
        <w:rPr>
          <w:rFonts w:ascii="Arial" w:eastAsia="Times New Roman" w:hAnsi="Arial" w:cs="Arial"/>
          <w:color w:val="000000"/>
          <w:sz w:val="22"/>
          <w:szCs w:val="22"/>
          <w:lang w:val="pl-PL" w:eastAsia="pl-PL"/>
        </w:rPr>
        <w:t xml:space="preserve">kupili nieruchomości o wartości </w:t>
      </w:r>
      <w:r w:rsidR="00981BE7" w:rsidRPr="001E0200">
        <w:rPr>
          <w:rFonts w:ascii="Arial" w:eastAsia="Times New Roman" w:hAnsi="Arial" w:cs="Arial"/>
          <w:color w:val="000000"/>
          <w:sz w:val="22"/>
          <w:szCs w:val="22"/>
          <w:lang w:val="pl-PL" w:eastAsia="pl-PL"/>
        </w:rPr>
        <w:t xml:space="preserve">prawie </w:t>
      </w:r>
      <w:r w:rsidR="00981BE7" w:rsidRPr="008C000A">
        <w:rPr>
          <w:rFonts w:ascii="Arial" w:eastAsia="Times New Roman" w:hAnsi="Arial" w:cs="Arial"/>
          <w:color w:val="000000"/>
          <w:sz w:val="22"/>
          <w:szCs w:val="22"/>
          <w:lang w:val="pl-PL" w:eastAsia="pl-PL"/>
        </w:rPr>
        <w:t>2,9 mld euro</w:t>
      </w:r>
      <w:r w:rsidR="00981BE7" w:rsidRPr="00981BE7">
        <w:rPr>
          <w:rFonts w:ascii="Arial" w:eastAsia="Times New Roman" w:hAnsi="Arial" w:cs="Arial"/>
          <w:color w:val="000000"/>
          <w:sz w:val="22"/>
          <w:szCs w:val="22"/>
          <w:lang w:val="pl-PL" w:eastAsia="pl-PL"/>
        </w:rPr>
        <w:t xml:space="preserve"> </w:t>
      </w:r>
      <w:r w:rsidR="00981BE7" w:rsidRPr="001E0200">
        <w:rPr>
          <w:rFonts w:ascii="Arial" w:eastAsia="Times New Roman" w:hAnsi="Arial" w:cs="Arial"/>
          <w:color w:val="000000"/>
          <w:sz w:val="22"/>
          <w:szCs w:val="22"/>
          <w:lang w:val="pl-PL" w:eastAsia="pl-PL"/>
        </w:rPr>
        <w:t xml:space="preserve">we wszystkich segmentach </w:t>
      </w:r>
      <w:r w:rsidR="00A03A7E">
        <w:rPr>
          <w:rFonts w:ascii="Arial" w:eastAsia="Times New Roman" w:hAnsi="Arial" w:cs="Arial"/>
          <w:color w:val="000000"/>
          <w:sz w:val="22"/>
          <w:szCs w:val="22"/>
          <w:lang w:val="pl-PL" w:eastAsia="pl-PL"/>
        </w:rPr>
        <w:t>rynku</w:t>
      </w:r>
      <w:r w:rsidR="00981BE7" w:rsidRPr="001E0200">
        <w:rPr>
          <w:rFonts w:ascii="Arial" w:eastAsia="Times New Roman" w:hAnsi="Arial" w:cs="Arial"/>
          <w:color w:val="000000"/>
          <w:sz w:val="22"/>
          <w:szCs w:val="22"/>
          <w:lang w:val="pl-PL" w:eastAsia="pl-PL"/>
        </w:rPr>
        <w:t xml:space="preserve"> (obiekty handlowe, biurowe i magazynowe)</w:t>
      </w:r>
      <w:r w:rsidR="00981BE7">
        <w:rPr>
          <w:rFonts w:ascii="Arial" w:eastAsia="Times New Roman" w:hAnsi="Arial" w:cs="Arial"/>
          <w:color w:val="000000"/>
          <w:sz w:val="22"/>
          <w:szCs w:val="22"/>
          <w:lang w:val="pl-PL" w:eastAsia="pl-PL"/>
        </w:rPr>
        <w:t>, z czego najbardziej spektakularnymi transakcjami był</w:t>
      </w:r>
      <w:r w:rsidR="00B61AB5">
        <w:rPr>
          <w:rFonts w:ascii="Arial" w:eastAsia="Times New Roman" w:hAnsi="Arial" w:cs="Arial"/>
          <w:color w:val="000000"/>
          <w:sz w:val="22"/>
          <w:szCs w:val="22"/>
          <w:lang w:val="pl-PL" w:eastAsia="pl-PL"/>
        </w:rPr>
        <w:t>y</w:t>
      </w:r>
      <w:r w:rsidR="00981BE7">
        <w:rPr>
          <w:rFonts w:ascii="Arial" w:eastAsia="Times New Roman" w:hAnsi="Arial" w:cs="Arial"/>
          <w:color w:val="000000"/>
          <w:sz w:val="22"/>
          <w:szCs w:val="22"/>
          <w:lang w:val="pl-PL" w:eastAsia="pl-PL"/>
        </w:rPr>
        <w:t xml:space="preserve"> przejęcie portfela nieruchomości handlowych Metro Portfolio w 2003 roku za 700 mln euro przez fundusz Apollo, a trzy lata później Casino Portfolio przez GE Real Estate za 555 mln euro. W tym czasie</w:t>
      </w:r>
      <w:r w:rsidR="00981BE7" w:rsidRPr="001E0200">
        <w:rPr>
          <w:rFonts w:ascii="Arial" w:eastAsia="Times New Roman" w:hAnsi="Arial" w:cs="Arial"/>
          <w:color w:val="000000"/>
          <w:sz w:val="22"/>
          <w:szCs w:val="22"/>
          <w:lang w:val="pl-PL" w:eastAsia="pl-PL"/>
        </w:rPr>
        <w:t xml:space="preserve"> </w:t>
      </w:r>
      <w:r w:rsidR="00981BE7">
        <w:rPr>
          <w:rFonts w:ascii="Arial" w:eastAsia="Times New Roman" w:hAnsi="Arial" w:cs="Arial"/>
          <w:color w:val="000000"/>
          <w:sz w:val="22"/>
          <w:szCs w:val="22"/>
          <w:lang w:val="pl-PL" w:eastAsia="pl-PL"/>
        </w:rPr>
        <w:t>f</w:t>
      </w:r>
      <w:r w:rsidRPr="001E0200">
        <w:rPr>
          <w:rFonts w:ascii="Arial" w:eastAsia="Times New Roman" w:hAnsi="Arial" w:cs="Arial"/>
          <w:color w:val="000000"/>
          <w:sz w:val="22"/>
          <w:szCs w:val="22"/>
          <w:lang w:val="pl-PL" w:eastAsia="pl-PL"/>
        </w:rPr>
        <w:t xml:space="preserve">undusze niemieckie zainwestowały ponad </w:t>
      </w:r>
      <w:r w:rsidR="00AC589E" w:rsidRPr="008C000A">
        <w:rPr>
          <w:rFonts w:ascii="Arial" w:eastAsia="Times New Roman" w:hAnsi="Arial" w:cs="Arial"/>
          <w:color w:val="000000"/>
          <w:sz w:val="22"/>
          <w:szCs w:val="22"/>
          <w:lang w:val="pl-PL" w:eastAsia="pl-PL"/>
        </w:rPr>
        <w:t>2</w:t>
      </w:r>
      <w:r w:rsidRPr="008C000A">
        <w:rPr>
          <w:rFonts w:ascii="Arial" w:eastAsia="Times New Roman" w:hAnsi="Arial" w:cs="Arial"/>
          <w:color w:val="000000"/>
          <w:sz w:val="22"/>
          <w:szCs w:val="22"/>
          <w:lang w:val="pl-PL" w:eastAsia="pl-PL"/>
        </w:rPr>
        <w:t>,</w:t>
      </w:r>
      <w:r w:rsidR="00AC589E" w:rsidRPr="008C000A">
        <w:rPr>
          <w:rFonts w:ascii="Arial" w:eastAsia="Times New Roman" w:hAnsi="Arial" w:cs="Arial"/>
          <w:color w:val="000000"/>
          <w:sz w:val="22"/>
          <w:szCs w:val="22"/>
          <w:lang w:val="pl-PL" w:eastAsia="pl-PL"/>
        </w:rPr>
        <w:t>8</w:t>
      </w:r>
      <w:r w:rsidRPr="008C000A">
        <w:rPr>
          <w:rFonts w:ascii="Arial" w:eastAsia="Times New Roman" w:hAnsi="Arial" w:cs="Arial"/>
          <w:color w:val="000000"/>
          <w:sz w:val="22"/>
          <w:szCs w:val="22"/>
          <w:lang w:val="pl-PL" w:eastAsia="pl-PL"/>
        </w:rPr>
        <w:t xml:space="preserve"> mld euro</w:t>
      </w:r>
      <w:r w:rsidRPr="00A03A7E">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w:t>
      </w:r>
      <w:r>
        <w:rPr>
          <w:rFonts w:ascii="Arial" w:eastAsia="Times New Roman" w:hAnsi="Arial" w:cs="Arial"/>
          <w:color w:val="000000"/>
          <w:sz w:val="22"/>
          <w:szCs w:val="22"/>
          <w:lang w:val="pl-PL" w:eastAsia="pl-PL"/>
        </w:rPr>
        <w:t xml:space="preserve">z czego jedną z największych transakcji o wartości </w:t>
      </w:r>
      <w:r w:rsidRPr="008C000A">
        <w:rPr>
          <w:rFonts w:ascii="Arial" w:eastAsia="Times New Roman" w:hAnsi="Arial" w:cs="Arial"/>
          <w:color w:val="000000"/>
          <w:sz w:val="22"/>
          <w:szCs w:val="22"/>
          <w:lang w:val="pl-PL" w:eastAsia="pl-PL"/>
        </w:rPr>
        <w:t>230 mln euro</w:t>
      </w:r>
      <w:r>
        <w:rPr>
          <w:rFonts w:ascii="Arial" w:eastAsia="Times New Roman" w:hAnsi="Arial" w:cs="Arial"/>
          <w:color w:val="000000"/>
          <w:sz w:val="22"/>
          <w:szCs w:val="22"/>
          <w:lang w:val="pl-PL" w:eastAsia="pl-PL"/>
        </w:rPr>
        <w:t xml:space="preserve"> był zakup warszawskiego Rondo 1 przez Hannover Leasing w 2005 roku.</w:t>
      </w:r>
      <w:r w:rsidR="009B6721">
        <w:rPr>
          <w:rFonts w:ascii="Arial" w:eastAsia="Times New Roman" w:hAnsi="Arial" w:cs="Arial"/>
          <w:color w:val="000000"/>
          <w:sz w:val="22"/>
          <w:szCs w:val="22"/>
          <w:lang w:val="pl-PL" w:eastAsia="pl-PL"/>
        </w:rPr>
        <w:t xml:space="preserve"> </w:t>
      </w:r>
      <w:r w:rsidRPr="001E0200">
        <w:rPr>
          <w:rFonts w:ascii="Arial" w:eastAsia="Times New Roman" w:hAnsi="Arial" w:cs="Arial"/>
          <w:color w:val="000000"/>
          <w:sz w:val="22"/>
          <w:szCs w:val="22"/>
          <w:lang w:val="pl-PL" w:eastAsia="pl-PL"/>
        </w:rPr>
        <w:t xml:space="preserve">Brytyjczycy </w:t>
      </w:r>
      <w:r w:rsidR="009B6721">
        <w:rPr>
          <w:rFonts w:ascii="Arial" w:eastAsia="Times New Roman" w:hAnsi="Arial" w:cs="Arial"/>
          <w:color w:val="000000"/>
          <w:sz w:val="22"/>
          <w:szCs w:val="22"/>
          <w:lang w:val="pl-PL" w:eastAsia="pl-PL"/>
        </w:rPr>
        <w:t xml:space="preserve">z kolei dokonali inwestycji za </w:t>
      </w:r>
      <w:r w:rsidRPr="008C000A">
        <w:rPr>
          <w:rFonts w:ascii="Arial" w:eastAsia="Times New Roman" w:hAnsi="Arial" w:cs="Arial"/>
          <w:color w:val="000000"/>
          <w:sz w:val="22"/>
          <w:szCs w:val="22"/>
          <w:lang w:val="pl-PL" w:eastAsia="pl-PL"/>
        </w:rPr>
        <w:t>1,6 mld euro</w:t>
      </w:r>
      <w:r w:rsidRPr="001E0200">
        <w:rPr>
          <w:rFonts w:ascii="Arial" w:eastAsia="Times New Roman" w:hAnsi="Arial" w:cs="Arial"/>
          <w:color w:val="000000"/>
          <w:sz w:val="22"/>
          <w:szCs w:val="22"/>
          <w:lang w:val="pl-PL" w:eastAsia="pl-PL"/>
        </w:rPr>
        <w:t xml:space="preserve">. </w:t>
      </w:r>
      <w:r>
        <w:rPr>
          <w:rFonts w:ascii="Arial" w:eastAsia="Times New Roman" w:hAnsi="Arial" w:cs="Arial"/>
          <w:color w:val="000000"/>
          <w:sz w:val="22"/>
          <w:szCs w:val="22"/>
          <w:lang w:val="pl-PL" w:eastAsia="pl-PL"/>
        </w:rPr>
        <w:t>Ponownie jedn</w:t>
      </w:r>
      <w:r w:rsidR="00C23855">
        <w:rPr>
          <w:rFonts w:ascii="Arial" w:eastAsia="Times New Roman" w:hAnsi="Arial" w:cs="Arial"/>
          <w:color w:val="000000"/>
          <w:sz w:val="22"/>
          <w:szCs w:val="22"/>
          <w:lang w:val="pl-PL" w:eastAsia="pl-PL"/>
        </w:rPr>
        <w:t>a</w:t>
      </w:r>
      <w:r>
        <w:rPr>
          <w:rFonts w:ascii="Arial" w:eastAsia="Times New Roman" w:hAnsi="Arial" w:cs="Arial"/>
          <w:color w:val="000000"/>
          <w:sz w:val="22"/>
          <w:szCs w:val="22"/>
          <w:lang w:val="pl-PL" w:eastAsia="pl-PL"/>
        </w:rPr>
        <w:t xml:space="preserve"> z największych umów kupna dotyczyła biurowca Rondo 1, który </w:t>
      </w:r>
      <w:r w:rsidR="009B6721">
        <w:rPr>
          <w:rFonts w:ascii="Arial" w:eastAsia="Times New Roman" w:hAnsi="Arial" w:cs="Arial"/>
          <w:color w:val="000000"/>
          <w:sz w:val="22"/>
          <w:szCs w:val="22"/>
          <w:lang w:val="pl-PL" w:eastAsia="pl-PL"/>
        </w:rPr>
        <w:t>już w 2006 roku</w:t>
      </w:r>
      <w:r>
        <w:rPr>
          <w:rFonts w:ascii="Arial" w:eastAsia="Times New Roman" w:hAnsi="Arial" w:cs="Arial"/>
          <w:color w:val="000000"/>
          <w:sz w:val="22"/>
          <w:szCs w:val="22"/>
          <w:lang w:val="pl-PL" w:eastAsia="pl-PL"/>
        </w:rPr>
        <w:t xml:space="preserve"> znalazł się w rękach funduszu </w:t>
      </w:r>
      <w:r w:rsidRPr="008C000A">
        <w:rPr>
          <w:rFonts w:ascii="Arial" w:eastAsia="Times New Roman" w:hAnsi="Arial" w:cs="Arial"/>
          <w:color w:val="000000"/>
          <w:sz w:val="22"/>
          <w:szCs w:val="22"/>
          <w:lang w:val="pl-PL" w:eastAsia="pl-PL"/>
        </w:rPr>
        <w:t>London &amp; Regional</w:t>
      </w:r>
      <w:r>
        <w:rPr>
          <w:rFonts w:ascii="Arial" w:eastAsia="Times New Roman" w:hAnsi="Arial" w:cs="Arial"/>
          <w:color w:val="000000"/>
          <w:sz w:val="22"/>
          <w:szCs w:val="22"/>
          <w:lang w:val="pl-PL" w:eastAsia="pl-PL"/>
        </w:rPr>
        <w:t xml:space="preserve">. </w:t>
      </w:r>
      <w:r w:rsidR="009B6721">
        <w:rPr>
          <w:rFonts w:ascii="Arial" w:eastAsia="Times New Roman" w:hAnsi="Arial" w:cs="Arial"/>
          <w:color w:val="000000"/>
          <w:sz w:val="22"/>
          <w:szCs w:val="22"/>
          <w:lang w:val="pl-PL" w:eastAsia="pl-PL"/>
        </w:rPr>
        <w:t>Wartoś</w:t>
      </w:r>
      <w:r w:rsidR="002E4F16">
        <w:rPr>
          <w:rFonts w:ascii="Arial" w:eastAsia="Times New Roman" w:hAnsi="Arial" w:cs="Arial"/>
          <w:color w:val="000000"/>
          <w:sz w:val="22"/>
          <w:szCs w:val="22"/>
          <w:lang w:val="pl-PL" w:eastAsia="pl-PL"/>
        </w:rPr>
        <w:t>ć</w:t>
      </w:r>
      <w:r w:rsidR="009B6721">
        <w:rPr>
          <w:rFonts w:ascii="Arial" w:eastAsia="Times New Roman" w:hAnsi="Arial" w:cs="Arial"/>
          <w:color w:val="000000"/>
          <w:sz w:val="22"/>
          <w:szCs w:val="22"/>
          <w:lang w:val="pl-PL" w:eastAsia="pl-PL"/>
        </w:rPr>
        <w:t xml:space="preserve"> transakcji został</w:t>
      </w:r>
      <w:r w:rsidR="002E4F16">
        <w:rPr>
          <w:rFonts w:ascii="Arial" w:eastAsia="Times New Roman" w:hAnsi="Arial" w:cs="Arial"/>
          <w:color w:val="000000"/>
          <w:sz w:val="22"/>
          <w:szCs w:val="22"/>
          <w:lang w:val="pl-PL" w:eastAsia="pl-PL"/>
        </w:rPr>
        <w:t>a</w:t>
      </w:r>
      <w:r w:rsidR="009B6721">
        <w:rPr>
          <w:rFonts w:ascii="Arial" w:eastAsia="Times New Roman" w:hAnsi="Arial" w:cs="Arial"/>
          <w:color w:val="000000"/>
          <w:sz w:val="22"/>
          <w:szCs w:val="22"/>
          <w:lang w:val="pl-PL" w:eastAsia="pl-PL"/>
        </w:rPr>
        <w:t xml:space="preserve"> wyceniona na </w:t>
      </w:r>
      <w:r w:rsidR="009B6721" w:rsidRPr="008C000A">
        <w:rPr>
          <w:rFonts w:ascii="Arial" w:eastAsia="Times New Roman" w:hAnsi="Arial" w:cs="Arial"/>
          <w:color w:val="000000"/>
          <w:sz w:val="22"/>
          <w:szCs w:val="22"/>
          <w:lang w:val="pl-PL" w:eastAsia="pl-PL"/>
        </w:rPr>
        <w:t>260 mln euro.</w:t>
      </w:r>
      <w:r w:rsidRPr="001E0200">
        <w:rPr>
          <w:rFonts w:ascii="Arial" w:eastAsia="Times New Roman" w:hAnsi="Arial" w:cs="Arial"/>
          <w:color w:val="000000"/>
          <w:sz w:val="22"/>
          <w:szCs w:val="22"/>
          <w:lang w:val="pl-PL" w:eastAsia="pl-PL"/>
        </w:rPr>
        <w:t xml:space="preserve"> Francuzi byli </w:t>
      </w:r>
      <w:r w:rsidRPr="001E0200">
        <w:rPr>
          <w:rFonts w:ascii="Arial" w:eastAsia="Times New Roman" w:hAnsi="Arial" w:cs="Arial"/>
          <w:color w:val="000000"/>
          <w:sz w:val="22"/>
          <w:szCs w:val="22"/>
          <w:lang w:val="pl-PL" w:eastAsia="pl-PL"/>
        </w:rPr>
        <w:lastRenderedPageBreak/>
        <w:t xml:space="preserve">konsekwentnie aktywni </w:t>
      </w:r>
      <w:r w:rsidR="00A9086E">
        <w:rPr>
          <w:rFonts w:ascii="Arial" w:eastAsia="Times New Roman" w:hAnsi="Arial" w:cs="Arial"/>
          <w:color w:val="000000"/>
          <w:sz w:val="22"/>
          <w:szCs w:val="22"/>
          <w:lang w:val="pl-PL" w:eastAsia="pl-PL"/>
        </w:rPr>
        <w:t>gł</w:t>
      </w:r>
      <w:r w:rsidR="001B655D">
        <w:rPr>
          <w:rFonts w:ascii="Arial" w:eastAsia="Times New Roman" w:hAnsi="Arial" w:cs="Arial"/>
          <w:color w:val="000000"/>
          <w:sz w:val="22"/>
          <w:szCs w:val="22"/>
          <w:lang w:val="pl-PL" w:eastAsia="pl-PL"/>
        </w:rPr>
        <w:t>ó</w:t>
      </w:r>
      <w:r w:rsidR="00A9086E">
        <w:rPr>
          <w:rFonts w:ascii="Arial" w:eastAsia="Times New Roman" w:hAnsi="Arial" w:cs="Arial"/>
          <w:color w:val="000000"/>
          <w:sz w:val="22"/>
          <w:szCs w:val="22"/>
          <w:lang w:val="pl-PL" w:eastAsia="pl-PL"/>
        </w:rPr>
        <w:t>wnie</w:t>
      </w:r>
      <w:r w:rsidRPr="001E0200">
        <w:rPr>
          <w:rFonts w:ascii="Arial" w:eastAsia="Times New Roman" w:hAnsi="Arial" w:cs="Arial"/>
          <w:color w:val="000000"/>
          <w:sz w:val="22"/>
          <w:szCs w:val="22"/>
          <w:lang w:val="pl-PL" w:eastAsia="pl-PL"/>
        </w:rPr>
        <w:t xml:space="preserve"> w segmencie handlowym, gdzie ulokowali </w:t>
      </w:r>
      <w:r w:rsidR="00A43B60">
        <w:rPr>
          <w:rFonts w:ascii="Arial" w:eastAsia="Times New Roman" w:hAnsi="Arial" w:cs="Arial"/>
          <w:color w:val="000000"/>
          <w:sz w:val="22"/>
          <w:szCs w:val="22"/>
          <w:lang w:val="pl-PL" w:eastAsia="pl-PL"/>
        </w:rPr>
        <w:t>około 1,6</w:t>
      </w:r>
      <w:r w:rsidRPr="001E0200">
        <w:rPr>
          <w:rFonts w:ascii="Arial" w:eastAsia="Times New Roman" w:hAnsi="Arial" w:cs="Arial"/>
          <w:color w:val="000000"/>
          <w:sz w:val="22"/>
          <w:szCs w:val="22"/>
          <w:lang w:val="pl-PL" w:eastAsia="pl-PL"/>
        </w:rPr>
        <w:t xml:space="preserve"> ml</w:t>
      </w:r>
      <w:r w:rsidR="00A43B60">
        <w:rPr>
          <w:rFonts w:ascii="Arial" w:eastAsia="Times New Roman" w:hAnsi="Arial" w:cs="Arial"/>
          <w:color w:val="000000"/>
          <w:sz w:val="22"/>
          <w:szCs w:val="22"/>
          <w:lang w:val="pl-PL" w:eastAsia="pl-PL"/>
        </w:rPr>
        <w:t>d</w:t>
      </w:r>
      <w:r w:rsidRPr="001E0200">
        <w:rPr>
          <w:rFonts w:ascii="Arial" w:eastAsia="Times New Roman" w:hAnsi="Arial" w:cs="Arial"/>
          <w:color w:val="000000"/>
          <w:sz w:val="22"/>
          <w:szCs w:val="22"/>
          <w:lang w:val="pl-PL" w:eastAsia="pl-PL"/>
        </w:rPr>
        <w:t xml:space="preserve"> euro. </w:t>
      </w:r>
      <w:r w:rsidRPr="008C000A">
        <w:rPr>
          <w:rFonts w:ascii="Arial" w:eastAsia="Times New Roman" w:hAnsi="Arial" w:cs="Arial"/>
          <w:sz w:val="22"/>
          <w:szCs w:val="22"/>
          <w:lang w:val="pl-PL" w:eastAsia="pl-PL"/>
        </w:rPr>
        <w:t xml:space="preserve">Ciekawym przypadkiem jest kilkukrotnie mniejszy od Polski Izrael. </w:t>
      </w:r>
      <w:r w:rsidR="00A03A7E" w:rsidRPr="008C000A">
        <w:rPr>
          <w:rFonts w:ascii="Arial" w:eastAsia="Times New Roman" w:hAnsi="Arial" w:cs="Arial"/>
          <w:sz w:val="22"/>
          <w:szCs w:val="22"/>
          <w:lang w:val="pl-PL" w:eastAsia="pl-PL"/>
        </w:rPr>
        <w:t>W tym okresie f</w:t>
      </w:r>
      <w:r w:rsidRPr="008C000A">
        <w:rPr>
          <w:rFonts w:ascii="Arial" w:eastAsia="Times New Roman" w:hAnsi="Arial" w:cs="Arial"/>
          <w:sz w:val="22"/>
          <w:szCs w:val="22"/>
          <w:lang w:val="pl-PL" w:eastAsia="pl-PL"/>
        </w:rPr>
        <w:t xml:space="preserve">irmy z tego kraju zainwestowały u nas bezpośrednio </w:t>
      </w:r>
      <w:r w:rsidR="003422F8" w:rsidRPr="008C000A">
        <w:rPr>
          <w:rFonts w:ascii="Arial" w:eastAsia="Times New Roman" w:hAnsi="Arial" w:cs="Arial"/>
          <w:sz w:val="22"/>
          <w:szCs w:val="22"/>
          <w:lang w:val="pl-PL" w:eastAsia="pl-PL"/>
        </w:rPr>
        <w:t>ponad 400</w:t>
      </w:r>
      <w:r w:rsidRPr="008C000A">
        <w:rPr>
          <w:rFonts w:ascii="Arial" w:eastAsia="Times New Roman" w:hAnsi="Arial" w:cs="Arial"/>
          <w:sz w:val="22"/>
          <w:szCs w:val="22"/>
          <w:lang w:val="pl-PL" w:eastAsia="pl-PL"/>
        </w:rPr>
        <w:t xml:space="preserve"> mln euro oraz są udziałowcami w wielu globalnych funduszach aktywnych na polskim rynku</w:t>
      </w:r>
      <w:r w:rsidR="00A03A7E" w:rsidRPr="008C000A">
        <w:rPr>
          <w:rFonts w:ascii="Arial" w:eastAsia="Times New Roman" w:hAnsi="Arial" w:cs="Arial"/>
          <w:sz w:val="22"/>
          <w:szCs w:val="22"/>
          <w:lang w:val="pl-PL" w:eastAsia="pl-PL"/>
        </w:rPr>
        <w:t>. W późniejszych latach na szczególną uwagę zasługuje Atrium</w:t>
      </w:r>
      <w:r w:rsidR="004C2B43">
        <w:rPr>
          <w:rFonts w:ascii="Arial" w:eastAsia="Times New Roman" w:hAnsi="Arial" w:cs="Arial"/>
          <w:sz w:val="22"/>
          <w:szCs w:val="22"/>
          <w:lang w:val="pl-PL" w:eastAsia="pl-PL"/>
        </w:rPr>
        <w:t xml:space="preserve"> European Real Estate</w:t>
      </w:r>
      <w:r w:rsidR="00A03A7E" w:rsidRPr="008C000A">
        <w:rPr>
          <w:rFonts w:ascii="Arial" w:eastAsia="Times New Roman" w:hAnsi="Arial" w:cs="Arial"/>
          <w:sz w:val="22"/>
          <w:szCs w:val="22"/>
          <w:lang w:val="pl-PL" w:eastAsia="pl-PL"/>
        </w:rPr>
        <w:t>, które</w:t>
      </w:r>
      <w:r w:rsidR="003D530C">
        <w:rPr>
          <w:rFonts w:ascii="Arial" w:eastAsia="Times New Roman" w:hAnsi="Arial" w:cs="Arial"/>
          <w:sz w:val="22"/>
          <w:szCs w:val="22"/>
          <w:lang w:val="pl-PL" w:eastAsia="pl-PL"/>
        </w:rPr>
        <w:t>,</w:t>
      </w:r>
      <w:r w:rsidR="00A03A7E" w:rsidRPr="008C000A">
        <w:rPr>
          <w:rFonts w:ascii="Arial" w:eastAsia="Times New Roman" w:hAnsi="Arial" w:cs="Arial"/>
          <w:sz w:val="22"/>
          <w:szCs w:val="22"/>
          <w:lang w:val="pl-PL" w:eastAsia="pl-PL"/>
        </w:rPr>
        <w:t xml:space="preserve"> obok inwestycji deweloperskich na przestrzeni ostatnich 10 lat</w:t>
      </w:r>
      <w:r w:rsidR="003D530C">
        <w:rPr>
          <w:rFonts w:ascii="Arial" w:eastAsia="Times New Roman" w:hAnsi="Arial" w:cs="Arial"/>
          <w:sz w:val="22"/>
          <w:szCs w:val="22"/>
          <w:lang w:val="pl-PL" w:eastAsia="pl-PL"/>
        </w:rPr>
        <w:t>,</w:t>
      </w:r>
      <w:r w:rsidR="00A03A7E" w:rsidRPr="008C000A">
        <w:rPr>
          <w:rFonts w:ascii="Arial" w:eastAsia="Times New Roman" w:hAnsi="Arial" w:cs="Arial"/>
          <w:sz w:val="22"/>
          <w:szCs w:val="22"/>
          <w:lang w:val="pl-PL" w:eastAsia="pl-PL"/>
        </w:rPr>
        <w:t xml:space="preserve"> zainwestowało ponad 900 mln euro w zakup m.in. w takich obiektów jak Promenada</w:t>
      </w:r>
      <w:r w:rsidR="004F77C8" w:rsidRPr="008C000A">
        <w:rPr>
          <w:rFonts w:ascii="Arial" w:eastAsia="Times New Roman" w:hAnsi="Arial" w:cs="Arial"/>
          <w:sz w:val="22"/>
          <w:szCs w:val="22"/>
          <w:lang w:val="pl-PL" w:eastAsia="pl-PL"/>
        </w:rPr>
        <w:t xml:space="preserve"> w Warszawie</w:t>
      </w:r>
      <w:r w:rsidR="00A03A7E" w:rsidRPr="008C000A">
        <w:rPr>
          <w:rFonts w:ascii="Arial" w:eastAsia="Times New Roman" w:hAnsi="Arial" w:cs="Arial"/>
          <w:sz w:val="22"/>
          <w:szCs w:val="22"/>
          <w:lang w:val="pl-PL" w:eastAsia="pl-PL"/>
        </w:rPr>
        <w:t>, Galer</w:t>
      </w:r>
      <w:r w:rsidR="00EF4556">
        <w:rPr>
          <w:rFonts w:ascii="Arial" w:eastAsia="Times New Roman" w:hAnsi="Arial" w:cs="Arial"/>
          <w:sz w:val="22"/>
          <w:szCs w:val="22"/>
          <w:lang w:val="pl-PL" w:eastAsia="pl-PL"/>
        </w:rPr>
        <w:t>ia</w:t>
      </w:r>
      <w:r w:rsidR="005D1EE1">
        <w:rPr>
          <w:rFonts w:ascii="Arial" w:eastAsia="Times New Roman" w:hAnsi="Arial" w:cs="Arial"/>
          <w:sz w:val="22"/>
          <w:szCs w:val="22"/>
          <w:lang w:val="pl-PL" w:eastAsia="pl-PL"/>
        </w:rPr>
        <w:t xml:space="preserve"> </w:t>
      </w:r>
      <w:r w:rsidR="00A03A7E" w:rsidRPr="008C000A">
        <w:rPr>
          <w:rFonts w:ascii="Arial" w:eastAsia="Times New Roman" w:hAnsi="Arial" w:cs="Arial"/>
          <w:sz w:val="22"/>
          <w:szCs w:val="22"/>
          <w:lang w:val="pl-PL" w:eastAsia="pl-PL"/>
        </w:rPr>
        <w:t>Dominikańsk</w:t>
      </w:r>
      <w:r w:rsidR="00EF4556">
        <w:rPr>
          <w:rFonts w:ascii="Arial" w:eastAsia="Times New Roman" w:hAnsi="Arial" w:cs="Arial"/>
          <w:sz w:val="22"/>
          <w:szCs w:val="22"/>
          <w:lang w:val="pl-PL" w:eastAsia="pl-PL"/>
        </w:rPr>
        <w:t>a</w:t>
      </w:r>
      <w:r w:rsidR="004F77C8" w:rsidRPr="008C000A">
        <w:rPr>
          <w:rFonts w:ascii="Arial" w:eastAsia="Times New Roman" w:hAnsi="Arial" w:cs="Arial"/>
          <w:sz w:val="22"/>
          <w:szCs w:val="22"/>
          <w:lang w:val="pl-PL" w:eastAsia="pl-PL"/>
        </w:rPr>
        <w:t xml:space="preserve"> we Wrocławiu</w:t>
      </w:r>
      <w:r w:rsidR="00A03A7E" w:rsidRPr="008C000A">
        <w:rPr>
          <w:rFonts w:ascii="Arial" w:eastAsia="Times New Roman" w:hAnsi="Arial" w:cs="Arial"/>
          <w:sz w:val="22"/>
          <w:szCs w:val="22"/>
          <w:lang w:val="pl-PL" w:eastAsia="pl-PL"/>
        </w:rPr>
        <w:t xml:space="preserve">, Focus Mall w Bydgoszczy czy </w:t>
      </w:r>
      <w:r w:rsidR="005D1EE1">
        <w:rPr>
          <w:rFonts w:ascii="Arial" w:eastAsia="Times New Roman" w:hAnsi="Arial" w:cs="Arial"/>
          <w:sz w:val="22"/>
          <w:szCs w:val="22"/>
          <w:lang w:val="pl-PL" w:eastAsia="pl-PL"/>
        </w:rPr>
        <w:t xml:space="preserve">Domy Towarowe </w:t>
      </w:r>
      <w:r w:rsidR="00A03A7E" w:rsidRPr="008C000A">
        <w:rPr>
          <w:rFonts w:ascii="Arial" w:eastAsia="Times New Roman" w:hAnsi="Arial" w:cs="Arial"/>
          <w:sz w:val="22"/>
          <w:szCs w:val="22"/>
          <w:lang w:val="pl-PL" w:eastAsia="pl-PL"/>
        </w:rPr>
        <w:t>Wars Sawa Junior</w:t>
      </w:r>
      <w:r w:rsidR="004F77C8" w:rsidRPr="008C000A">
        <w:rPr>
          <w:rFonts w:ascii="Arial" w:eastAsia="Times New Roman" w:hAnsi="Arial" w:cs="Arial"/>
          <w:sz w:val="22"/>
          <w:szCs w:val="22"/>
          <w:lang w:val="pl-PL" w:eastAsia="pl-PL"/>
        </w:rPr>
        <w:t xml:space="preserve"> w Warszawie</w:t>
      </w:r>
      <w:r w:rsidR="00A03A7E" w:rsidRPr="008C000A">
        <w:rPr>
          <w:rFonts w:ascii="Arial" w:eastAsia="Times New Roman" w:hAnsi="Arial" w:cs="Arial"/>
          <w:sz w:val="22"/>
          <w:szCs w:val="22"/>
          <w:lang w:val="pl-PL" w:eastAsia="pl-PL"/>
        </w:rPr>
        <w:t>.</w:t>
      </w:r>
      <w:r w:rsidR="0075558E" w:rsidRPr="008C000A">
        <w:rPr>
          <w:rFonts w:ascii="Arial" w:eastAsia="Times New Roman" w:hAnsi="Arial" w:cs="Arial"/>
          <w:sz w:val="22"/>
          <w:szCs w:val="22"/>
          <w:lang w:val="pl-PL" w:eastAsia="pl-PL"/>
        </w:rPr>
        <w:t xml:space="preserve"> </w:t>
      </w:r>
      <w:r w:rsidRPr="001E0200">
        <w:rPr>
          <w:rFonts w:ascii="Arial" w:eastAsia="Times New Roman" w:hAnsi="Arial" w:cs="Arial"/>
          <w:color w:val="000000"/>
          <w:sz w:val="22"/>
          <w:szCs w:val="22"/>
          <w:lang w:val="pl-PL" w:eastAsia="pl-PL"/>
        </w:rPr>
        <w:t xml:space="preserve">Interesujący epizod w latach 2003-2012 zaliczyli również Australijczycy, którzy wyeksportowali do nas ponad </w:t>
      </w:r>
      <w:r w:rsidRPr="008C000A">
        <w:rPr>
          <w:rFonts w:ascii="Arial" w:eastAsia="Times New Roman" w:hAnsi="Arial" w:cs="Arial"/>
          <w:color w:val="000000"/>
          <w:sz w:val="22"/>
          <w:szCs w:val="22"/>
          <w:lang w:val="pl-PL" w:eastAsia="pl-PL"/>
        </w:rPr>
        <w:t>800 mln euro</w:t>
      </w:r>
      <w:r w:rsidRPr="001E0200">
        <w:rPr>
          <w:rFonts w:ascii="Arial" w:eastAsia="Times New Roman" w:hAnsi="Arial" w:cs="Arial"/>
          <w:color w:val="000000"/>
          <w:sz w:val="22"/>
          <w:szCs w:val="22"/>
          <w:lang w:val="pl-PL" w:eastAsia="pl-PL"/>
        </w:rPr>
        <w:t>.</w:t>
      </w:r>
    </w:p>
    <w:bookmarkEnd w:id="2"/>
    <w:p w14:paraId="581084ED" w14:textId="12E7C53A" w:rsidR="001E0200" w:rsidRPr="001E0200" w:rsidRDefault="001E0200" w:rsidP="001E0200">
      <w:pPr>
        <w:spacing w:before="100" w:beforeAutospacing="1" w:after="100" w:afterAutospacing="1"/>
        <w:ind w:left="-567" w:right="-336"/>
        <w:rPr>
          <w:rFonts w:ascii="Arial" w:eastAsia="Times New Roman" w:hAnsi="Arial" w:cs="Arial"/>
          <w:b/>
          <w:color w:val="000000"/>
          <w:sz w:val="22"/>
          <w:szCs w:val="22"/>
          <w:lang w:val="pl-PL" w:eastAsia="pl-PL"/>
        </w:rPr>
      </w:pPr>
      <w:r w:rsidRPr="001E0200">
        <w:rPr>
          <w:rFonts w:ascii="Arial" w:eastAsia="Times New Roman" w:hAnsi="Arial" w:cs="Arial"/>
          <w:b/>
          <w:color w:val="000000"/>
          <w:sz w:val="22"/>
          <w:szCs w:val="22"/>
          <w:lang w:val="pl-PL" w:eastAsia="pl-PL"/>
        </w:rPr>
        <w:t>Niemcy postawili na biura</w:t>
      </w:r>
      <w:r>
        <w:rPr>
          <w:rFonts w:ascii="Arial" w:eastAsia="Times New Roman" w:hAnsi="Arial" w:cs="Arial"/>
          <w:b/>
          <w:color w:val="000000"/>
          <w:sz w:val="22"/>
          <w:szCs w:val="22"/>
          <w:lang w:val="pl-PL" w:eastAsia="pl-PL"/>
        </w:rPr>
        <w:br/>
      </w:r>
      <w:r w:rsidRPr="001E0200">
        <w:rPr>
          <w:rFonts w:ascii="Arial" w:eastAsia="Times New Roman" w:hAnsi="Arial" w:cs="Arial"/>
          <w:color w:val="000000"/>
          <w:sz w:val="22"/>
          <w:szCs w:val="22"/>
          <w:lang w:val="pl-PL" w:eastAsia="pl-PL"/>
        </w:rPr>
        <w:t>W segmencie biurowym wyraźna jest historyczna dominacja kapitału europejskiego z Niemcami na zdecydowanym prowadzeniu (główni inwestorzy to fundusze: DWS, DEKA, Invesco)</w:t>
      </w:r>
      <w:r w:rsidR="008D4F56">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w:t>
      </w:r>
    </w:p>
    <w:p w14:paraId="0CC84F64" w14:textId="07EC2CF5" w:rsidR="001E0200" w:rsidRPr="00980563" w:rsidRDefault="001E0200" w:rsidP="001E0200">
      <w:pPr>
        <w:spacing w:before="100" w:beforeAutospacing="1" w:after="100" w:afterAutospacing="1"/>
        <w:ind w:left="-567" w:right="-336"/>
        <w:rPr>
          <w:rFonts w:ascii="Arial" w:eastAsia="Times New Roman" w:hAnsi="Arial" w:cs="Arial"/>
          <w:b/>
          <w:bCs/>
          <w:color w:val="000000"/>
          <w:sz w:val="22"/>
          <w:szCs w:val="22"/>
          <w:lang w:val="pl-PL" w:eastAsia="pl-PL"/>
        </w:rPr>
      </w:pPr>
      <w:r w:rsidRPr="001E0200">
        <w:rPr>
          <w:rFonts w:ascii="Arial" w:eastAsia="Times New Roman" w:hAnsi="Arial" w:cs="Arial"/>
          <w:color w:val="000000"/>
          <w:sz w:val="22"/>
          <w:szCs w:val="22"/>
          <w:lang w:val="pl-PL" w:eastAsia="pl-PL"/>
        </w:rPr>
        <w:t xml:space="preserve">„Naturalnym kierunkiem ekspansji była początkowo Warszawa, ale od 2014 roku </w:t>
      </w:r>
      <w:r w:rsidR="00426D1E">
        <w:rPr>
          <w:rFonts w:ascii="Arial" w:eastAsia="Times New Roman" w:hAnsi="Arial" w:cs="Arial"/>
          <w:color w:val="000000"/>
          <w:sz w:val="22"/>
          <w:szCs w:val="22"/>
          <w:lang w:val="pl-PL" w:eastAsia="pl-PL"/>
        </w:rPr>
        <w:t xml:space="preserve">wyraźnie </w:t>
      </w:r>
      <w:r w:rsidR="006E6F3A">
        <w:rPr>
          <w:rFonts w:ascii="Arial" w:eastAsia="Times New Roman" w:hAnsi="Arial" w:cs="Arial"/>
          <w:color w:val="000000"/>
          <w:sz w:val="22"/>
          <w:szCs w:val="22"/>
          <w:lang w:val="pl-PL" w:eastAsia="pl-PL"/>
        </w:rPr>
        <w:t>wzrastało</w:t>
      </w:r>
      <w:r w:rsidRPr="001E0200">
        <w:rPr>
          <w:rFonts w:ascii="Arial" w:eastAsia="Times New Roman" w:hAnsi="Arial" w:cs="Arial"/>
          <w:color w:val="000000"/>
          <w:sz w:val="22"/>
          <w:szCs w:val="22"/>
          <w:lang w:val="pl-PL" w:eastAsia="pl-PL"/>
        </w:rPr>
        <w:t xml:space="preserve"> zainteresowanie aktywami biurowymi położonymi </w:t>
      </w:r>
      <w:r w:rsidRPr="00980563">
        <w:rPr>
          <w:rFonts w:ascii="Arial" w:eastAsia="Times New Roman" w:hAnsi="Arial" w:cs="Arial"/>
          <w:color w:val="000000"/>
          <w:sz w:val="22"/>
          <w:szCs w:val="22"/>
          <w:lang w:val="pl-PL" w:eastAsia="pl-PL"/>
        </w:rPr>
        <w:t>również</w:t>
      </w:r>
      <w:r w:rsidRPr="001E0200">
        <w:rPr>
          <w:rFonts w:ascii="Arial" w:eastAsia="Times New Roman" w:hAnsi="Arial" w:cs="Arial"/>
          <w:color w:val="000000"/>
          <w:sz w:val="22"/>
          <w:szCs w:val="22"/>
          <w:lang w:val="pl-PL" w:eastAsia="pl-PL"/>
        </w:rPr>
        <w:t xml:space="preserve"> w miastach regionalnych, a głównie w Krakowie i we Wrocławiu. To efekt szybkiego rozwoju sektora usług dla biznesu w Polsce, a w konsekwencji pojawienia się w regionach nowoczesnych obiektów biurowych wynajętych przez międzynarodowe firmy”, tłumaczy </w:t>
      </w:r>
      <w:r w:rsidRPr="00980563">
        <w:rPr>
          <w:rFonts w:ascii="Arial" w:eastAsia="Times New Roman" w:hAnsi="Arial" w:cs="Arial"/>
          <w:b/>
          <w:bCs/>
          <w:color w:val="000000"/>
          <w:sz w:val="22"/>
          <w:szCs w:val="22"/>
          <w:lang w:val="pl-PL" w:eastAsia="pl-PL"/>
        </w:rPr>
        <w:t xml:space="preserve">Agata Sekuła. </w:t>
      </w:r>
    </w:p>
    <w:p w14:paraId="70510207" w14:textId="235BD4EA" w:rsidR="001E0200" w:rsidRPr="001E0200" w:rsidRDefault="001E0200" w:rsidP="001E0200">
      <w:pPr>
        <w:spacing w:before="100" w:beforeAutospacing="1" w:after="100" w:afterAutospacing="1"/>
        <w:ind w:left="-567" w:right="-336"/>
        <w:rPr>
          <w:rFonts w:ascii="Arial" w:eastAsia="Times New Roman" w:hAnsi="Arial" w:cs="Arial"/>
          <w:b/>
          <w:color w:val="000000"/>
          <w:sz w:val="22"/>
          <w:szCs w:val="22"/>
          <w:lang w:val="pl-PL" w:eastAsia="pl-PL"/>
        </w:rPr>
      </w:pPr>
      <w:r w:rsidRPr="001E0200">
        <w:rPr>
          <w:rFonts w:ascii="Arial" w:eastAsia="Times New Roman" w:hAnsi="Arial" w:cs="Arial"/>
          <w:b/>
          <w:color w:val="000000"/>
          <w:sz w:val="22"/>
          <w:szCs w:val="22"/>
          <w:lang w:val="pl-PL" w:eastAsia="pl-PL"/>
        </w:rPr>
        <w:t>...</w:t>
      </w:r>
      <w:r w:rsidR="000F1137">
        <w:rPr>
          <w:rFonts w:ascii="Arial" w:eastAsia="Times New Roman" w:hAnsi="Arial" w:cs="Arial"/>
          <w:b/>
          <w:color w:val="000000"/>
          <w:sz w:val="22"/>
          <w:szCs w:val="22"/>
          <w:lang w:val="pl-PL" w:eastAsia="pl-PL"/>
        </w:rPr>
        <w:t xml:space="preserve"> </w:t>
      </w:r>
      <w:r w:rsidRPr="001E0200">
        <w:rPr>
          <w:rFonts w:ascii="Arial" w:eastAsia="Times New Roman" w:hAnsi="Arial" w:cs="Arial"/>
          <w:b/>
          <w:color w:val="000000"/>
          <w:sz w:val="22"/>
          <w:szCs w:val="22"/>
          <w:lang w:val="pl-PL" w:eastAsia="pl-PL"/>
        </w:rPr>
        <w:t>A R</w:t>
      </w:r>
      <w:r w:rsidR="00C23855">
        <w:rPr>
          <w:rFonts w:ascii="Arial" w:eastAsia="Times New Roman" w:hAnsi="Arial" w:cs="Arial"/>
          <w:b/>
          <w:color w:val="000000"/>
          <w:sz w:val="22"/>
          <w:szCs w:val="22"/>
          <w:lang w:val="pl-PL" w:eastAsia="pl-PL"/>
        </w:rPr>
        <w:t xml:space="preserve">epublika Południowej Afryki </w:t>
      </w:r>
      <w:r w:rsidRPr="001E0200">
        <w:rPr>
          <w:rFonts w:ascii="Arial" w:eastAsia="Times New Roman" w:hAnsi="Arial" w:cs="Arial"/>
          <w:b/>
          <w:color w:val="000000"/>
          <w:sz w:val="22"/>
          <w:szCs w:val="22"/>
          <w:lang w:val="pl-PL" w:eastAsia="pl-PL"/>
        </w:rPr>
        <w:t>polubiła obiekty handlowe</w:t>
      </w:r>
      <w:r>
        <w:rPr>
          <w:rFonts w:ascii="Arial" w:eastAsia="Times New Roman" w:hAnsi="Arial" w:cs="Arial"/>
          <w:b/>
          <w:color w:val="000000"/>
          <w:sz w:val="22"/>
          <w:szCs w:val="22"/>
          <w:lang w:val="pl-PL" w:eastAsia="pl-PL"/>
        </w:rPr>
        <w:br/>
      </w:r>
      <w:r w:rsidRPr="001E0200">
        <w:rPr>
          <w:rFonts w:ascii="Arial" w:eastAsia="Times New Roman" w:hAnsi="Arial" w:cs="Arial"/>
          <w:color w:val="000000"/>
          <w:sz w:val="22"/>
          <w:szCs w:val="22"/>
          <w:lang w:val="pl-PL" w:eastAsia="pl-PL"/>
        </w:rPr>
        <w:t>Jeśli chodzi o centra handlowe</w:t>
      </w:r>
      <w:r w:rsidR="008943C7">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to tu, w latach 2013-2017, największymi inwestorami były firmy z Republiki Południowej Afryki. Pojawienie się tak egzotycznego i odległego kapitału było największym przełomem i nowością na rynku. Fundusze południowoafrykańskie zainwestowały w Polsce </w:t>
      </w:r>
      <w:r w:rsidR="00426D1E">
        <w:rPr>
          <w:rFonts w:ascii="Arial" w:eastAsia="Times New Roman" w:hAnsi="Arial" w:cs="Arial"/>
          <w:color w:val="000000"/>
          <w:sz w:val="22"/>
          <w:szCs w:val="22"/>
          <w:lang w:val="pl-PL" w:eastAsia="pl-PL"/>
        </w:rPr>
        <w:t xml:space="preserve">w tym </w:t>
      </w:r>
      <w:r w:rsidR="00D73548">
        <w:rPr>
          <w:rFonts w:ascii="Arial" w:eastAsia="Times New Roman" w:hAnsi="Arial" w:cs="Arial"/>
          <w:color w:val="000000"/>
          <w:sz w:val="22"/>
          <w:szCs w:val="22"/>
          <w:lang w:val="pl-PL" w:eastAsia="pl-PL"/>
        </w:rPr>
        <w:t>czasie</w:t>
      </w:r>
      <w:r w:rsidR="00426D1E">
        <w:rPr>
          <w:rFonts w:ascii="Arial" w:eastAsia="Times New Roman" w:hAnsi="Arial" w:cs="Arial"/>
          <w:color w:val="000000"/>
          <w:sz w:val="22"/>
          <w:szCs w:val="22"/>
          <w:lang w:val="pl-PL" w:eastAsia="pl-PL"/>
        </w:rPr>
        <w:t xml:space="preserve"> </w:t>
      </w:r>
      <w:r w:rsidRPr="001E0200">
        <w:rPr>
          <w:rFonts w:ascii="Arial" w:eastAsia="Times New Roman" w:hAnsi="Arial" w:cs="Arial"/>
          <w:color w:val="000000"/>
          <w:sz w:val="22"/>
          <w:szCs w:val="22"/>
          <w:lang w:val="pl-PL" w:eastAsia="pl-PL"/>
        </w:rPr>
        <w:t xml:space="preserve">ponad </w:t>
      </w:r>
      <w:r w:rsidRPr="00C37801">
        <w:rPr>
          <w:rFonts w:ascii="Arial" w:eastAsia="Times New Roman" w:hAnsi="Arial" w:cs="Arial"/>
          <w:color w:val="000000"/>
          <w:sz w:val="22"/>
          <w:szCs w:val="22"/>
          <w:lang w:val="pl-PL" w:eastAsia="pl-PL"/>
        </w:rPr>
        <w:t>2,15 mld euro</w:t>
      </w:r>
      <w:r w:rsidRPr="001E0200">
        <w:rPr>
          <w:rFonts w:ascii="Arial" w:eastAsia="Times New Roman" w:hAnsi="Arial" w:cs="Arial"/>
          <w:color w:val="000000"/>
          <w:sz w:val="22"/>
          <w:szCs w:val="22"/>
          <w:lang w:val="pl-PL" w:eastAsia="pl-PL"/>
        </w:rPr>
        <w:t xml:space="preserve"> i historycznie stanowią czwarte największe źródło inwestycji w sektorze handlowym, mimo że pierwszych transakcji na polskim rynku dokonały dopiero w 2015 roku. </w:t>
      </w:r>
    </w:p>
    <w:p w14:paraId="6EC7AE77" w14:textId="07072D08" w:rsidR="001E0200" w:rsidRPr="001E0200" w:rsidRDefault="001E0200" w:rsidP="001E0200">
      <w:pPr>
        <w:spacing w:before="100" w:beforeAutospacing="1" w:after="100" w:afterAutospacing="1"/>
        <w:ind w:left="-567" w:right="-336"/>
        <w:rPr>
          <w:rFonts w:ascii="Arial" w:eastAsia="Times New Roman" w:hAnsi="Arial" w:cs="Arial"/>
          <w:b/>
          <w:bCs/>
          <w:color w:val="000000"/>
          <w:sz w:val="22"/>
          <w:szCs w:val="22"/>
          <w:lang w:val="pl-PL" w:eastAsia="pl-PL"/>
        </w:rPr>
      </w:pPr>
      <w:r w:rsidRPr="001E0200">
        <w:rPr>
          <w:rFonts w:ascii="Arial" w:eastAsia="Times New Roman" w:hAnsi="Arial" w:cs="Arial"/>
          <w:color w:val="000000"/>
          <w:sz w:val="22"/>
          <w:szCs w:val="22"/>
          <w:lang w:val="pl-PL" w:eastAsia="pl-PL"/>
        </w:rPr>
        <w:t xml:space="preserve">„Jednym z powodów zainteresowania Polską ze strony RPA był spadek wartości lokalnej waluty. Inwestorzy szukali więc rynku, gdzie </w:t>
      </w:r>
      <w:r w:rsidR="00B91AC4">
        <w:rPr>
          <w:rFonts w:ascii="Arial" w:eastAsia="Times New Roman" w:hAnsi="Arial" w:cs="Arial"/>
          <w:color w:val="000000"/>
          <w:sz w:val="22"/>
          <w:szCs w:val="22"/>
          <w:lang w:val="pl-PL" w:eastAsia="pl-PL"/>
        </w:rPr>
        <w:t xml:space="preserve">czynsze generowane przez </w:t>
      </w:r>
      <w:r w:rsidRPr="001E0200">
        <w:rPr>
          <w:rFonts w:ascii="Arial" w:eastAsia="Times New Roman" w:hAnsi="Arial" w:cs="Arial"/>
          <w:color w:val="000000"/>
          <w:sz w:val="22"/>
          <w:szCs w:val="22"/>
          <w:lang w:val="pl-PL" w:eastAsia="pl-PL"/>
        </w:rPr>
        <w:t>nieruchomości będ</w:t>
      </w:r>
      <w:r w:rsidR="00585900">
        <w:rPr>
          <w:rFonts w:ascii="Arial" w:eastAsia="Times New Roman" w:hAnsi="Arial" w:cs="Arial"/>
          <w:color w:val="000000"/>
          <w:sz w:val="22"/>
          <w:szCs w:val="22"/>
          <w:lang w:val="pl-PL" w:eastAsia="pl-PL"/>
        </w:rPr>
        <w:t>ą</w:t>
      </w:r>
      <w:r w:rsidRPr="001E0200">
        <w:rPr>
          <w:rFonts w:ascii="Arial" w:eastAsia="Times New Roman" w:hAnsi="Arial" w:cs="Arial"/>
          <w:color w:val="000000"/>
          <w:sz w:val="22"/>
          <w:szCs w:val="22"/>
          <w:lang w:val="pl-PL" w:eastAsia="pl-PL"/>
        </w:rPr>
        <w:t xml:space="preserve"> </w:t>
      </w:r>
      <w:r w:rsidR="00585900">
        <w:rPr>
          <w:rFonts w:ascii="Arial" w:eastAsia="Times New Roman" w:hAnsi="Arial" w:cs="Arial"/>
          <w:color w:val="000000"/>
          <w:sz w:val="22"/>
          <w:szCs w:val="22"/>
          <w:lang w:val="pl-PL" w:eastAsia="pl-PL"/>
        </w:rPr>
        <w:t xml:space="preserve">denominowane </w:t>
      </w:r>
      <w:r w:rsidR="00426D1E">
        <w:rPr>
          <w:rFonts w:ascii="Arial" w:eastAsia="Times New Roman" w:hAnsi="Arial" w:cs="Arial"/>
          <w:color w:val="000000"/>
          <w:sz w:val="22"/>
          <w:szCs w:val="22"/>
          <w:lang w:val="pl-PL" w:eastAsia="pl-PL"/>
        </w:rPr>
        <w:t>w</w:t>
      </w:r>
      <w:r w:rsidRPr="001E0200">
        <w:rPr>
          <w:rFonts w:ascii="Arial" w:eastAsia="Times New Roman" w:hAnsi="Arial" w:cs="Arial"/>
          <w:color w:val="000000"/>
          <w:sz w:val="22"/>
          <w:szCs w:val="22"/>
          <w:lang w:val="pl-PL" w:eastAsia="pl-PL"/>
        </w:rPr>
        <w:t xml:space="preserve"> euro, a polski sektor nieruchomości osiągnął już wtedy skalę i dojrzałość, która przyciągała uwagę największych globalnych funduszy. Ta sama strefa czasowa, mimo tysięcy kilometrów odległości, bardzo ułatwia współpracę i kontakty pomiędzy oboma krajami”, dodaje </w:t>
      </w:r>
      <w:r w:rsidRPr="001E0200">
        <w:rPr>
          <w:rFonts w:ascii="Arial" w:eastAsia="Times New Roman" w:hAnsi="Arial" w:cs="Arial"/>
          <w:b/>
          <w:bCs/>
          <w:color w:val="000000"/>
          <w:sz w:val="22"/>
          <w:szCs w:val="22"/>
          <w:lang w:val="pl-PL" w:eastAsia="pl-PL"/>
        </w:rPr>
        <w:t>Agata Sekuła.</w:t>
      </w:r>
    </w:p>
    <w:p w14:paraId="7D7D0908" w14:textId="467A71DF"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r w:rsidRPr="001E0200">
        <w:rPr>
          <w:rFonts w:ascii="Arial" w:eastAsia="Times New Roman" w:hAnsi="Arial" w:cs="Arial"/>
          <w:color w:val="000000"/>
          <w:sz w:val="22"/>
          <w:szCs w:val="22"/>
          <w:lang w:val="pl-PL" w:eastAsia="pl-PL"/>
        </w:rPr>
        <w:t xml:space="preserve">Pierwszym europejskim rynkiem, gdzie inwestorzy z RPA </w:t>
      </w:r>
      <w:r w:rsidR="00FD3E91">
        <w:rPr>
          <w:rFonts w:ascii="Arial" w:eastAsia="Times New Roman" w:hAnsi="Arial" w:cs="Arial"/>
          <w:color w:val="000000"/>
          <w:sz w:val="22"/>
          <w:szCs w:val="22"/>
          <w:lang w:val="pl-PL" w:eastAsia="pl-PL"/>
        </w:rPr>
        <w:t>zainwestowali</w:t>
      </w:r>
      <w:r w:rsidR="008943C7">
        <w:rPr>
          <w:rFonts w:ascii="Arial" w:eastAsia="Times New Roman" w:hAnsi="Arial" w:cs="Arial"/>
          <w:color w:val="000000"/>
          <w:sz w:val="22"/>
          <w:szCs w:val="22"/>
          <w:lang w:val="pl-PL" w:eastAsia="pl-PL"/>
        </w:rPr>
        <w:t>,</w:t>
      </w:r>
      <w:r w:rsidR="00FD3E91">
        <w:rPr>
          <w:rFonts w:ascii="Arial" w:eastAsia="Times New Roman" w:hAnsi="Arial" w:cs="Arial"/>
          <w:color w:val="000000"/>
          <w:sz w:val="22"/>
          <w:szCs w:val="22"/>
          <w:lang w:val="pl-PL" w:eastAsia="pl-PL"/>
        </w:rPr>
        <w:t xml:space="preserve"> </w:t>
      </w:r>
      <w:r w:rsidRPr="001E0200">
        <w:rPr>
          <w:rFonts w:ascii="Arial" w:eastAsia="Times New Roman" w:hAnsi="Arial" w:cs="Arial"/>
          <w:color w:val="000000"/>
          <w:sz w:val="22"/>
          <w:szCs w:val="22"/>
          <w:lang w:val="pl-PL" w:eastAsia="pl-PL"/>
        </w:rPr>
        <w:t xml:space="preserve">była Rumunia. </w:t>
      </w:r>
    </w:p>
    <w:p w14:paraId="40D07736" w14:textId="148B19A4" w:rsidR="001E0200" w:rsidRPr="001E0200" w:rsidRDefault="001E0200" w:rsidP="001E0200">
      <w:pPr>
        <w:spacing w:before="100" w:beforeAutospacing="1" w:after="100" w:afterAutospacing="1"/>
        <w:ind w:left="-567" w:right="-336"/>
        <w:rPr>
          <w:rFonts w:ascii="Arial" w:eastAsia="Times New Roman" w:hAnsi="Arial" w:cs="Arial"/>
          <w:b/>
          <w:bCs/>
          <w:color w:val="000000"/>
          <w:sz w:val="22"/>
          <w:szCs w:val="22"/>
          <w:lang w:val="pl-PL" w:eastAsia="pl-PL"/>
        </w:rPr>
      </w:pPr>
      <w:r w:rsidRPr="00784480">
        <w:rPr>
          <w:rFonts w:ascii="Arial" w:eastAsia="Times New Roman" w:hAnsi="Arial" w:cs="Arial"/>
          <w:color w:val="000000"/>
          <w:sz w:val="22"/>
          <w:szCs w:val="22"/>
          <w:lang w:val="pl-PL" w:eastAsia="pl-PL"/>
        </w:rPr>
        <w:t xml:space="preserve">„Fundusz NEPI zaczął budować swoje rumuńskie portfolio w </w:t>
      </w:r>
      <w:r w:rsidRPr="00784480">
        <w:rPr>
          <w:rFonts w:ascii="Arial" w:eastAsia="Times New Roman" w:hAnsi="Arial" w:cs="Arial"/>
          <w:sz w:val="22"/>
          <w:szCs w:val="22"/>
          <w:lang w:val="pl-PL" w:eastAsia="pl-PL"/>
        </w:rPr>
        <w:t>20</w:t>
      </w:r>
      <w:r w:rsidR="00D73548" w:rsidRPr="00784480">
        <w:rPr>
          <w:rFonts w:ascii="Arial" w:eastAsia="Times New Roman" w:hAnsi="Arial" w:cs="Arial"/>
          <w:sz w:val="22"/>
          <w:szCs w:val="22"/>
          <w:lang w:val="pl-PL" w:eastAsia="pl-PL"/>
        </w:rPr>
        <w:t>09</w:t>
      </w:r>
      <w:r w:rsidRPr="00784480">
        <w:rPr>
          <w:rFonts w:ascii="Arial" w:eastAsia="Times New Roman" w:hAnsi="Arial" w:cs="Arial"/>
          <w:sz w:val="22"/>
          <w:szCs w:val="22"/>
          <w:lang w:val="pl-PL" w:eastAsia="pl-PL"/>
        </w:rPr>
        <w:t xml:space="preserve"> r</w:t>
      </w:r>
      <w:r w:rsidRPr="00784480">
        <w:rPr>
          <w:rFonts w:ascii="Arial" w:eastAsia="Times New Roman" w:hAnsi="Arial" w:cs="Arial"/>
          <w:color w:val="000000"/>
          <w:sz w:val="22"/>
          <w:szCs w:val="22"/>
          <w:lang w:val="pl-PL" w:eastAsia="pl-PL"/>
        </w:rPr>
        <w:t xml:space="preserve">oku. Wkrótce wartość ich akcji była wyceniana powyżej wartości portfela, co jest niespotykane w tym sektorze. </w:t>
      </w:r>
      <w:r w:rsidR="00164BF7" w:rsidRPr="00784480">
        <w:rPr>
          <w:rFonts w:ascii="Arial" w:eastAsia="Times New Roman" w:hAnsi="Arial" w:cs="Arial"/>
          <w:color w:val="000000"/>
          <w:sz w:val="22"/>
          <w:szCs w:val="22"/>
          <w:lang w:val="pl-PL" w:eastAsia="pl-PL"/>
        </w:rPr>
        <w:t>I</w:t>
      </w:r>
      <w:r w:rsidRPr="00784480">
        <w:rPr>
          <w:rFonts w:ascii="Arial" w:eastAsia="Times New Roman" w:hAnsi="Arial" w:cs="Arial"/>
          <w:color w:val="000000"/>
          <w:sz w:val="22"/>
          <w:szCs w:val="22"/>
          <w:lang w:val="pl-PL" w:eastAsia="pl-PL"/>
        </w:rPr>
        <w:t xml:space="preserve">nwestorzy, niezależnie od branży, obserwują </w:t>
      </w:r>
      <w:r w:rsidR="00CC37FE" w:rsidRPr="00784480">
        <w:rPr>
          <w:rFonts w:ascii="Arial" w:eastAsia="Times New Roman" w:hAnsi="Arial" w:cs="Arial"/>
          <w:color w:val="000000"/>
          <w:sz w:val="22"/>
          <w:szCs w:val="22"/>
          <w:lang w:val="pl-PL" w:eastAsia="pl-PL"/>
        </w:rPr>
        <w:t>wzajemnie swoje dzia</w:t>
      </w:r>
      <w:r w:rsidR="000F1137">
        <w:rPr>
          <w:rFonts w:ascii="Arial" w:eastAsia="Times New Roman" w:hAnsi="Arial" w:cs="Arial"/>
          <w:color w:val="000000"/>
          <w:sz w:val="22"/>
          <w:szCs w:val="22"/>
          <w:lang w:val="pl-PL" w:eastAsia="pl-PL"/>
        </w:rPr>
        <w:t>ł</w:t>
      </w:r>
      <w:r w:rsidR="00CC37FE" w:rsidRPr="00784480">
        <w:rPr>
          <w:rFonts w:ascii="Arial" w:eastAsia="Times New Roman" w:hAnsi="Arial" w:cs="Arial"/>
          <w:color w:val="000000"/>
          <w:sz w:val="22"/>
          <w:szCs w:val="22"/>
          <w:lang w:val="pl-PL" w:eastAsia="pl-PL"/>
        </w:rPr>
        <w:t xml:space="preserve">ania i </w:t>
      </w:r>
      <w:r w:rsidR="00F02CF7" w:rsidRPr="00784480">
        <w:rPr>
          <w:rFonts w:ascii="Arial" w:eastAsia="Times New Roman" w:hAnsi="Arial" w:cs="Arial"/>
          <w:color w:val="000000"/>
          <w:sz w:val="22"/>
          <w:szCs w:val="22"/>
          <w:lang w:val="pl-PL" w:eastAsia="pl-PL"/>
        </w:rPr>
        <w:t>w</w:t>
      </w:r>
      <w:r w:rsidR="00F02CF7" w:rsidRPr="00784480">
        <w:rPr>
          <w:rFonts w:ascii="Arial" w:eastAsia="Times New Roman" w:hAnsi="Arial" w:cs="Arial"/>
          <w:color w:val="FF0000"/>
          <w:sz w:val="22"/>
          <w:szCs w:val="22"/>
          <w:lang w:val="pl-PL" w:eastAsia="pl-PL"/>
        </w:rPr>
        <w:t xml:space="preserve"> </w:t>
      </w:r>
      <w:r w:rsidR="00F02CF7" w:rsidRPr="00784480">
        <w:rPr>
          <w:rFonts w:ascii="Arial" w:eastAsia="Times New Roman" w:hAnsi="Arial" w:cs="Arial"/>
          <w:sz w:val="22"/>
          <w:szCs w:val="22"/>
          <w:lang w:val="pl-PL" w:eastAsia="pl-PL"/>
        </w:rPr>
        <w:t xml:space="preserve">2014 </w:t>
      </w:r>
      <w:r w:rsidR="00F02CF7" w:rsidRPr="00784480">
        <w:rPr>
          <w:rFonts w:ascii="Arial" w:eastAsia="Times New Roman" w:hAnsi="Arial" w:cs="Arial"/>
          <w:color w:val="000000"/>
          <w:sz w:val="22"/>
          <w:szCs w:val="22"/>
          <w:lang w:val="pl-PL" w:eastAsia="pl-PL"/>
        </w:rPr>
        <w:t xml:space="preserve">do Polski przybyło Rockcastle, które w zaledwie </w:t>
      </w:r>
      <w:r w:rsidR="000F1137">
        <w:rPr>
          <w:rFonts w:ascii="Arial" w:eastAsia="Times New Roman" w:hAnsi="Arial" w:cs="Arial"/>
          <w:color w:val="000000"/>
          <w:sz w:val="22"/>
          <w:szCs w:val="22"/>
          <w:lang w:val="pl-PL" w:eastAsia="pl-PL"/>
        </w:rPr>
        <w:t>cztery</w:t>
      </w:r>
      <w:r w:rsidR="004B2956" w:rsidRPr="00784480">
        <w:rPr>
          <w:rFonts w:ascii="Arial" w:eastAsia="Times New Roman" w:hAnsi="Arial" w:cs="Arial"/>
          <w:color w:val="000000"/>
          <w:sz w:val="22"/>
          <w:szCs w:val="22"/>
          <w:lang w:val="pl-PL" w:eastAsia="pl-PL"/>
        </w:rPr>
        <w:t xml:space="preserve"> lata zakupiło obiekty handlowe za około </w:t>
      </w:r>
      <w:r w:rsidR="00D73548" w:rsidRPr="00784480">
        <w:rPr>
          <w:rFonts w:ascii="Arial" w:eastAsia="Times New Roman" w:hAnsi="Arial" w:cs="Arial"/>
          <w:color w:val="000000"/>
          <w:sz w:val="22"/>
          <w:szCs w:val="22"/>
          <w:lang w:val="pl-PL" w:eastAsia="pl-PL"/>
        </w:rPr>
        <w:t>1,2 mld euro</w:t>
      </w:r>
      <w:r w:rsidR="004B2956" w:rsidRPr="00784480">
        <w:rPr>
          <w:rFonts w:ascii="Arial" w:eastAsia="Times New Roman" w:hAnsi="Arial" w:cs="Arial"/>
          <w:color w:val="000000"/>
          <w:sz w:val="22"/>
          <w:szCs w:val="22"/>
          <w:lang w:val="pl-PL" w:eastAsia="pl-PL"/>
        </w:rPr>
        <w:t xml:space="preserve">. </w:t>
      </w:r>
      <w:r w:rsidR="00453258" w:rsidRPr="00784480">
        <w:rPr>
          <w:rFonts w:ascii="Arial" w:eastAsia="Times New Roman" w:hAnsi="Arial" w:cs="Arial"/>
          <w:color w:val="000000"/>
          <w:sz w:val="22"/>
          <w:szCs w:val="22"/>
          <w:lang w:val="pl-PL" w:eastAsia="pl-PL"/>
        </w:rPr>
        <w:t xml:space="preserve">Kolejnym południowoafrykańskim </w:t>
      </w:r>
      <w:r w:rsidR="00FD3E91" w:rsidRPr="00784480">
        <w:rPr>
          <w:rFonts w:ascii="Arial" w:eastAsia="Times New Roman" w:hAnsi="Arial" w:cs="Arial"/>
          <w:color w:val="000000"/>
          <w:sz w:val="22"/>
          <w:szCs w:val="22"/>
          <w:lang w:val="pl-PL" w:eastAsia="pl-PL"/>
        </w:rPr>
        <w:t>i</w:t>
      </w:r>
      <w:r w:rsidR="00453258" w:rsidRPr="00784480">
        <w:rPr>
          <w:rFonts w:ascii="Arial" w:eastAsia="Times New Roman" w:hAnsi="Arial" w:cs="Arial"/>
          <w:color w:val="000000"/>
          <w:sz w:val="22"/>
          <w:szCs w:val="22"/>
          <w:lang w:val="pl-PL" w:eastAsia="pl-PL"/>
        </w:rPr>
        <w:t>nwestorem</w:t>
      </w:r>
      <w:r w:rsidR="00EF0F25" w:rsidRPr="00784480">
        <w:rPr>
          <w:rFonts w:ascii="Arial" w:eastAsia="Times New Roman" w:hAnsi="Arial" w:cs="Arial"/>
          <w:color w:val="000000"/>
          <w:sz w:val="22"/>
          <w:szCs w:val="22"/>
          <w:lang w:val="pl-PL" w:eastAsia="pl-PL"/>
        </w:rPr>
        <w:t>, który dostrzegł potencjał polskiego rynku było Redefin</w:t>
      </w:r>
      <w:r w:rsidR="00D73548" w:rsidRPr="00784480">
        <w:rPr>
          <w:rFonts w:ascii="Arial" w:eastAsia="Times New Roman" w:hAnsi="Arial" w:cs="Arial"/>
          <w:color w:val="000000"/>
          <w:sz w:val="22"/>
          <w:szCs w:val="22"/>
          <w:lang w:val="pl-PL" w:eastAsia="pl-PL"/>
        </w:rPr>
        <w:t>e</w:t>
      </w:r>
      <w:r w:rsidR="00EF0F25" w:rsidRPr="00784480">
        <w:rPr>
          <w:rFonts w:ascii="Arial" w:eastAsia="Times New Roman" w:hAnsi="Arial" w:cs="Arial"/>
          <w:color w:val="000000"/>
          <w:sz w:val="22"/>
          <w:szCs w:val="22"/>
          <w:lang w:val="pl-PL" w:eastAsia="pl-PL"/>
        </w:rPr>
        <w:t xml:space="preserve"> – które zadebiutowało w Polsce </w:t>
      </w:r>
      <w:r w:rsidR="00EF0F25" w:rsidRPr="00784480">
        <w:rPr>
          <w:rFonts w:ascii="Arial" w:eastAsia="Times New Roman" w:hAnsi="Arial" w:cs="Arial"/>
          <w:sz w:val="22"/>
          <w:szCs w:val="22"/>
          <w:lang w:val="pl-PL" w:eastAsia="pl-PL"/>
        </w:rPr>
        <w:t xml:space="preserve">w </w:t>
      </w:r>
      <w:r w:rsidR="00D73548" w:rsidRPr="00784480">
        <w:rPr>
          <w:rFonts w:ascii="Arial" w:eastAsia="Times New Roman" w:hAnsi="Arial" w:cs="Arial"/>
          <w:sz w:val="22"/>
          <w:szCs w:val="22"/>
          <w:lang w:val="pl-PL" w:eastAsia="pl-PL"/>
        </w:rPr>
        <w:t>2016</w:t>
      </w:r>
      <w:r w:rsidR="00EF0F25" w:rsidRPr="00784480">
        <w:rPr>
          <w:rFonts w:ascii="Arial" w:eastAsia="Times New Roman" w:hAnsi="Arial" w:cs="Arial"/>
          <w:sz w:val="22"/>
          <w:szCs w:val="22"/>
          <w:lang w:val="pl-PL" w:eastAsia="pl-PL"/>
        </w:rPr>
        <w:t xml:space="preserve"> roku</w:t>
      </w:r>
      <w:r w:rsidR="009106C0">
        <w:rPr>
          <w:rFonts w:ascii="Arial" w:eastAsia="Times New Roman" w:hAnsi="Arial" w:cs="Arial"/>
          <w:sz w:val="22"/>
          <w:szCs w:val="22"/>
          <w:lang w:val="pl-PL" w:eastAsia="pl-PL"/>
        </w:rPr>
        <w:t>,</w:t>
      </w:r>
      <w:r w:rsidR="00EF0F25" w:rsidRPr="00784480">
        <w:rPr>
          <w:rFonts w:ascii="Arial" w:eastAsia="Times New Roman" w:hAnsi="Arial" w:cs="Arial"/>
          <w:sz w:val="22"/>
          <w:szCs w:val="22"/>
          <w:lang w:val="pl-PL" w:eastAsia="pl-PL"/>
        </w:rPr>
        <w:t xml:space="preserve"> n</w:t>
      </w:r>
      <w:r w:rsidR="00EF0F25" w:rsidRPr="00784480">
        <w:rPr>
          <w:rFonts w:ascii="Arial" w:eastAsia="Times New Roman" w:hAnsi="Arial" w:cs="Arial"/>
          <w:color w:val="000000"/>
          <w:sz w:val="22"/>
          <w:szCs w:val="22"/>
          <w:lang w:val="pl-PL" w:eastAsia="pl-PL"/>
        </w:rPr>
        <w:t xml:space="preserve">abywając </w:t>
      </w:r>
      <w:r w:rsidR="00D00C9C" w:rsidRPr="00784480">
        <w:rPr>
          <w:rFonts w:ascii="Arial" w:eastAsia="Times New Roman" w:hAnsi="Arial" w:cs="Arial"/>
          <w:color w:val="000000"/>
          <w:sz w:val="22"/>
          <w:szCs w:val="22"/>
          <w:lang w:val="pl-PL" w:eastAsia="pl-PL"/>
        </w:rPr>
        <w:t xml:space="preserve">większościowy </w:t>
      </w:r>
      <w:r w:rsidR="00EF0F25" w:rsidRPr="00784480">
        <w:rPr>
          <w:rFonts w:ascii="Arial" w:eastAsia="Times New Roman" w:hAnsi="Arial" w:cs="Arial"/>
          <w:color w:val="000000"/>
          <w:sz w:val="22"/>
          <w:szCs w:val="22"/>
          <w:lang w:val="pl-PL" w:eastAsia="pl-PL"/>
        </w:rPr>
        <w:t>udział</w:t>
      </w:r>
      <w:r w:rsidR="00D00C9C" w:rsidRPr="00784480">
        <w:rPr>
          <w:rFonts w:ascii="Arial" w:eastAsia="Times New Roman" w:hAnsi="Arial" w:cs="Arial"/>
          <w:color w:val="000000"/>
          <w:sz w:val="22"/>
          <w:szCs w:val="22"/>
          <w:lang w:val="pl-PL" w:eastAsia="pl-PL"/>
        </w:rPr>
        <w:t xml:space="preserve"> w </w:t>
      </w:r>
      <w:r w:rsidR="00F36BD4" w:rsidRPr="00784480">
        <w:rPr>
          <w:rFonts w:ascii="Arial" w:eastAsia="Times New Roman" w:hAnsi="Arial" w:cs="Arial"/>
          <w:color w:val="000000"/>
          <w:sz w:val="22"/>
          <w:szCs w:val="22"/>
          <w:lang w:val="pl-PL" w:eastAsia="pl-PL"/>
        </w:rPr>
        <w:t>E</w:t>
      </w:r>
      <w:r w:rsidR="00BE5C9E" w:rsidRPr="00784480">
        <w:rPr>
          <w:rFonts w:ascii="Arial" w:eastAsia="Times New Roman" w:hAnsi="Arial" w:cs="Arial"/>
          <w:color w:val="000000"/>
          <w:sz w:val="22"/>
          <w:szCs w:val="22"/>
          <w:lang w:val="pl-PL" w:eastAsia="pl-PL"/>
        </w:rPr>
        <w:t xml:space="preserve">cho </w:t>
      </w:r>
      <w:r w:rsidR="00F36BD4" w:rsidRPr="00784480">
        <w:rPr>
          <w:rFonts w:ascii="Arial" w:eastAsia="Times New Roman" w:hAnsi="Arial" w:cs="Arial"/>
          <w:color w:val="000000"/>
          <w:sz w:val="22"/>
          <w:szCs w:val="22"/>
          <w:lang w:val="pl-PL" w:eastAsia="pl-PL"/>
        </w:rPr>
        <w:t>P</w:t>
      </w:r>
      <w:r w:rsidR="00BE5C9E" w:rsidRPr="00784480">
        <w:rPr>
          <w:rFonts w:ascii="Arial" w:eastAsia="Times New Roman" w:hAnsi="Arial" w:cs="Arial"/>
          <w:color w:val="000000"/>
          <w:sz w:val="22"/>
          <w:szCs w:val="22"/>
          <w:lang w:val="pl-PL" w:eastAsia="pl-PL"/>
        </w:rPr>
        <w:t xml:space="preserve">olska </w:t>
      </w:r>
      <w:proofErr w:type="spellStart"/>
      <w:r w:rsidR="00F36BD4" w:rsidRPr="00784480">
        <w:rPr>
          <w:rFonts w:ascii="Arial" w:eastAsia="Times New Roman" w:hAnsi="Arial" w:cs="Arial"/>
          <w:color w:val="000000"/>
          <w:sz w:val="22"/>
          <w:szCs w:val="22"/>
          <w:lang w:val="pl-PL" w:eastAsia="pl-PL"/>
        </w:rPr>
        <w:t>P</w:t>
      </w:r>
      <w:r w:rsidR="00BE5C9E" w:rsidRPr="00784480">
        <w:rPr>
          <w:rFonts w:ascii="Arial" w:eastAsia="Times New Roman" w:hAnsi="Arial" w:cs="Arial"/>
          <w:color w:val="000000"/>
          <w:sz w:val="22"/>
          <w:szCs w:val="22"/>
          <w:lang w:val="pl-PL" w:eastAsia="pl-PL"/>
        </w:rPr>
        <w:t>roperties</w:t>
      </w:r>
      <w:proofErr w:type="spellEnd"/>
      <w:r w:rsidR="00BE5C9E" w:rsidRPr="00784480">
        <w:rPr>
          <w:rFonts w:ascii="Arial" w:eastAsia="Times New Roman" w:hAnsi="Arial" w:cs="Arial"/>
          <w:color w:val="000000"/>
          <w:sz w:val="22"/>
          <w:szCs w:val="22"/>
          <w:lang w:val="pl-PL" w:eastAsia="pl-PL"/>
        </w:rPr>
        <w:t xml:space="preserve"> </w:t>
      </w:r>
      <w:r w:rsidR="00272348" w:rsidRPr="00784480">
        <w:rPr>
          <w:rFonts w:ascii="Arial" w:eastAsia="Times New Roman" w:hAnsi="Arial" w:cs="Arial"/>
          <w:color w:val="000000"/>
          <w:sz w:val="22"/>
          <w:szCs w:val="22"/>
          <w:lang w:val="pl-PL" w:eastAsia="pl-PL"/>
        </w:rPr>
        <w:t>–</w:t>
      </w:r>
      <w:r w:rsidR="00F36BD4" w:rsidRPr="00784480">
        <w:rPr>
          <w:rFonts w:ascii="Arial" w:eastAsia="Times New Roman" w:hAnsi="Arial" w:cs="Arial"/>
          <w:color w:val="000000"/>
          <w:sz w:val="22"/>
          <w:szCs w:val="22"/>
          <w:lang w:val="pl-PL" w:eastAsia="pl-PL"/>
        </w:rPr>
        <w:t xml:space="preserve"> </w:t>
      </w:r>
      <w:r w:rsidR="00272348" w:rsidRPr="00784480">
        <w:rPr>
          <w:rFonts w:ascii="Arial" w:eastAsia="Times New Roman" w:hAnsi="Arial" w:cs="Arial"/>
          <w:color w:val="000000"/>
          <w:sz w:val="22"/>
          <w:szCs w:val="22"/>
          <w:lang w:val="pl-PL" w:eastAsia="pl-PL"/>
        </w:rPr>
        <w:t xml:space="preserve">firmie posiadającej </w:t>
      </w:r>
      <w:r w:rsidR="00251F62" w:rsidRPr="00784480">
        <w:rPr>
          <w:rFonts w:ascii="Arial" w:eastAsia="Times New Roman" w:hAnsi="Arial" w:cs="Arial"/>
          <w:color w:val="000000"/>
          <w:sz w:val="22"/>
          <w:szCs w:val="22"/>
          <w:lang w:val="pl-PL" w:eastAsia="pl-PL"/>
        </w:rPr>
        <w:t xml:space="preserve">i zarządzającej </w:t>
      </w:r>
      <w:r w:rsidR="00D00C9C" w:rsidRPr="00784480">
        <w:rPr>
          <w:rFonts w:ascii="Arial" w:eastAsia="Times New Roman" w:hAnsi="Arial" w:cs="Arial"/>
          <w:color w:val="000000"/>
          <w:sz w:val="22"/>
          <w:szCs w:val="22"/>
          <w:lang w:val="pl-PL" w:eastAsia="pl-PL"/>
        </w:rPr>
        <w:t>portfel</w:t>
      </w:r>
      <w:r w:rsidR="00251F62" w:rsidRPr="00784480">
        <w:rPr>
          <w:rFonts w:ascii="Arial" w:eastAsia="Times New Roman" w:hAnsi="Arial" w:cs="Arial"/>
          <w:color w:val="000000"/>
          <w:sz w:val="22"/>
          <w:szCs w:val="22"/>
          <w:lang w:val="pl-PL" w:eastAsia="pl-PL"/>
        </w:rPr>
        <w:t>em</w:t>
      </w:r>
      <w:r w:rsidR="00D00C9C" w:rsidRPr="00784480">
        <w:rPr>
          <w:rFonts w:ascii="Arial" w:eastAsia="Times New Roman" w:hAnsi="Arial" w:cs="Arial"/>
          <w:color w:val="000000"/>
          <w:sz w:val="22"/>
          <w:szCs w:val="22"/>
          <w:lang w:val="pl-PL" w:eastAsia="pl-PL"/>
        </w:rPr>
        <w:t xml:space="preserve"> n</w:t>
      </w:r>
      <w:r w:rsidR="006551C5" w:rsidRPr="00784480">
        <w:rPr>
          <w:rFonts w:ascii="Arial" w:eastAsia="Times New Roman" w:hAnsi="Arial" w:cs="Arial"/>
          <w:color w:val="000000"/>
          <w:sz w:val="22"/>
          <w:szCs w:val="22"/>
          <w:lang w:val="pl-PL" w:eastAsia="pl-PL"/>
        </w:rPr>
        <w:t xml:space="preserve">ieruchomości wybudowanych przez </w:t>
      </w:r>
      <w:r w:rsidR="00EF0F25" w:rsidRPr="00784480">
        <w:rPr>
          <w:rFonts w:ascii="Arial" w:eastAsia="Times New Roman" w:hAnsi="Arial" w:cs="Arial"/>
          <w:color w:val="000000"/>
          <w:sz w:val="22"/>
          <w:szCs w:val="22"/>
          <w:lang w:val="pl-PL" w:eastAsia="pl-PL"/>
        </w:rPr>
        <w:t xml:space="preserve">Echo </w:t>
      </w:r>
      <w:r w:rsidR="00F478D8" w:rsidRPr="00784480">
        <w:rPr>
          <w:rFonts w:ascii="Arial" w:eastAsia="Times New Roman" w:hAnsi="Arial" w:cs="Arial"/>
          <w:color w:val="000000"/>
          <w:sz w:val="22"/>
          <w:szCs w:val="22"/>
          <w:lang w:val="pl-PL" w:eastAsia="pl-PL"/>
        </w:rPr>
        <w:t>Investment</w:t>
      </w:r>
      <w:r w:rsidR="00D37034" w:rsidRPr="00784480">
        <w:rPr>
          <w:rFonts w:ascii="Arial" w:eastAsia="Times New Roman" w:hAnsi="Arial" w:cs="Arial"/>
          <w:color w:val="000000"/>
          <w:sz w:val="22"/>
          <w:szCs w:val="22"/>
          <w:lang w:val="pl-PL" w:eastAsia="pl-PL"/>
        </w:rPr>
        <w:t xml:space="preserve">. </w:t>
      </w:r>
      <w:r w:rsidR="00F47310" w:rsidRPr="00784480">
        <w:rPr>
          <w:rFonts w:ascii="Arial" w:eastAsia="Times New Roman" w:hAnsi="Arial" w:cs="Arial"/>
          <w:color w:val="000000"/>
          <w:sz w:val="22"/>
          <w:szCs w:val="22"/>
          <w:lang w:val="pl-PL" w:eastAsia="pl-PL"/>
        </w:rPr>
        <w:t>EPP (notowane na giełdzie w Johannesburgu i Luxemburgu) o</w:t>
      </w:r>
      <w:r w:rsidR="0072694F" w:rsidRPr="00784480">
        <w:rPr>
          <w:rFonts w:ascii="Arial" w:eastAsia="Times New Roman" w:hAnsi="Arial" w:cs="Arial"/>
          <w:color w:val="000000"/>
          <w:sz w:val="22"/>
          <w:szCs w:val="22"/>
          <w:lang w:val="pl-PL" w:eastAsia="pl-PL"/>
        </w:rPr>
        <w:t xml:space="preserve">becnie </w:t>
      </w:r>
      <w:r w:rsidR="00F47310" w:rsidRPr="00784480">
        <w:rPr>
          <w:rFonts w:ascii="Arial" w:eastAsia="Times New Roman" w:hAnsi="Arial" w:cs="Arial"/>
          <w:color w:val="000000"/>
          <w:sz w:val="22"/>
          <w:szCs w:val="22"/>
          <w:lang w:val="pl-PL" w:eastAsia="pl-PL"/>
        </w:rPr>
        <w:t xml:space="preserve">jest </w:t>
      </w:r>
      <w:r w:rsidR="00BE320E" w:rsidRPr="00784480">
        <w:rPr>
          <w:rFonts w:ascii="Arial" w:eastAsia="Times New Roman" w:hAnsi="Arial" w:cs="Arial"/>
          <w:color w:val="000000"/>
          <w:sz w:val="22"/>
          <w:szCs w:val="22"/>
          <w:lang w:val="pl-PL" w:eastAsia="pl-PL"/>
        </w:rPr>
        <w:t>największym</w:t>
      </w:r>
      <w:r w:rsidR="00460529" w:rsidRPr="00784480">
        <w:rPr>
          <w:rFonts w:ascii="Arial" w:eastAsia="Times New Roman" w:hAnsi="Arial" w:cs="Arial"/>
          <w:color w:val="000000"/>
          <w:sz w:val="22"/>
          <w:szCs w:val="22"/>
          <w:lang w:val="pl-PL" w:eastAsia="pl-PL"/>
        </w:rPr>
        <w:t>,</w:t>
      </w:r>
      <w:r w:rsidR="00BE320E" w:rsidRPr="00784480">
        <w:rPr>
          <w:rFonts w:ascii="Arial" w:eastAsia="Times New Roman" w:hAnsi="Arial" w:cs="Arial"/>
          <w:color w:val="000000"/>
          <w:sz w:val="22"/>
          <w:szCs w:val="22"/>
          <w:lang w:val="pl-PL" w:eastAsia="pl-PL"/>
        </w:rPr>
        <w:t xml:space="preserve"> </w:t>
      </w:r>
      <w:r w:rsidR="00A83CF0" w:rsidRPr="00784480">
        <w:rPr>
          <w:rFonts w:ascii="Arial" w:eastAsia="Times New Roman" w:hAnsi="Arial" w:cs="Arial"/>
          <w:color w:val="000000"/>
          <w:sz w:val="22"/>
          <w:szCs w:val="22"/>
          <w:lang w:val="pl-PL" w:eastAsia="pl-PL"/>
        </w:rPr>
        <w:t>pod względem powierzchni</w:t>
      </w:r>
      <w:r w:rsidR="00460529" w:rsidRPr="00784480">
        <w:rPr>
          <w:rFonts w:ascii="Arial" w:eastAsia="Times New Roman" w:hAnsi="Arial" w:cs="Arial"/>
          <w:color w:val="000000"/>
          <w:sz w:val="22"/>
          <w:szCs w:val="22"/>
          <w:lang w:val="pl-PL" w:eastAsia="pl-PL"/>
        </w:rPr>
        <w:t>,</w:t>
      </w:r>
      <w:r w:rsidR="00A83CF0" w:rsidRPr="00784480">
        <w:rPr>
          <w:rFonts w:ascii="Arial" w:eastAsia="Times New Roman" w:hAnsi="Arial" w:cs="Arial"/>
          <w:color w:val="000000"/>
          <w:sz w:val="22"/>
          <w:szCs w:val="22"/>
          <w:lang w:val="pl-PL" w:eastAsia="pl-PL"/>
        </w:rPr>
        <w:t xml:space="preserve"> </w:t>
      </w:r>
      <w:r w:rsidR="00BE320E" w:rsidRPr="00784480">
        <w:rPr>
          <w:rFonts w:ascii="Arial" w:eastAsia="Times New Roman" w:hAnsi="Arial" w:cs="Arial"/>
          <w:color w:val="000000"/>
          <w:sz w:val="22"/>
          <w:szCs w:val="22"/>
          <w:lang w:val="pl-PL" w:eastAsia="pl-PL"/>
        </w:rPr>
        <w:t>właścicielem centr</w:t>
      </w:r>
      <w:r w:rsidR="00641D41" w:rsidRPr="00784480">
        <w:rPr>
          <w:rFonts w:ascii="Arial" w:eastAsia="Times New Roman" w:hAnsi="Arial" w:cs="Arial"/>
          <w:color w:val="000000"/>
          <w:sz w:val="22"/>
          <w:szCs w:val="22"/>
          <w:lang w:val="pl-PL" w:eastAsia="pl-PL"/>
        </w:rPr>
        <w:t>ów handlowych</w:t>
      </w:r>
      <w:r w:rsidR="005B42C6" w:rsidRPr="00784480">
        <w:rPr>
          <w:rFonts w:ascii="Arial" w:eastAsia="Times New Roman" w:hAnsi="Arial" w:cs="Arial"/>
          <w:color w:val="000000"/>
          <w:sz w:val="22"/>
          <w:szCs w:val="22"/>
          <w:lang w:val="pl-PL" w:eastAsia="pl-PL"/>
        </w:rPr>
        <w:t xml:space="preserve"> w Polsce</w:t>
      </w:r>
      <w:r w:rsidRPr="00784480">
        <w:rPr>
          <w:rFonts w:ascii="Arial" w:eastAsia="Times New Roman" w:hAnsi="Arial" w:cs="Arial"/>
          <w:color w:val="000000"/>
          <w:sz w:val="22"/>
          <w:szCs w:val="22"/>
          <w:lang w:val="pl-PL" w:eastAsia="pl-PL"/>
        </w:rPr>
        <w:t xml:space="preserve">”, wspomina </w:t>
      </w:r>
      <w:r w:rsidRPr="00784480">
        <w:rPr>
          <w:rFonts w:ascii="Arial" w:eastAsia="Times New Roman" w:hAnsi="Arial" w:cs="Arial"/>
          <w:b/>
          <w:bCs/>
          <w:color w:val="000000"/>
          <w:sz w:val="22"/>
          <w:szCs w:val="22"/>
          <w:lang w:val="pl-PL" w:eastAsia="pl-PL"/>
        </w:rPr>
        <w:t>Agata Sekuła.</w:t>
      </w:r>
    </w:p>
    <w:p w14:paraId="187A1D79" w14:textId="7FCD093B"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r w:rsidRPr="001E0200">
        <w:rPr>
          <w:rFonts w:ascii="Arial" w:eastAsia="Times New Roman" w:hAnsi="Arial" w:cs="Arial"/>
          <w:color w:val="000000"/>
          <w:sz w:val="22"/>
          <w:szCs w:val="22"/>
          <w:lang w:val="pl-PL" w:eastAsia="pl-PL"/>
        </w:rPr>
        <w:t>Od 2018 roku obserwujemy bardziej równomierny rozkład inwestycji z większą liczbą źródeł kapitału, nadal skupionych głównie w Europie. Polski sektor biurowy zaczął</w:t>
      </w:r>
      <w:r w:rsidR="004B2C25">
        <w:rPr>
          <w:rFonts w:ascii="Arial" w:eastAsia="Times New Roman" w:hAnsi="Arial" w:cs="Arial"/>
          <w:color w:val="000000"/>
          <w:sz w:val="22"/>
          <w:szCs w:val="22"/>
          <w:lang w:val="pl-PL" w:eastAsia="pl-PL"/>
        </w:rPr>
        <w:t xml:space="preserve"> również</w:t>
      </w:r>
      <w:r w:rsidRPr="001E0200">
        <w:rPr>
          <w:rFonts w:ascii="Arial" w:eastAsia="Times New Roman" w:hAnsi="Arial" w:cs="Arial"/>
          <w:color w:val="000000"/>
          <w:sz w:val="22"/>
          <w:szCs w:val="22"/>
          <w:lang w:val="pl-PL" w:eastAsia="pl-PL"/>
        </w:rPr>
        <w:t xml:space="preserve"> przyciągać inwestycje z Czech, Kore</w:t>
      </w:r>
      <w:r w:rsidR="004B2C25">
        <w:rPr>
          <w:rFonts w:ascii="Arial" w:eastAsia="Times New Roman" w:hAnsi="Arial" w:cs="Arial"/>
          <w:color w:val="000000"/>
          <w:sz w:val="22"/>
          <w:szCs w:val="22"/>
          <w:lang w:val="pl-PL" w:eastAsia="pl-PL"/>
        </w:rPr>
        <w:t>i</w:t>
      </w:r>
      <w:r w:rsidRPr="001E0200">
        <w:rPr>
          <w:rFonts w:ascii="Arial" w:eastAsia="Times New Roman" w:hAnsi="Arial" w:cs="Arial"/>
          <w:color w:val="000000"/>
          <w:sz w:val="22"/>
          <w:szCs w:val="22"/>
          <w:lang w:val="pl-PL" w:eastAsia="pl-PL"/>
        </w:rPr>
        <w:t xml:space="preserve"> Południow</w:t>
      </w:r>
      <w:r w:rsidR="004B2C25">
        <w:rPr>
          <w:rFonts w:ascii="Arial" w:eastAsia="Times New Roman" w:hAnsi="Arial" w:cs="Arial"/>
          <w:color w:val="000000"/>
          <w:sz w:val="22"/>
          <w:szCs w:val="22"/>
          <w:lang w:val="pl-PL" w:eastAsia="pl-PL"/>
        </w:rPr>
        <w:t>ej</w:t>
      </w:r>
      <w:r w:rsidRPr="001E0200">
        <w:rPr>
          <w:rFonts w:ascii="Arial" w:eastAsia="Times New Roman" w:hAnsi="Arial" w:cs="Arial"/>
          <w:color w:val="000000"/>
          <w:sz w:val="22"/>
          <w:szCs w:val="22"/>
          <w:lang w:val="pl-PL" w:eastAsia="pl-PL"/>
        </w:rPr>
        <w:t>, Singapur</w:t>
      </w:r>
      <w:r w:rsidR="004B2C25">
        <w:rPr>
          <w:rFonts w:ascii="Arial" w:eastAsia="Times New Roman" w:hAnsi="Arial" w:cs="Arial"/>
          <w:color w:val="000000"/>
          <w:sz w:val="22"/>
          <w:szCs w:val="22"/>
          <w:lang w:val="pl-PL" w:eastAsia="pl-PL"/>
        </w:rPr>
        <w:t>u</w:t>
      </w:r>
      <w:r w:rsidRPr="001E0200">
        <w:rPr>
          <w:rFonts w:ascii="Arial" w:eastAsia="Times New Roman" w:hAnsi="Arial" w:cs="Arial"/>
          <w:color w:val="000000"/>
          <w:sz w:val="22"/>
          <w:szCs w:val="22"/>
          <w:lang w:val="pl-PL" w:eastAsia="pl-PL"/>
        </w:rPr>
        <w:t>, Węg</w:t>
      </w:r>
      <w:r w:rsidR="004B2C25">
        <w:rPr>
          <w:rFonts w:ascii="Arial" w:eastAsia="Times New Roman" w:hAnsi="Arial" w:cs="Arial"/>
          <w:color w:val="000000"/>
          <w:sz w:val="22"/>
          <w:szCs w:val="22"/>
          <w:lang w:val="pl-PL" w:eastAsia="pl-PL"/>
        </w:rPr>
        <w:t>ier</w:t>
      </w:r>
      <w:r w:rsidRPr="001E0200">
        <w:rPr>
          <w:rFonts w:ascii="Arial" w:eastAsia="Times New Roman" w:hAnsi="Arial" w:cs="Arial"/>
          <w:color w:val="000000"/>
          <w:sz w:val="22"/>
          <w:szCs w:val="22"/>
          <w:lang w:val="pl-PL" w:eastAsia="pl-PL"/>
        </w:rPr>
        <w:t>, Rumuni</w:t>
      </w:r>
      <w:r w:rsidR="007F4F9E">
        <w:rPr>
          <w:rFonts w:ascii="Arial" w:eastAsia="Times New Roman" w:hAnsi="Arial" w:cs="Arial"/>
          <w:color w:val="000000"/>
          <w:sz w:val="22"/>
          <w:szCs w:val="22"/>
          <w:lang w:val="pl-PL" w:eastAsia="pl-PL"/>
        </w:rPr>
        <w:t>i</w:t>
      </w:r>
      <w:r w:rsidRPr="001E0200">
        <w:rPr>
          <w:rFonts w:ascii="Arial" w:eastAsia="Times New Roman" w:hAnsi="Arial" w:cs="Arial"/>
          <w:color w:val="000000"/>
          <w:sz w:val="22"/>
          <w:szCs w:val="22"/>
          <w:lang w:val="pl-PL" w:eastAsia="pl-PL"/>
        </w:rPr>
        <w:t>, Filipin, Włoch czy Szwajcari</w:t>
      </w:r>
      <w:r w:rsidR="00FD3E91">
        <w:rPr>
          <w:rFonts w:ascii="Arial" w:eastAsia="Times New Roman" w:hAnsi="Arial" w:cs="Arial"/>
          <w:color w:val="000000"/>
          <w:sz w:val="22"/>
          <w:szCs w:val="22"/>
          <w:lang w:val="pl-PL" w:eastAsia="pl-PL"/>
        </w:rPr>
        <w:t>i</w:t>
      </w:r>
      <w:r w:rsidRPr="001E0200">
        <w:rPr>
          <w:rFonts w:ascii="Arial" w:eastAsia="Times New Roman" w:hAnsi="Arial" w:cs="Arial"/>
          <w:color w:val="000000"/>
          <w:sz w:val="22"/>
          <w:szCs w:val="22"/>
          <w:lang w:val="pl-PL" w:eastAsia="pl-PL"/>
        </w:rPr>
        <w:t xml:space="preserve">. To efekt budowania wizerunku rynku jako dojrzałego i oferującego wciąż atrakcyjne stopy kapitalizacji w porównaniu do innych rynków </w:t>
      </w:r>
      <w:r w:rsidR="00A30380">
        <w:rPr>
          <w:rFonts w:ascii="Arial" w:eastAsia="Times New Roman" w:hAnsi="Arial" w:cs="Arial"/>
          <w:color w:val="000000"/>
          <w:sz w:val="22"/>
          <w:szCs w:val="22"/>
          <w:lang w:val="pl-PL" w:eastAsia="pl-PL"/>
        </w:rPr>
        <w:t>zachodnio</w:t>
      </w:r>
      <w:r w:rsidRPr="001E0200">
        <w:rPr>
          <w:rFonts w:ascii="Arial" w:eastAsia="Times New Roman" w:hAnsi="Arial" w:cs="Arial"/>
          <w:color w:val="000000"/>
          <w:sz w:val="22"/>
          <w:szCs w:val="22"/>
          <w:lang w:val="pl-PL" w:eastAsia="pl-PL"/>
        </w:rPr>
        <w:t>europejskich.</w:t>
      </w:r>
    </w:p>
    <w:p w14:paraId="0DDC1B9C" w14:textId="543DAC41" w:rsidR="001E0200" w:rsidRPr="001E0200" w:rsidRDefault="001E0200" w:rsidP="001E0200">
      <w:pPr>
        <w:spacing w:before="100" w:beforeAutospacing="1" w:after="100" w:afterAutospacing="1"/>
        <w:ind w:left="-567" w:right="-336"/>
        <w:rPr>
          <w:rFonts w:ascii="Arial" w:eastAsia="Times New Roman" w:hAnsi="Arial" w:cs="Arial"/>
          <w:b/>
          <w:color w:val="000000"/>
          <w:sz w:val="22"/>
          <w:szCs w:val="22"/>
          <w:lang w:val="pl-PL" w:eastAsia="pl-PL"/>
        </w:rPr>
      </w:pPr>
      <w:r w:rsidRPr="001E0200">
        <w:rPr>
          <w:rFonts w:ascii="Arial" w:eastAsia="Times New Roman" w:hAnsi="Arial" w:cs="Arial"/>
          <w:b/>
          <w:color w:val="000000"/>
          <w:sz w:val="22"/>
          <w:szCs w:val="22"/>
          <w:lang w:val="pl-PL" w:eastAsia="pl-PL"/>
        </w:rPr>
        <w:t>Azja wybiera logistykę i magazyny</w:t>
      </w:r>
      <w:r>
        <w:rPr>
          <w:rFonts w:ascii="Arial" w:eastAsia="Times New Roman" w:hAnsi="Arial" w:cs="Arial"/>
          <w:b/>
          <w:color w:val="000000"/>
          <w:sz w:val="22"/>
          <w:szCs w:val="22"/>
          <w:lang w:val="pl-PL" w:eastAsia="pl-PL"/>
        </w:rPr>
        <w:br/>
      </w:r>
      <w:r w:rsidRPr="001E0200">
        <w:rPr>
          <w:rFonts w:ascii="Arial" w:eastAsia="Times New Roman" w:hAnsi="Arial" w:cs="Arial"/>
          <w:color w:val="000000"/>
          <w:sz w:val="22"/>
          <w:szCs w:val="22"/>
          <w:lang w:val="pl-PL" w:eastAsia="pl-PL"/>
        </w:rPr>
        <w:t xml:space="preserve">Wzrost atrakcyjności nieruchomości magazynowych w Polsce był rezultatem między innymi rozwoju </w:t>
      </w:r>
      <w:r w:rsidRPr="001E0200">
        <w:rPr>
          <w:rFonts w:ascii="Arial" w:eastAsia="Times New Roman" w:hAnsi="Arial" w:cs="Arial"/>
          <w:color w:val="000000"/>
          <w:sz w:val="22"/>
          <w:szCs w:val="22"/>
          <w:lang w:val="pl-PL" w:eastAsia="pl-PL"/>
        </w:rPr>
        <w:lastRenderedPageBreak/>
        <w:t>sieci dróg szybkiego ruchu z widocznym efektem przyspieszenia tego typu inwestycji przed E</w:t>
      </w:r>
      <w:r w:rsidR="001E05EE">
        <w:rPr>
          <w:rFonts w:ascii="Arial" w:eastAsia="Times New Roman" w:hAnsi="Arial" w:cs="Arial"/>
          <w:color w:val="000000"/>
          <w:sz w:val="22"/>
          <w:szCs w:val="22"/>
          <w:lang w:val="pl-PL" w:eastAsia="pl-PL"/>
        </w:rPr>
        <w:t>uro</w:t>
      </w:r>
      <w:r w:rsidRPr="001E0200">
        <w:rPr>
          <w:rFonts w:ascii="Arial" w:eastAsia="Times New Roman" w:hAnsi="Arial" w:cs="Arial"/>
          <w:color w:val="000000"/>
          <w:sz w:val="22"/>
          <w:szCs w:val="22"/>
          <w:lang w:val="pl-PL" w:eastAsia="pl-PL"/>
        </w:rPr>
        <w:t xml:space="preserve"> 2012. W tym segmencie jedną z dominujących grup inwestorów są firmy azjatyckie, mimo że pierwsza transakcja sfinalizowana przez fundusz</w:t>
      </w:r>
      <w:r w:rsidR="002166C1">
        <w:rPr>
          <w:rFonts w:ascii="Arial" w:eastAsia="Times New Roman" w:hAnsi="Arial" w:cs="Arial"/>
          <w:color w:val="000000"/>
          <w:sz w:val="22"/>
          <w:szCs w:val="22"/>
          <w:lang w:val="pl-PL" w:eastAsia="pl-PL"/>
        </w:rPr>
        <w:t>e</w:t>
      </w:r>
      <w:r w:rsidRPr="001E0200">
        <w:rPr>
          <w:rFonts w:ascii="Arial" w:eastAsia="Times New Roman" w:hAnsi="Arial" w:cs="Arial"/>
          <w:color w:val="000000"/>
          <w:sz w:val="22"/>
          <w:szCs w:val="22"/>
          <w:lang w:val="pl-PL" w:eastAsia="pl-PL"/>
        </w:rPr>
        <w:t xml:space="preserve"> z Azji nastąpiła dopiero w 2015 roku (umowa kupna magazynu Amazon we Wrocławiu). </w:t>
      </w:r>
    </w:p>
    <w:p w14:paraId="501BD955" w14:textId="3CAACCF1"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r w:rsidRPr="001E0200">
        <w:rPr>
          <w:rFonts w:ascii="Arial" w:eastAsia="Times New Roman" w:hAnsi="Arial" w:cs="Arial"/>
          <w:color w:val="000000"/>
          <w:sz w:val="22"/>
          <w:szCs w:val="22"/>
          <w:lang w:val="pl-PL" w:eastAsia="pl-PL"/>
        </w:rPr>
        <w:t xml:space="preserve">„Cztery państwa azjatyckie - Singapur, Chiny, Korea Południowa i Malezja - </w:t>
      </w:r>
      <w:r w:rsidRPr="00E03C5E">
        <w:rPr>
          <w:rFonts w:ascii="Arial" w:eastAsia="Times New Roman" w:hAnsi="Arial" w:cs="Arial"/>
          <w:color w:val="000000"/>
          <w:sz w:val="22"/>
          <w:szCs w:val="22"/>
          <w:lang w:val="pl-PL" w:eastAsia="pl-PL"/>
        </w:rPr>
        <w:t>odpowiadają za 34%</w:t>
      </w:r>
      <w:r w:rsidRPr="001E0200">
        <w:rPr>
          <w:rFonts w:ascii="Arial" w:eastAsia="Times New Roman" w:hAnsi="Arial" w:cs="Arial"/>
          <w:color w:val="000000"/>
          <w:sz w:val="22"/>
          <w:szCs w:val="22"/>
          <w:lang w:val="pl-PL" w:eastAsia="pl-PL"/>
        </w:rPr>
        <w:t xml:space="preserve"> kapitału zainwestowanego </w:t>
      </w:r>
      <w:r w:rsidR="001E05EE">
        <w:rPr>
          <w:rFonts w:ascii="Arial" w:eastAsia="Times New Roman" w:hAnsi="Arial" w:cs="Arial"/>
          <w:color w:val="000000"/>
          <w:sz w:val="22"/>
          <w:szCs w:val="22"/>
          <w:lang w:val="pl-PL" w:eastAsia="pl-PL"/>
        </w:rPr>
        <w:t xml:space="preserve">kiedykolwiek </w:t>
      </w:r>
      <w:r w:rsidRPr="001E0200">
        <w:rPr>
          <w:rFonts w:ascii="Arial" w:eastAsia="Times New Roman" w:hAnsi="Arial" w:cs="Arial"/>
          <w:color w:val="000000"/>
          <w:sz w:val="22"/>
          <w:szCs w:val="22"/>
          <w:lang w:val="pl-PL" w:eastAsia="pl-PL"/>
        </w:rPr>
        <w:t>w polskim segmencie nieruchomości magazynowych. Motywacją Chin jest globalna strategia tamtejszych funduszy, polegająca na inwestowaniu w aktywa związane z transportem i logistyką, czyli w porty, huby przeładunkowe, hale produkcyjne, czy magazyny e-commerce</w:t>
      </w:r>
      <w:r w:rsidR="001E05EE">
        <w:rPr>
          <w:rFonts w:ascii="Arial" w:eastAsia="Times New Roman" w:hAnsi="Arial" w:cs="Arial"/>
          <w:color w:val="000000"/>
          <w:sz w:val="22"/>
          <w:szCs w:val="22"/>
          <w:lang w:val="pl-PL" w:eastAsia="pl-PL"/>
        </w:rPr>
        <w:t xml:space="preserve"> </w:t>
      </w:r>
      <w:r w:rsidRPr="001E0200">
        <w:rPr>
          <w:rFonts w:ascii="Arial" w:eastAsia="Times New Roman" w:hAnsi="Arial" w:cs="Arial"/>
          <w:color w:val="000000"/>
          <w:sz w:val="22"/>
          <w:szCs w:val="22"/>
          <w:lang w:val="pl-PL" w:eastAsia="pl-PL"/>
        </w:rPr>
        <w:t xml:space="preserve">w regionie CEE”, dodaje </w:t>
      </w:r>
      <w:r w:rsidRPr="001E0200">
        <w:rPr>
          <w:rFonts w:ascii="Arial" w:eastAsia="Times New Roman" w:hAnsi="Arial" w:cs="Arial"/>
          <w:b/>
          <w:bCs/>
          <w:color w:val="000000"/>
          <w:sz w:val="22"/>
          <w:szCs w:val="22"/>
          <w:lang w:val="pl-PL" w:eastAsia="pl-PL"/>
        </w:rPr>
        <w:t>Agata Sekuła.</w:t>
      </w:r>
      <w:r w:rsidRPr="001E0200">
        <w:rPr>
          <w:rFonts w:ascii="Arial" w:eastAsia="Times New Roman" w:hAnsi="Arial" w:cs="Arial"/>
          <w:color w:val="000000"/>
          <w:sz w:val="22"/>
          <w:szCs w:val="22"/>
          <w:lang w:val="pl-PL" w:eastAsia="pl-PL"/>
        </w:rPr>
        <w:t xml:space="preserve"> </w:t>
      </w:r>
    </w:p>
    <w:p w14:paraId="1BBEC409" w14:textId="77E822DA" w:rsidR="001E0200" w:rsidRPr="001E0200" w:rsidRDefault="001E0200" w:rsidP="001E0200">
      <w:pPr>
        <w:spacing w:before="100" w:beforeAutospacing="1" w:after="100" w:afterAutospacing="1"/>
        <w:ind w:left="-567" w:right="-336"/>
        <w:rPr>
          <w:rFonts w:ascii="Arial" w:eastAsia="Times New Roman" w:hAnsi="Arial" w:cs="Arial"/>
          <w:b/>
          <w:color w:val="000000"/>
          <w:sz w:val="22"/>
          <w:szCs w:val="22"/>
          <w:lang w:val="pl-PL" w:eastAsia="pl-PL"/>
        </w:rPr>
      </w:pPr>
      <w:r w:rsidRPr="001E0200">
        <w:rPr>
          <w:rFonts w:ascii="Arial" w:eastAsia="Times New Roman" w:hAnsi="Arial" w:cs="Arial"/>
          <w:b/>
          <w:color w:val="000000"/>
          <w:sz w:val="22"/>
          <w:szCs w:val="22"/>
          <w:lang w:val="pl-PL" w:eastAsia="pl-PL"/>
        </w:rPr>
        <w:t>CEE w natarciu</w:t>
      </w:r>
      <w:r>
        <w:rPr>
          <w:rFonts w:ascii="Arial" w:eastAsia="Times New Roman" w:hAnsi="Arial" w:cs="Arial"/>
          <w:b/>
          <w:color w:val="000000"/>
          <w:sz w:val="22"/>
          <w:szCs w:val="22"/>
          <w:lang w:val="pl-PL" w:eastAsia="pl-PL"/>
        </w:rPr>
        <w:br/>
      </w:r>
      <w:r w:rsidRPr="001E0200">
        <w:rPr>
          <w:rFonts w:ascii="Arial" w:eastAsia="Times New Roman" w:hAnsi="Arial" w:cs="Arial"/>
          <w:color w:val="000000"/>
          <w:sz w:val="22"/>
          <w:szCs w:val="22"/>
          <w:lang w:val="pl-PL" w:eastAsia="pl-PL"/>
        </w:rPr>
        <w:t xml:space="preserve">Ostatnie kilka lat przyniosło ciekawe decyzje inwestycyjne i rosnącą aktywność kapitału z krajów Europy Środkowo – Wschodniej. Najpierw był to czeski CPI, a potem węgierski Wing, który w ubiegłym roku kupił </w:t>
      </w:r>
      <w:r w:rsidR="00960FEF">
        <w:rPr>
          <w:rFonts w:ascii="Arial" w:eastAsia="Times New Roman" w:hAnsi="Arial" w:cs="Arial"/>
          <w:color w:val="000000"/>
          <w:sz w:val="22"/>
          <w:szCs w:val="22"/>
          <w:lang w:val="pl-PL" w:eastAsia="pl-PL"/>
        </w:rPr>
        <w:t xml:space="preserve">wiekszościowy pakiet udziałów w </w:t>
      </w:r>
      <w:r w:rsidRPr="001E0200">
        <w:rPr>
          <w:rFonts w:ascii="Arial" w:eastAsia="Times New Roman" w:hAnsi="Arial" w:cs="Arial"/>
          <w:color w:val="000000"/>
          <w:sz w:val="22"/>
          <w:szCs w:val="22"/>
          <w:lang w:val="pl-PL" w:eastAsia="pl-PL"/>
        </w:rPr>
        <w:t xml:space="preserve">Echo Investment. </w:t>
      </w:r>
      <w:r w:rsidR="001E05EE">
        <w:rPr>
          <w:rFonts w:ascii="Arial" w:eastAsia="Times New Roman" w:hAnsi="Arial" w:cs="Arial"/>
          <w:color w:val="000000"/>
          <w:sz w:val="22"/>
          <w:szCs w:val="22"/>
          <w:lang w:val="pl-PL" w:eastAsia="pl-PL"/>
        </w:rPr>
        <w:t>W kwietniu tego roku</w:t>
      </w:r>
      <w:r w:rsidRPr="001E0200">
        <w:rPr>
          <w:rFonts w:ascii="Arial" w:eastAsia="Times New Roman" w:hAnsi="Arial" w:cs="Arial"/>
          <w:color w:val="000000"/>
          <w:sz w:val="22"/>
          <w:szCs w:val="22"/>
          <w:lang w:val="pl-PL" w:eastAsia="pl-PL"/>
        </w:rPr>
        <w:t xml:space="preserve"> Optimum </w:t>
      </w:r>
      <w:proofErr w:type="spellStart"/>
      <w:r w:rsidRPr="001E0200">
        <w:rPr>
          <w:rFonts w:ascii="Arial" w:eastAsia="Times New Roman" w:hAnsi="Arial" w:cs="Arial"/>
          <w:color w:val="000000"/>
          <w:sz w:val="22"/>
          <w:szCs w:val="22"/>
          <w:lang w:val="pl-PL" w:eastAsia="pl-PL"/>
        </w:rPr>
        <w:t>Ventures</w:t>
      </w:r>
      <w:proofErr w:type="spellEnd"/>
      <w:r w:rsidRPr="001E0200">
        <w:rPr>
          <w:rFonts w:ascii="Arial" w:eastAsia="Times New Roman" w:hAnsi="Arial" w:cs="Arial"/>
          <w:color w:val="000000"/>
          <w:sz w:val="22"/>
          <w:szCs w:val="22"/>
          <w:lang w:val="pl-PL" w:eastAsia="pl-PL"/>
        </w:rPr>
        <w:t xml:space="preserve">, którego właścicielem jest Narodowy Bank Węgier, </w:t>
      </w:r>
      <w:bookmarkStart w:id="3" w:name="_Hlk46137105"/>
      <w:r w:rsidRPr="001E0200">
        <w:rPr>
          <w:rFonts w:ascii="Arial" w:eastAsia="Times New Roman" w:hAnsi="Arial" w:cs="Arial"/>
          <w:color w:val="000000"/>
          <w:sz w:val="22"/>
          <w:szCs w:val="22"/>
          <w:lang w:val="pl-PL" w:eastAsia="pl-PL"/>
        </w:rPr>
        <w:t xml:space="preserve">kupił 61,49% </w:t>
      </w:r>
      <w:bookmarkEnd w:id="3"/>
      <w:r w:rsidRPr="001E0200">
        <w:rPr>
          <w:rFonts w:ascii="Arial" w:eastAsia="Times New Roman" w:hAnsi="Arial" w:cs="Arial"/>
          <w:color w:val="000000"/>
          <w:sz w:val="22"/>
          <w:szCs w:val="22"/>
          <w:lang w:val="pl-PL" w:eastAsia="pl-PL"/>
        </w:rPr>
        <w:t xml:space="preserve">udziałów w spółce GTC. W Polsce węgierskiego właściciela ma też deweloper mieszkaniowy Polnord (Cordia). </w:t>
      </w:r>
    </w:p>
    <w:p w14:paraId="007350C9" w14:textId="163ADF90"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r w:rsidRPr="001E0200">
        <w:rPr>
          <w:rFonts w:ascii="Arial" w:eastAsia="Times New Roman" w:hAnsi="Arial" w:cs="Arial"/>
          <w:color w:val="000000"/>
          <w:sz w:val="22"/>
          <w:szCs w:val="22"/>
          <w:lang w:val="pl-PL" w:eastAsia="pl-PL"/>
        </w:rPr>
        <w:t xml:space="preserve">„Łącznie w polskim sektorze nieruchomości Czesi i Węgrzy sfinalizowali transakcje </w:t>
      </w:r>
      <w:r w:rsidRPr="00E03C5E">
        <w:rPr>
          <w:rFonts w:ascii="Arial" w:eastAsia="Times New Roman" w:hAnsi="Arial" w:cs="Arial"/>
          <w:color w:val="000000"/>
          <w:sz w:val="22"/>
          <w:szCs w:val="22"/>
          <w:lang w:val="pl-PL" w:eastAsia="pl-PL"/>
        </w:rPr>
        <w:t>o wartości ponad 2</w:t>
      </w:r>
      <w:r w:rsidR="00B31DF3" w:rsidRPr="00E03C5E">
        <w:rPr>
          <w:rFonts w:ascii="Arial" w:eastAsia="Times New Roman" w:hAnsi="Arial" w:cs="Arial"/>
          <w:color w:val="000000"/>
          <w:sz w:val="22"/>
          <w:szCs w:val="22"/>
          <w:lang w:val="pl-PL" w:eastAsia="pl-PL"/>
        </w:rPr>
        <w:t>,6</w:t>
      </w:r>
      <w:r w:rsidRPr="00E03C5E">
        <w:rPr>
          <w:rFonts w:ascii="Arial" w:eastAsia="Times New Roman" w:hAnsi="Arial" w:cs="Arial"/>
          <w:color w:val="000000"/>
          <w:sz w:val="22"/>
          <w:szCs w:val="22"/>
          <w:lang w:val="pl-PL" w:eastAsia="pl-PL"/>
        </w:rPr>
        <w:t xml:space="preserve"> mld euro</w:t>
      </w:r>
      <w:r w:rsidRPr="001E0200">
        <w:rPr>
          <w:rFonts w:ascii="Arial" w:eastAsia="Times New Roman" w:hAnsi="Arial" w:cs="Arial"/>
          <w:color w:val="000000"/>
          <w:sz w:val="22"/>
          <w:szCs w:val="22"/>
          <w:lang w:val="pl-PL" w:eastAsia="pl-PL"/>
        </w:rPr>
        <w:t xml:space="preserve"> i to w znakomitej większości w ciągu ostatnich pięciu lat. To więcej niż Polacy zainwestowali na własnym rynku w ciągu ostatnich 22 lat”, zauważa </w:t>
      </w:r>
      <w:r w:rsidRPr="001E0200">
        <w:rPr>
          <w:rFonts w:ascii="Arial" w:eastAsia="Times New Roman" w:hAnsi="Arial" w:cs="Arial"/>
          <w:b/>
          <w:bCs/>
          <w:color w:val="000000"/>
          <w:sz w:val="22"/>
          <w:szCs w:val="22"/>
          <w:lang w:val="pl-PL" w:eastAsia="pl-PL"/>
        </w:rPr>
        <w:t>Agata Sekuła.</w:t>
      </w:r>
      <w:r w:rsidRPr="001E0200">
        <w:rPr>
          <w:rFonts w:ascii="Arial" w:eastAsia="Times New Roman" w:hAnsi="Arial" w:cs="Arial"/>
          <w:color w:val="000000"/>
          <w:sz w:val="22"/>
          <w:szCs w:val="22"/>
          <w:lang w:val="pl-PL" w:eastAsia="pl-PL"/>
        </w:rPr>
        <w:t xml:space="preserve"> </w:t>
      </w:r>
    </w:p>
    <w:p w14:paraId="7F7CEA70" w14:textId="39E14D13" w:rsidR="001E0200" w:rsidRPr="001E0200" w:rsidRDefault="001E0200" w:rsidP="001E0200">
      <w:pPr>
        <w:spacing w:before="100" w:beforeAutospacing="1" w:after="100" w:afterAutospacing="1"/>
        <w:ind w:left="-567" w:right="-336"/>
        <w:rPr>
          <w:rFonts w:ascii="Arial" w:eastAsia="Times New Roman" w:hAnsi="Arial" w:cs="Arial"/>
          <w:b/>
          <w:color w:val="000000"/>
          <w:sz w:val="22"/>
          <w:szCs w:val="22"/>
          <w:lang w:val="pl-PL" w:eastAsia="pl-PL"/>
        </w:rPr>
      </w:pPr>
      <w:r w:rsidRPr="001E0200">
        <w:rPr>
          <w:rFonts w:ascii="Arial" w:eastAsia="Times New Roman" w:hAnsi="Arial" w:cs="Arial"/>
          <w:b/>
          <w:color w:val="000000"/>
          <w:sz w:val="22"/>
          <w:szCs w:val="22"/>
          <w:lang w:val="pl-PL" w:eastAsia="pl-PL"/>
        </w:rPr>
        <w:t>Co z polskim kapitałem?</w:t>
      </w:r>
      <w:r>
        <w:rPr>
          <w:rFonts w:ascii="Arial" w:eastAsia="Times New Roman" w:hAnsi="Arial" w:cs="Arial"/>
          <w:b/>
          <w:color w:val="000000"/>
          <w:sz w:val="22"/>
          <w:szCs w:val="22"/>
          <w:lang w:val="pl-PL" w:eastAsia="pl-PL"/>
        </w:rPr>
        <w:br/>
      </w:r>
      <w:r w:rsidRPr="001E0200">
        <w:rPr>
          <w:rFonts w:ascii="Arial" w:eastAsia="Times New Roman" w:hAnsi="Arial" w:cs="Arial"/>
          <w:color w:val="000000"/>
          <w:sz w:val="22"/>
          <w:szCs w:val="22"/>
          <w:lang w:val="pl-PL" w:eastAsia="pl-PL"/>
        </w:rPr>
        <w:t>„Obserwując kierunki napływu kapitału na przestrzeni ostatnich 25 lat</w:t>
      </w:r>
      <w:r w:rsidR="009106C0">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bardzo naturalnie nasuwa się pytanie, skąd bierze się tak niska aktywność polskich inwestorów. Jako JLL doradzamy funduszom z kilkudziesięciu krajów, </w:t>
      </w:r>
      <w:r w:rsidR="000872EC" w:rsidRPr="001E0200">
        <w:rPr>
          <w:rFonts w:ascii="Arial" w:eastAsia="Times New Roman" w:hAnsi="Arial" w:cs="Arial"/>
          <w:color w:val="000000"/>
          <w:sz w:val="22"/>
          <w:szCs w:val="22"/>
          <w:lang w:val="pl-PL" w:eastAsia="pl-PL"/>
        </w:rPr>
        <w:t>któr</w:t>
      </w:r>
      <w:r w:rsidR="000872EC">
        <w:rPr>
          <w:rFonts w:ascii="Arial" w:eastAsia="Times New Roman" w:hAnsi="Arial" w:cs="Arial"/>
          <w:color w:val="000000"/>
          <w:sz w:val="22"/>
          <w:szCs w:val="22"/>
          <w:lang w:val="pl-PL" w:eastAsia="pl-PL"/>
        </w:rPr>
        <w:t xml:space="preserve">e </w:t>
      </w:r>
      <w:r w:rsidRPr="001E0200">
        <w:rPr>
          <w:rFonts w:ascii="Arial" w:eastAsia="Times New Roman" w:hAnsi="Arial" w:cs="Arial"/>
          <w:color w:val="000000"/>
          <w:sz w:val="22"/>
          <w:szCs w:val="22"/>
          <w:lang w:val="pl-PL" w:eastAsia="pl-PL"/>
        </w:rPr>
        <w:t xml:space="preserve">konsekwentnie finalizują transakcje sprzedaży lub kupna nieruchomości, a ich apetyty związane z ekspansją w Polsce nie słabną. Nasz rynek wypracował bardzo silną markę inwestycyjną, zapewniając solidne zwroty i gwarantując niskie ryzyko. Nie sposób więc nie zauważyć, że polski kapitał w sektorze nieruchomości komercyjnych jest mało aktywny, biorąc pod uwagę jego skalę i możliwości”, dodaje </w:t>
      </w:r>
      <w:r w:rsidRPr="001E0200">
        <w:rPr>
          <w:rFonts w:ascii="Arial" w:eastAsia="Times New Roman" w:hAnsi="Arial" w:cs="Arial"/>
          <w:b/>
          <w:bCs/>
          <w:color w:val="000000"/>
          <w:sz w:val="22"/>
          <w:szCs w:val="22"/>
          <w:lang w:val="pl-PL" w:eastAsia="pl-PL"/>
        </w:rPr>
        <w:t>Agata Sekuła.</w:t>
      </w:r>
    </w:p>
    <w:p w14:paraId="763ACE2F" w14:textId="4681CB50"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r w:rsidRPr="001E0200">
        <w:rPr>
          <w:rFonts w:ascii="Arial" w:eastAsia="Times New Roman" w:hAnsi="Arial" w:cs="Arial"/>
          <w:color w:val="000000"/>
          <w:sz w:val="22"/>
          <w:szCs w:val="22"/>
          <w:lang w:val="pl-PL" w:eastAsia="pl-PL"/>
        </w:rPr>
        <w:t xml:space="preserve">Powód? </w:t>
      </w:r>
      <w:r w:rsidR="00B61AB5">
        <w:rPr>
          <w:rFonts w:ascii="Arial" w:eastAsia="Times New Roman" w:hAnsi="Arial" w:cs="Arial"/>
          <w:color w:val="000000"/>
          <w:sz w:val="22"/>
          <w:szCs w:val="22"/>
          <w:lang w:val="pl-PL" w:eastAsia="pl-PL"/>
        </w:rPr>
        <w:t xml:space="preserve">Inwestorom indywidualnym </w:t>
      </w:r>
      <w:r w:rsidRPr="001E0200">
        <w:rPr>
          <w:rFonts w:ascii="Arial" w:eastAsia="Times New Roman" w:hAnsi="Arial" w:cs="Arial"/>
          <w:color w:val="000000"/>
          <w:sz w:val="22"/>
          <w:szCs w:val="22"/>
          <w:lang w:val="pl-PL" w:eastAsia="pl-PL"/>
        </w:rPr>
        <w:t>z Polski nie jest łatwo inwestować w nieruchomości</w:t>
      </w:r>
      <w:r w:rsidR="00B31DF3">
        <w:rPr>
          <w:rFonts w:ascii="Arial" w:eastAsia="Times New Roman" w:hAnsi="Arial" w:cs="Arial"/>
          <w:color w:val="000000"/>
          <w:sz w:val="22"/>
          <w:szCs w:val="22"/>
          <w:lang w:val="pl-PL" w:eastAsia="pl-PL"/>
        </w:rPr>
        <w:t xml:space="preserve"> komercyjne</w:t>
      </w:r>
      <w:r w:rsidRPr="001E0200">
        <w:rPr>
          <w:rFonts w:ascii="Arial" w:eastAsia="Times New Roman" w:hAnsi="Arial" w:cs="Arial"/>
          <w:color w:val="000000"/>
          <w:sz w:val="22"/>
          <w:szCs w:val="22"/>
          <w:lang w:val="pl-PL" w:eastAsia="pl-PL"/>
        </w:rPr>
        <w:t xml:space="preserve">. Przeszkodą jest wysoki próg wejścia ze względu na brak REIT-ów (specyficzna kategoria funduszy, które umożliwiają inwestorom </w:t>
      </w:r>
      <w:r w:rsidR="00BE11E1" w:rsidRPr="001E0200">
        <w:rPr>
          <w:rFonts w:ascii="Arial" w:eastAsia="Times New Roman" w:hAnsi="Arial" w:cs="Arial"/>
          <w:color w:val="000000"/>
          <w:sz w:val="22"/>
          <w:szCs w:val="22"/>
          <w:lang w:val="pl-PL" w:eastAsia="pl-PL"/>
        </w:rPr>
        <w:t xml:space="preserve">indywidualnym </w:t>
      </w:r>
      <w:r w:rsidRPr="001E0200">
        <w:rPr>
          <w:rFonts w:ascii="Arial" w:eastAsia="Times New Roman" w:hAnsi="Arial" w:cs="Arial"/>
          <w:color w:val="000000"/>
          <w:sz w:val="22"/>
          <w:szCs w:val="22"/>
          <w:lang w:val="pl-PL" w:eastAsia="pl-PL"/>
        </w:rPr>
        <w:t>wygenerować skalę, pozwala</w:t>
      </w:r>
      <w:r w:rsidR="00BE11E1">
        <w:rPr>
          <w:rFonts w:ascii="Arial" w:eastAsia="Times New Roman" w:hAnsi="Arial" w:cs="Arial"/>
          <w:color w:val="000000"/>
          <w:sz w:val="22"/>
          <w:szCs w:val="22"/>
          <w:lang w:val="pl-PL" w:eastAsia="pl-PL"/>
        </w:rPr>
        <w:t>jącą</w:t>
      </w:r>
      <w:r w:rsidRPr="001E0200">
        <w:rPr>
          <w:rFonts w:ascii="Arial" w:eastAsia="Times New Roman" w:hAnsi="Arial" w:cs="Arial"/>
          <w:color w:val="000000"/>
          <w:sz w:val="22"/>
          <w:szCs w:val="22"/>
          <w:lang w:val="pl-PL" w:eastAsia="pl-PL"/>
        </w:rPr>
        <w:t xml:space="preserve"> kupić nieruchomość). Polskie fundusze emerytalne mogą natomiast lokować w nieruchomościach zaledwie niewielki ułamek inwestycji, co również stanowi istotną barierę.</w:t>
      </w:r>
      <w:r w:rsidR="00B31DF3">
        <w:rPr>
          <w:rFonts w:ascii="Arial" w:eastAsia="Times New Roman" w:hAnsi="Arial" w:cs="Arial"/>
          <w:color w:val="000000"/>
          <w:sz w:val="22"/>
          <w:szCs w:val="22"/>
          <w:lang w:val="pl-PL" w:eastAsia="pl-PL"/>
        </w:rPr>
        <w:t xml:space="preserve"> </w:t>
      </w:r>
      <w:r w:rsidR="00090C80">
        <w:rPr>
          <w:rFonts w:ascii="Arial" w:eastAsia="Times New Roman" w:hAnsi="Arial" w:cs="Arial"/>
          <w:color w:val="000000"/>
          <w:sz w:val="22"/>
          <w:szCs w:val="22"/>
          <w:lang w:val="pl-PL" w:eastAsia="pl-PL"/>
        </w:rPr>
        <w:t>Inwestycje w nieruchomości komercyjne są przedsięwzięciem kapitałochłonnym, gdzie ceny za</w:t>
      </w:r>
      <w:r w:rsidR="0035735A">
        <w:rPr>
          <w:rFonts w:ascii="Arial" w:eastAsia="Times New Roman" w:hAnsi="Arial" w:cs="Arial"/>
          <w:color w:val="000000"/>
          <w:sz w:val="22"/>
          <w:szCs w:val="22"/>
          <w:lang w:val="pl-PL" w:eastAsia="pl-PL"/>
        </w:rPr>
        <w:t xml:space="preserve"> pojedyncze</w:t>
      </w:r>
      <w:r w:rsidR="00090C80">
        <w:rPr>
          <w:rFonts w:ascii="Arial" w:eastAsia="Times New Roman" w:hAnsi="Arial" w:cs="Arial"/>
          <w:color w:val="000000"/>
          <w:sz w:val="22"/>
          <w:szCs w:val="22"/>
          <w:lang w:val="pl-PL" w:eastAsia="pl-PL"/>
        </w:rPr>
        <w:t xml:space="preserve"> lepsze lub większe nieruchomości kształtują się z reguły na poziomie od kilkudziesięciu do kilkuset milionów euro</w:t>
      </w:r>
      <w:r w:rsidR="0035735A">
        <w:rPr>
          <w:rFonts w:ascii="Arial" w:eastAsia="Times New Roman" w:hAnsi="Arial" w:cs="Arial"/>
          <w:color w:val="000000"/>
          <w:sz w:val="22"/>
          <w:szCs w:val="22"/>
          <w:lang w:val="pl-PL" w:eastAsia="pl-PL"/>
        </w:rPr>
        <w:t xml:space="preserve"> (nie mówiąc już, że przedmiotem obrotu na polskim rynku często bywają portfele nieruchomości)</w:t>
      </w:r>
      <w:r w:rsidR="00090C80">
        <w:rPr>
          <w:rFonts w:ascii="Arial" w:eastAsia="Times New Roman" w:hAnsi="Arial" w:cs="Arial"/>
          <w:color w:val="000000"/>
          <w:sz w:val="22"/>
          <w:szCs w:val="22"/>
          <w:lang w:val="pl-PL" w:eastAsia="pl-PL"/>
        </w:rPr>
        <w:t xml:space="preserve">. Transakcje z udziałem polskiego kapitału, choć dość liczne, </w:t>
      </w:r>
      <w:r w:rsidR="0035735A">
        <w:rPr>
          <w:rFonts w:ascii="Arial" w:eastAsia="Times New Roman" w:hAnsi="Arial" w:cs="Arial"/>
          <w:color w:val="000000"/>
          <w:sz w:val="22"/>
          <w:szCs w:val="22"/>
          <w:lang w:val="pl-PL" w:eastAsia="pl-PL"/>
        </w:rPr>
        <w:t>opiewają na niewielkie kwoty i są obecnie niestety jedynie tłem dla rynku inwestycji w nieruchomości komercyjne w Polsce.</w:t>
      </w:r>
    </w:p>
    <w:p w14:paraId="4904D8E2" w14:textId="30BBD744" w:rsidR="001E0200" w:rsidRPr="001E0200" w:rsidRDefault="001E0200" w:rsidP="001E0200">
      <w:pPr>
        <w:spacing w:before="100" w:beforeAutospacing="1" w:after="100" w:afterAutospacing="1"/>
        <w:ind w:left="-567" w:right="-336"/>
        <w:rPr>
          <w:rFonts w:ascii="Arial" w:eastAsia="Times New Roman" w:hAnsi="Arial" w:cs="Arial"/>
          <w:color w:val="000000"/>
          <w:sz w:val="22"/>
          <w:szCs w:val="22"/>
          <w:lang w:val="pl-PL" w:eastAsia="pl-PL"/>
        </w:rPr>
      </w:pPr>
      <w:r w:rsidRPr="001E0200">
        <w:rPr>
          <w:rFonts w:ascii="Arial" w:eastAsia="Times New Roman" w:hAnsi="Arial" w:cs="Arial"/>
          <w:color w:val="000000"/>
          <w:sz w:val="22"/>
          <w:szCs w:val="22"/>
          <w:lang w:val="pl-PL" w:eastAsia="pl-PL"/>
        </w:rPr>
        <w:t>„W Polsce, mimo wielu postulatów wysuwanych przez sektor prywatny, nadal nie ma możliwości inwestowania w nieruchomości komercyjne przy udziale kapitału</w:t>
      </w:r>
      <w:r w:rsidR="00C51418">
        <w:rPr>
          <w:rFonts w:ascii="Arial" w:eastAsia="Times New Roman" w:hAnsi="Arial" w:cs="Arial"/>
          <w:color w:val="000000"/>
          <w:sz w:val="22"/>
          <w:szCs w:val="22"/>
          <w:lang w:val="pl-PL" w:eastAsia="pl-PL"/>
        </w:rPr>
        <w:t xml:space="preserve"> </w:t>
      </w:r>
      <w:r w:rsidR="00C51418" w:rsidRPr="001E0200">
        <w:rPr>
          <w:rFonts w:ascii="Arial" w:eastAsia="Times New Roman" w:hAnsi="Arial" w:cs="Arial"/>
          <w:color w:val="000000"/>
          <w:sz w:val="22"/>
          <w:szCs w:val="22"/>
          <w:lang w:val="pl-PL" w:eastAsia="pl-PL"/>
        </w:rPr>
        <w:t>indywidualnego</w:t>
      </w:r>
      <w:r w:rsidRPr="001E0200">
        <w:rPr>
          <w:rFonts w:ascii="Arial" w:eastAsia="Times New Roman" w:hAnsi="Arial" w:cs="Arial"/>
          <w:color w:val="000000"/>
          <w:sz w:val="22"/>
          <w:szCs w:val="22"/>
          <w:lang w:val="pl-PL" w:eastAsia="pl-PL"/>
        </w:rPr>
        <w:t>. REIT-y byłyby tu ważnym impulsem. Mamy dużą gospodarkę, która tym bardziej teraz powinna dawać więcej możliwości biznesowych w zarządzaniu kapitałem instytucjonalnym oraz lokowania kapitału przez inwestorów indywidualnych. Brak odpowiednich instrumentów, które wspierałyby polskie fundusze</w:t>
      </w:r>
      <w:r w:rsidR="00C51418">
        <w:rPr>
          <w:rFonts w:ascii="Arial" w:eastAsia="Times New Roman" w:hAnsi="Arial" w:cs="Arial"/>
          <w:color w:val="000000"/>
          <w:sz w:val="22"/>
          <w:szCs w:val="22"/>
          <w:lang w:val="pl-PL" w:eastAsia="pl-PL"/>
        </w:rPr>
        <w:t>,</w:t>
      </w:r>
      <w:r w:rsidRPr="001E0200">
        <w:rPr>
          <w:rFonts w:ascii="Arial" w:eastAsia="Times New Roman" w:hAnsi="Arial" w:cs="Arial"/>
          <w:color w:val="000000"/>
          <w:sz w:val="22"/>
          <w:szCs w:val="22"/>
          <w:lang w:val="pl-PL" w:eastAsia="pl-PL"/>
        </w:rPr>
        <w:t xml:space="preserve"> jasno pokazuje, że nieruchomości komercyjne są niedocenianym aktywem w polityce gospodarczej kraju”, podsumowuje </w:t>
      </w:r>
      <w:r w:rsidRPr="001E0200">
        <w:rPr>
          <w:rFonts w:ascii="Arial" w:eastAsia="Times New Roman" w:hAnsi="Arial" w:cs="Arial"/>
          <w:b/>
          <w:bCs/>
          <w:color w:val="000000"/>
          <w:sz w:val="22"/>
          <w:szCs w:val="22"/>
          <w:lang w:val="pl-PL" w:eastAsia="pl-PL"/>
        </w:rPr>
        <w:t>Agata Sekuła.</w:t>
      </w:r>
      <w:r w:rsidRPr="001E0200">
        <w:rPr>
          <w:rFonts w:ascii="Arial" w:eastAsia="Times New Roman" w:hAnsi="Arial" w:cs="Arial"/>
          <w:color w:val="000000"/>
          <w:sz w:val="22"/>
          <w:szCs w:val="22"/>
          <w:lang w:val="pl-PL" w:eastAsia="pl-PL"/>
        </w:rPr>
        <w:t xml:space="preserve"> </w:t>
      </w:r>
    </w:p>
    <w:p w14:paraId="5A014106" w14:textId="3FA0ACD3" w:rsidR="001E0200" w:rsidRPr="001E0200" w:rsidRDefault="0035735A" w:rsidP="001E0200">
      <w:pPr>
        <w:ind w:left="-567" w:right="-336"/>
        <w:rPr>
          <w:rFonts w:ascii="Arial" w:eastAsia="Times New Roman" w:hAnsi="Arial" w:cs="Arial"/>
          <w:sz w:val="22"/>
          <w:szCs w:val="22"/>
          <w:lang w:val="pl-PL" w:eastAsia="pl-PL"/>
        </w:rPr>
      </w:pPr>
      <w:r>
        <w:rPr>
          <w:rFonts w:ascii="Arial" w:eastAsia="Times New Roman" w:hAnsi="Arial" w:cs="Arial"/>
          <w:color w:val="000000"/>
          <w:sz w:val="22"/>
          <w:szCs w:val="22"/>
          <w:lang w:val="pl-PL" w:eastAsia="pl-PL"/>
        </w:rPr>
        <w:t xml:space="preserve">Nawet pomimo trudnej sytuacji związanej z </w:t>
      </w:r>
      <w:r w:rsidR="007626A6">
        <w:rPr>
          <w:rFonts w:ascii="Arial" w:eastAsia="Times New Roman" w:hAnsi="Arial" w:cs="Arial"/>
          <w:color w:val="000000"/>
          <w:sz w:val="22"/>
          <w:szCs w:val="22"/>
          <w:lang w:val="pl-PL" w:eastAsia="pl-PL"/>
        </w:rPr>
        <w:t>COVID</w:t>
      </w:r>
      <w:r>
        <w:rPr>
          <w:rFonts w:ascii="Arial" w:eastAsia="Times New Roman" w:hAnsi="Arial" w:cs="Arial"/>
          <w:color w:val="000000"/>
          <w:sz w:val="22"/>
          <w:szCs w:val="22"/>
          <w:lang w:val="pl-PL" w:eastAsia="pl-PL"/>
        </w:rPr>
        <w:t xml:space="preserve">-19 </w:t>
      </w:r>
      <w:r w:rsidR="007626A6">
        <w:rPr>
          <w:rFonts w:ascii="Arial" w:eastAsia="Times New Roman" w:hAnsi="Arial" w:cs="Arial"/>
          <w:color w:val="000000"/>
          <w:sz w:val="22"/>
          <w:szCs w:val="22"/>
          <w:lang w:val="pl-PL" w:eastAsia="pl-PL"/>
        </w:rPr>
        <w:t>do końca września</w:t>
      </w:r>
      <w:r w:rsidR="001E0200" w:rsidRPr="001E0200">
        <w:rPr>
          <w:rFonts w:ascii="Arial" w:eastAsia="Times New Roman" w:hAnsi="Arial" w:cs="Arial"/>
          <w:color w:val="000000"/>
          <w:sz w:val="22"/>
          <w:szCs w:val="22"/>
          <w:lang w:val="pl-PL" w:eastAsia="pl-PL"/>
        </w:rPr>
        <w:t xml:space="preserve"> sfinalizowano</w:t>
      </w:r>
      <w:r>
        <w:rPr>
          <w:rFonts w:ascii="Arial" w:eastAsia="Times New Roman" w:hAnsi="Arial" w:cs="Arial"/>
          <w:color w:val="000000"/>
          <w:sz w:val="22"/>
          <w:szCs w:val="22"/>
          <w:lang w:val="pl-PL" w:eastAsia="pl-PL"/>
        </w:rPr>
        <w:t xml:space="preserve"> </w:t>
      </w:r>
      <w:r w:rsidR="001E0200" w:rsidRPr="001E0200">
        <w:rPr>
          <w:rFonts w:ascii="Arial" w:eastAsia="Times New Roman" w:hAnsi="Arial" w:cs="Arial"/>
          <w:color w:val="000000"/>
          <w:sz w:val="22"/>
          <w:szCs w:val="22"/>
          <w:lang w:val="pl-PL" w:eastAsia="pl-PL"/>
        </w:rPr>
        <w:t xml:space="preserve">w Polsce transakcje o wartości </w:t>
      </w:r>
      <w:r w:rsidR="00714DB0" w:rsidRPr="00C46877">
        <w:rPr>
          <w:rFonts w:ascii="Arial" w:eastAsia="Times New Roman" w:hAnsi="Arial" w:cs="Arial"/>
          <w:color w:val="000000"/>
          <w:sz w:val="22"/>
          <w:szCs w:val="22"/>
          <w:lang w:val="pl-PL" w:eastAsia="pl-PL"/>
        </w:rPr>
        <w:t>4</w:t>
      </w:r>
      <w:r w:rsidR="007626A6">
        <w:rPr>
          <w:rFonts w:ascii="Arial" w:eastAsia="Times New Roman" w:hAnsi="Arial" w:cs="Arial"/>
          <w:color w:val="000000"/>
          <w:sz w:val="22"/>
          <w:szCs w:val="22"/>
          <w:lang w:val="pl-PL" w:eastAsia="pl-PL"/>
        </w:rPr>
        <w:t>,2</w:t>
      </w:r>
      <w:r w:rsidR="00714DB0">
        <w:rPr>
          <w:rFonts w:ascii="Arial" w:eastAsia="Times New Roman" w:hAnsi="Arial" w:cs="Arial"/>
          <w:color w:val="000000"/>
          <w:sz w:val="22"/>
          <w:szCs w:val="22"/>
          <w:lang w:val="pl-PL" w:eastAsia="pl-PL"/>
        </w:rPr>
        <w:t xml:space="preserve"> </w:t>
      </w:r>
      <w:r w:rsidR="001E0200" w:rsidRPr="001E0200">
        <w:rPr>
          <w:rFonts w:ascii="Arial" w:eastAsia="Times New Roman" w:hAnsi="Arial" w:cs="Arial"/>
          <w:color w:val="000000"/>
          <w:sz w:val="22"/>
          <w:szCs w:val="22"/>
          <w:lang w:val="pl-PL" w:eastAsia="pl-PL"/>
        </w:rPr>
        <w:t xml:space="preserve">mld euro. To świetnie ilustruje potencjał polskiego rynku nieruchomości i świadczy o głębokim zaufaniu inwestorów. Perspektywy rozwoju sektora mogą być jednak jeszcze </w:t>
      </w:r>
      <w:r w:rsidR="001E0200" w:rsidRPr="001E0200">
        <w:rPr>
          <w:rFonts w:ascii="Arial" w:eastAsia="Times New Roman" w:hAnsi="Arial" w:cs="Arial"/>
          <w:color w:val="000000"/>
          <w:sz w:val="22"/>
          <w:szCs w:val="22"/>
          <w:lang w:val="pl-PL" w:eastAsia="pl-PL"/>
        </w:rPr>
        <w:lastRenderedPageBreak/>
        <w:t>lepsze. Warunek? Dalsza praca nad poprawą klimatu legislacyjnego i lepsza współpraca na linii sektor prywatny – państwo.</w:t>
      </w:r>
    </w:p>
    <w:p w14:paraId="2572A72B" w14:textId="3A83EC7F" w:rsidR="00BB72D5" w:rsidRDefault="00BB72D5" w:rsidP="003A6430">
      <w:pPr>
        <w:ind w:left="-567" w:right="-336"/>
        <w:rPr>
          <w:rFonts w:ascii="Arial" w:hAnsi="Arial" w:cs="Arial"/>
          <w:sz w:val="22"/>
          <w:szCs w:val="22"/>
          <w:lang w:val="pl-PL"/>
        </w:rPr>
      </w:pPr>
    </w:p>
    <w:p w14:paraId="54B0E6EF" w14:textId="7F139627" w:rsidR="00306DC9" w:rsidRDefault="00306DC9" w:rsidP="00DE7680">
      <w:pPr>
        <w:ind w:right="-618"/>
        <w:rPr>
          <w:rFonts w:ascii="Arial" w:hAnsi="Arial" w:cs="Arial"/>
          <w:sz w:val="22"/>
          <w:szCs w:val="22"/>
          <w:lang w:val="pl-PL"/>
        </w:rPr>
      </w:pPr>
    </w:p>
    <w:p w14:paraId="2D745878" w14:textId="77777777" w:rsidR="0030557C" w:rsidRPr="00306DC9" w:rsidRDefault="0030557C" w:rsidP="00DE7680">
      <w:pPr>
        <w:ind w:right="-618"/>
        <w:rPr>
          <w:rFonts w:ascii="Arial" w:hAnsi="Arial" w:cs="Arial"/>
          <w:sz w:val="22"/>
          <w:szCs w:val="22"/>
          <w:lang w:val="pl-PL"/>
        </w:rPr>
      </w:pPr>
    </w:p>
    <w:p w14:paraId="4626FEEA" w14:textId="77777777" w:rsidR="00E010B9" w:rsidRPr="00306DC9" w:rsidRDefault="00E010B9" w:rsidP="003A6CB2">
      <w:pPr>
        <w:pStyle w:val="Akapitzlist"/>
        <w:ind w:left="-567" w:right="-618"/>
        <w:jc w:val="center"/>
        <w:rPr>
          <w:rFonts w:ascii="Arial" w:hAnsi="Arial" w:cs="Arial"/>
          <w:sz w:val="22"/>
          <w:szCs w:val="22"/>
          <w:lang w:val="pl-PL"/>
        </w:rPr>
      </w:pPr>
    </w:p>
    <w:p w14:paraId="54B32F03" w14:textId="77777777" w:rsidR="007626A6" w:rsidRPr="00306DC9" w:rsidRDefault="007626A6" w:rsidP="007626A6">
      <w:pPr>
        <w:pStyle w:val="Akapitzlist"/>
        <w:ind w:left="-567" w:right="-618"/>
        <w:jc w:val="center"/>
        <w:rPr>
          <w:rFonts w:ascii="Arial" w:hAnsi="Arial" w:cs="Arial"/>
          <w:sz w:val="22"/>
          <w:szCs w:val="22"/>
          <w:lang w:val="pl-PL"/>
        </w:rPr>
      </w:pPr>
      <w:r w:rsidRPr="00306DC9">
        <w:rPr>
          <w:rFonts w:ascii="Arial" w:hAnsi="Arial" w:cs="Arial"/>
          <w:sz w:val="22"/>
          <w:szCs w:val="22"/>
          <w:lang w:val="pl-PL"/>
        </w:rPr>
        <w:t>- koniec -</w:t>
      </w:r>
    </w:p>
    <w:p w14:paraId="79B0540F" w14:textId="77777777" w:rsidR="0030557C" w:rsidRDefault="0030557C" w:rsidP="0030557C">
      <w:pPr>
        <w:ind w:left="-567" w:right="-618"/>
        <w:rPr>
          <w:rFonts w:ascii="Arial" w:eastAsia="Times New Roman" w:hAnsi="Arial" w:cs="Arial"/>
          <w:b/>
          <w:color w:val="000000"/>
          <w:sz w:val="22"/>
          <w:szCs w:val="22"/>
          <w:lang w:val="pl-PL"/>
        </w:rPr>
      </w:pPr>
      <w:bookmarkStart w:id="4" w:name="_Hlk19102507"/>
      <w:r w:rsidRPr="00306DC9">
        <w:rPr>
          <w:rFonts w:ascii="Arial" w:eastAsia="Times New Roman" w:hAnsi="Arial" w:cs="Arial"/>
          <w:b/>
          <w:i/>
          <w:iCs/>
          <w:color w:val="000000"/>
          <w:sz w:val="22"/>
          <w:szCs w:val="22"/>
          <w:lang w:val="pl-PL"/>
        </w:rPr>
        <w:t>O JLL</w:t>
      </w:r>
    </w:p>
    <w:p w14:paraId="7C95C0F3" w14:textId="43F5137B" w:rsidR="0030557C" w:rsidRPr="006A1FD8" w:rsidRDefault="0030557C" w:rsidP="0030557C">
      <w:pPr>
        <w:ind w:left="-567" w:right="-618"/>
        <w:rPr>
          <w:rFonts w:ascii="Arial" w:eastAsia="Times New Roman" w:hAnsi="Arial" w:cs="Arial"/>
          <w:b/>
          <w:color w:val="000000"/>
          <w:sz w:val="22"/>
          <w:szCs w:val="22"/>
          <w:lang w:val="pl-PL"/>
        </w:rPr>
      </w:pPr>
      <w:r w:rsidRPr="001C702F">
        <w:rPr>
          <w:rFonts w:ascii="Arial" w:hAnsi="Arial" w:cs="Arial"/>
          <w:sz w:val="22"/>
          <w:szCs w:val="22"/>
          <w:lang w:val="pl-PL"/>
        </w:rPr>
        <w:t xml:space="preserve">JLL (NYSE: JLL) to wiodąca firma doradcza świadcząca kompleksowe usługi na rynku nieruchomości. Misją JLL jest zredefiniowanie sektora nieruchomości, stwarzanie najlepszych możliwości biznesowych i atrakcyjnych, komfortowych przestrzeni sprzyjających realizowaniu celów. W ten sposób firma przyczynia się do budowania lepszej przyszłości dla swoich klientów, pracowników oraz społeczności, w których działa. JLL jest spółką z listy </w:t>
      </w:r>
      <w:proofErr w:type="spellStart"/>
      <w:r w:rsidRPr="001C702F">
        <w:rPr>
          <w:rFonts w:ascii="Arial" w:hAnsi="Arial" w:cs="Arial"/>
          <w:sz w:val="22"/>
          <w:szCs w:val="22"/>
          <w:lang w:val="pl-PL"/>
        </w:rPr>
        <w:t>Fortune</w:t>
      </w:r>
      <w:proofErr w:type="spellEnd"/>
      <w:r w:rsidRPr="001C702F">
        <w:rPr>
          <w:rFonts w:ascii="Arial" w:hAnsi="Arial" w:cs="Arial"/>
          <w:sz w:val="22"/>
          <w:szCs w:val="22"/>
          <w:lang w:val="pl-PL"/>
        </w:rPr>
        <w:t xml:space="preserve"> 500 </w:t>
      </w:r>
      <w:r w:rsidRPr="007F29EA">
        <w:rPr>
          <w:rFonts w:ascii="Arial" w:hAnsi="Arial" w:cs="Arial"/>
          <w:sz w:val="22"/>
          <w:szCs w:val="22"/>
          <w:lang w:val="pl-PL"/>
        </w:rPr>
        <w:t xml:space="preserve">o rocznych przychodach 18 </w:t>
      </w:r>
      <w:r>
        <w:rPr>
          <w:rFonts w:ascii="Arial" w:hAnsi="Arial" w:cs="Arial"/>
          <w:sz w:val="22"/>
          <w:szCs w:val="22"/>
          <w:lang w:val="pl-PL"/>
        </w:rPr>
        <w:t xml:space="preserve">mld USD </w:t>
      </w:r>
      <w:r w:rsidRPr="001C702F">
        <w:rPr>
          <w:rFonts w:ascii="Arial" w:hAnsi="Arial" w:cs="Arial"/>
          <w:sz w:val="22"/>
          <w:szCs w:val="22"/>
          <w:lang w:val="pl-PL"/>
        </w:rPr>
        <w:t xml:space="preserve">zatrudniającą </w:t>
      </w:r>
      <w:r>
        <w:rPr>
          <w:rFonts w:ascii="Arial" w:hAnsi="Arial" w:cs="Arial"/>
          <w:sz w:val="22"/>
          <w:szCs w:val="22"/>
          <w:lang w:val="pl-PL"/>
        </w:rPr>
        <w:br/>
      </w:r>
      <w:r w:rsidR="00E03C5E">
        <w:rPr>
          <w:rFonts w:ascii="Arial" w:hAnsi="Arial" w:cs="Arial"/>
          <w:sz w:val="22"/>
          <w:szCs w:val="22"/>
          <w:lang w:val="pl-PL"/>
        </w:rPr>
        <w:t xml:space="preserve">ok. </w:t>
      </w:r>
      <w:r w:rsidRPr="001C702F">
        <w:rPr>
          <w:rFonts w:ascii="Arial" w:hAnsi="Arial" w:cs="Arial"/>
          <w:sz w:val="22"/>
          <w:szCs w:val="22"/>
          <w:lang w:val="pl-PL"/>
        </w:rPr>
        <w:t>9</w:t>
      </w:r>
      <w:r w:rsidR="00E03C5E">
        <w:rPr>
          <w:rFonts w:ascii="Arial" w:hAnsi="Arial" w:cs="Arial"/>
          <w:sz w:val="22"/>
          <w:szCs w:val="22"/>
          <w:lang w:val="pl-PL"/>
        </w:rPr>
        <w:t>3</w:t>
      </w:r>
      <w:r w:rsidRPr="001C702F">
        <w:rPr>
          <w:rFonts w:ascii="Arial" w:hAnsi="Arial" w:cs="Arial"/>
          <w:sz w:val="22"/>
          <w:szCs w:val="22"/>
          <w:lang w:val="pl-PL"/>
        </w:rPr>
        <w:t xml:space="preserve"> 000 osób i obsługującą klientów w ponad 80 krajach. JLL jest marką i zastrzeżonym znakiem towarowym firmy Jones Lang </w:t>
      </w:r>
      <w:proofErr w:type="spellStart"/>
      <w:r w:rsidRPr="001C702F">
        <w:rPr>
          <w:rFonts w:ascii="Arial" w:hAnsi="Arial" w:cs="Arial"/>
          <w:sz w:val="22"/>
          <w:szCs w:val="22"/>
          <w:lang w:val="pl-PL"/>
        </w:rPr>
        <w:t>LaSalle</w:t>
      </w:r>
      <w:proofErr w:type="spellEnd"/>
      <w:r w:rsidRPr="001C702F">
        <w:rPr>
          <w:rFonts w:ascii="Arial" w:hAnsi="Arial" w:cs="Arial"/>
          <w:sz w:val="22"/>
          <w:szCs w:val="22"/>
          <w:lang w:val="pl-PL"/>
        </w:rPr>
        <w:t xml:space="preserve"> Incorporated. </w:t>
      </w:r>
      <w:r w:rsidRPr="00151A9A">
        <w:rPr>
          <w:rFonts w:ascii="Arial" w:hAnsi="Arial" w:cs="Arial"/>
          <w:sz w:val="22"/>
          <w:szCs w:val="22"/>
          <w:lang w:val="pl-PL"/>
        </w:rPr>
        <w:t xml:space="preserve">Więcej informacji znajduje się na stronie </w:t>
      </w:r>
      <w:hyperlink r:id="rId11" w:history="1">
        <w:r w:rsidRPr="00151A9A">
          <w:rPr>
            <w:rStyle w:val="Hipercze"/>
            <w:rFonts w:ascii="Arial" w:hAnsi="Arial" w:cs="Arial"/>
            <w:sz w:val="22"/>
            <w:szCs w:val="22"/>
            <w:lang w:val="pl-PL"/>
          </w:rPr>
          <w:t>www.jll.pl</w:t>
        </w:r>
      </w:hyperlink>
    </w:p>
    <w:p w14:paraId="304F4C96" w14:textId="3B3273A4" w:rsidR="007626A6" w:rsidRPr="00C92585" w:rsidRDefault="0030557C" w:rsidP="0030557C">
      <w:pPr>
        <w:ind w:left="-567" w:right="-618"/>
        <w:rPr>
          <w:rFonts w:ascii="Arial" w:eastAsia="Times New Roman" w:hAnsi="Arial" w:cs="Arial"/>
          <w:b/>
          <w:color w:val="000000"/>
          <w:sz w:val="22"/>
          <w:szCs w:val="22"/>
          <w:lang w:val="pl-PL"/>
        </w:rPr>
      </w:pPr>
      <w:r>
        <w:rPr>
          <w:rFonts w:ascii="Arial" w:hAnsi="Arial" w:cs="Arial"/>
          <w:lang w:val="pl-PL"/>
        </w:rPr>
        <w:t xml:space="preserve"> </w:t>
      </w:r>
      <w:bookmarkEnd w:id="4"/>
    </w:p>
    <w:p w14:paraId="6D39F2F4" w14:textId="77777777" w:rsidR="007626A6" w:rsidRDefault="007626A6" w:rsidP="007626A6">
      <w:pPr>
        <w:ind w:right="-618"/>
        <w:rPr>
          <w:rFonts w:ascii="Arial" w:hAnsi="Arial" w:cs="Arial"/>
          <w:sz w:val="22"/>
          <w:lang w:val="pl-PL"/>
        </w:rPr>
      </w:pPr>
    </w:p>
    <w:tbl>
      <w:tblPr>
        <w:tblW w:w="0" w:type="auto"/>
        <w:tblInd w:w="-567" w:type="dxa"/>
        <w:tblLook w:val="04A0" w:firstRow="1" w:lastRow="0" w:firstColumn="1" w:lastColumn="0" w:noHBand="0" w:noVBand="1"/>
      </w:tblPr>
      <w:tblGrid>
        <w:gridCol w:w="1917"/>
        <w:gridCol w:w="6893"/>
      </w:tblGrid>
      <w:tr w:rsidR="007626A6" w:rsidRPr="00D5237E" w14:paraId="41922C3A" w14:textId="77777777" w:rsidTr="0071639D">
        <w:trPr>
          <w:trHeight w:val="185"/>
        </w:trPr>
        <w:tc>
          <w:tcPr>
            <w:tcW w:w="1917" w:type="dxa"/>
            <w:shd w:val="clear" w:color="auto" w:fill="auto"/>
            <w:vAlign w:val="center"/>
          </w:tcPr>
          <w:p w14:paraId="632A5A06" w14:textId="77777777" w:rsidR="007626A6" w:rsidRPr="00D5237E" w:rsidRDefault="007626A6" w:rsidP="0071639D">
            <w:pPr>
              <w:ind w:left="-108" w:right="-680"/>
              <w:rPr>
                <w:rFonts w:ascii="Arial" w:eastAsia="Times New Roman" w:hAnsi="Arial" w:cs="Arial"/>
                <w:sz w:val="22"/>
                <w:szCs w:val="22"/>
                <w:lang w:val="pl-PL"/>
              </w:rPr>
            </w:pPr>
            <w:r w:rsidRPr="00D5237E">
              <w:rPr>
                <w:rFonts w:ascii="Arial" w:eastAsia="Times New Roman" w:hAnsi="Arial" w:cs="Arial"/>
                <w:sz w:val="22"/>
                <w:szCs w:val="22"/>
                <w:lang w:val="pl-PL"/>
              </w:rPr>
              <w:t>Znajdź nas</w:t>
            </w:r>
            <w:r>
              <w:rPr>
                <w:rFonts w:ascii="Arial" w:hAnsi="Arial" w:cs="Arial"/>
                <w:i/>
                <w:noProof/>
                <w:sz w:val="22"/>
                <w:szCs w:val="22"/>
                <w:lang w:val="pl-PL" w:eastAsia="en-US"/>
              </w:rPr>
              <w:t xml:space="preserve"> </w:t>
            </w:r>
          </w:p>
        </w:tc>
        <w:tc>
          <w:tcPr>
            <w:tcW w:w="6893" w:type="dxa"/>
            <w:shd w:val="clear" w:color="auto" w:fill="auto"/>
          </w:tcPr>
          <w:p w14:paraId="6ACC7ADC" w14:textId="77777777" w:rsidR="007626A6" w:rsidRPr="00D5237E" w:rsidRDefault="007626A6" w:rsidP="0071639D">
            <w:pPr>
              <w:ind w:right="-619"/>
              <w:rPr>
                <w:rFonts w:ascii="Arial" w:eastAsia="Times New Roman" w:hAnsi="Arial" w:cs="Arial"/>
                <w:sz w:val="22"/>
                <w:szCs w:val="22"/>
                <w:u w:val="single"/>
                <w:lang w:val="pl-PL"/>
              </w:rPr>
            </w:pPr>
            <w:r w:rsidRPr="00D5237E">
              <w:rPr>
                <w:rFonts w:ascii="Arial" w:hAnsi="Arial" w:cs="Arial"/>
                <w:i/>
                <w:noProof/>
                <w:sz w:val="22"/>
                <w:szCs w:val="22"/>
                <w:lang w:val="en-GB" w:eastAsia="en-GB"/>
              </w:rPr>
              <w:drawing>
                <wp:inline distT="0" distB="0" distL="0" distR="0" wp14:anchorId="2A97CCF6" wp14:editId="1C9EC7BF">
                  <wp:extent cx="355600" cy="355600"/>
                  <wp:effectExtent l="0" t="0" r="0" b="0"/>
                  <wp:docPr id="1" name="Picture 5" descr="/Users/karakeough/Box Sync/2016/Brand/New Materials/Press Release/Social-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karakeough/Box Sync/2016/Brand/New Materials/Press Release/Social-01-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D5237E">
              <w:rPr>
                <w:rFonts w:ascii="Arial" w:hAnsi="Arial" w:cs="Arial"/>
                <w:i/>
                <w:noProof/>
                <w:sz w:val="22"/>
                <w:szCs w:val="22"/>
                <w:lang w:val="en-GB" w:eastAsia="en-GB"/>
              </w:rPr>
              <w:drawing>
                <wp:inline distT="0" distB="0" distL="0" distR="0" wp14:anchorId="12619DB7" wp14:editId="45EC3937">
                  <wp:extent cx="355600" cy="355600"/>
                  <wp:effectExtent l="0" t="0" r="0" b="0"/>
                  <wp:docPr id="2" name="Picture 6" descr="/Users/karakeough/Box Sync/2016/Brand/New Materials/Press Release/Social-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karakeough/Box Sync/2016/Brand/New Materials/Press Release/Social-01-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D5237E">
              <w:rPr>
                <w:rFonts w:ascii="Arial" w:hAnsi="Arial" w:cs="Arial"/>
                <w:i/>
                <w:noProof/>
                <w:sz w:val="22"/>
                <w:szCs w:val="22"/>
                <w:lang w:val="en-GB" w:eastAsia="en-GB"/>
              </w:rPr>
              <w:drawing>
                <wp:inline distT="0" distB="0" distL="0" distR="0" wp14:anchorId="125BD49D" wp14:editId="67F85882">
                  <wp:extent cx="355600" cy="355600"/>
                  <wp:effectExtent l="0" t="0" r="0" b="0"/>
                  <wp:docPr id="3" name="Picture 7" descr="/Users/karakeough/Box Sync/2016/Brand/New Materials/Press Release/Social-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karakeough/Box Sync/2016/Brand/New Materials/Press Release/Social-01-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D5237E">
              <w:rPr>
                <w:rFonts w:ascii="Arial" w:hAnsi="Arial" w:cs="Arial"/>
                <w:i/>
                <w:noProof/>
                <w:sz w:val="22"/>
                <w:szCs w:val="22"/>
                <w:lang w:val="en-GB" w:eastAsia="en-GB"/>
              </w:rPr>
              <w:drawing>
                <wp:inline distT="0" distB="0" distL="0" distR="0" wp14:anchorId="3D686C63" wp14:editId="6A12E0CA">
                  <wp:extent cx="368300" cy="355600"/>
                  <wp:effectExtent l="0" t="0" r="0" b="0"/>
                  <wp:docPr id="4" name="Picture 8" descr="/Users/karakeough/Box Sync/2016/Brand/New Materials/Press Release/Social-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karakeough/Box Sync/2016/Brand/New Materials/Press Release/Social-01-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00" cy="355600"/>
                          </a:xfrm>
                          <a:prstGeom prst="rect">
                            <a:avLst/>
                          </a:prstGeom>
                          <a:noFill/>
                          <a:ln>
                            <a:noFill/>
                          </a:ln>
                        </pic:spPr>
                      </pic:pic>
                    </a:graphicData>
                  </a:graphic>
                </wp:inline>
              </w:drawing>
            </w:r>
          </w:p>
        </w:tc>
      </w:tr>
    </w:tbl>
    <w:p w14:paraId="1FB792E6" w14:textId="77777777" w:rsidR="007626A6" w:rsidRDefault="007626A6" w:rsidP="007626A6">
      <w:pPr>
        <w:ind w:left="-567" w:right="-618"/>
        <w:rPr>
          <w:rFonts w:ascii="Arial" w:hAnsi="Arial" w:cs="Arial"/>
          <w:sz w:val="22"/>
          <w:lang w:val="pl-PL"/>
        </w:rPr>
      </w:pPr>
    </w:p>
    <w:p w14:paraId="17E5549C" w14:textId="77777777" w:rsidR="0030557C" w:rsidRDefault="0030557C" w:rsidP="0030557C">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Anna Podolak</w:t>
      </w:r>
    </w:p>
    <w:p w14:paraId="53EBAA5B" w14:textId="77777777" w:rsidR="0030557C" w:rsidRDefault="0030557C" w:rsidP="0030557C">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w:t>
      </w:r>
      <w:r>
        <w:rPr>
          <w:rFonts w:ascii="Arial" w:hAnsi="Arial" w:cs="Arial"/>
          <w:sz w:val="22"/>
          <w:szCs w:val="22"/>
          <w:lang w:val="pl-PL"/>
        </w:rPr>
        <w:t>+48 </w:t>
      </w:r>
      <w:r>
        <w:rPr>
          <w:rFonts w:ascii="Arial" w:hAnsi="Arial" w:cs="Arial"/>
          <w:noProof/>
          <w:color w:val="000000"/>
          <w:sz w:val="22"/>
          <w:szCs w:val="22"/>
          <w:lang w:val="pl-PL" w:eastAsia="pl-PL"/>
        </w:rPr>
        <w:t>502 220 557</w:t>
      </w:r>
    </w:p>
    <w:p w14:paraId="12F33C0E" w14:textId="77777777" w:rsidR="0030557C" w:rsidRDefault="0030557C" w:rsidP="0030557C">
      <w:pPr>
        <w:ind w:left="-567" w:right="-618"/>
        <w:rPr>
          <w:rFonts w:ascii="Arial" w:hAnsi="Arial" w:cs="Arial"/>
          <w:sz w:val="22"/>
          <w:szCs w:val="22"/>
          <w:lang w:val="pl-PL"/>
        </w:rPr>
      </w:pPr>
      <w:r>
        <w:rPr>
          <w:rFonts w:ascii="Arial" w:hAnsi="Arial" w:cs="Arial"/>
          <w:b/>
          <w:bCs/>
          <w:sz w:val="22"/>
          <w:lang w:val="pl-PL"/>
        </w:rPr>
        <w:t>Email:</w:t>
      </w:r>
      <w:r>
        <w:rPr>
          <w:rFonts w:ascii="Arial" w:hAnsi="Arial" w:cs="Arial"/>
          <w:sz w:val="22"/>
          <w:lang w:val="pl-PL"/>
        </w:rPr>
        <w:t xml:space="preserve"> </w:t>
      </w:r>
      <w:hyperlink r:id="rId16" w:history="1">
        <w:r>
          <w:rPr>
            <w:rStyle w:val="Hipercze"/>
            <w:rFonts w:ascii="Arial" w:hAnsi="Arial" w:cs="Arial"/>
            <w:sz w:val="22"/>
            <w:szCs w:val="22"/>
            <w:lang w:val="pl-PL"/>
          </w:rPr>
          <w:t>anna.podolak@eu.jll.com</w:t>
        </w:r>
      </w:hyperlink>
    </w:p>
    <w:p w14:paraId="4587F546" w14:textId="77777777" w:rsidR="0030557C" w:rsidRDefault="0030557C" w:rsidP="007626A6">
      <w:pPr>
        <w:ind w:left="-567" w:right="-618"/>
        <w:rPr>
          <w:rFonts w:ascii="Arial" w:hAnsi="Arial" w:cs="Arial"/>
          <w:b/>
          <w:bCs/>
          <w:sz w:val="22"/>
          <w:lang w:val="pl-PL"/>
        </w:rPr>
      </w:pPr>
    </w:p>
    <w:p w14:paraId="2B52E9CB" w14:textId="77777777" w:rsidR="0030557C" w:rsidRDefault="0030557C" w:rsidP="007626A6">
      <w:pPr>
        <w:ind w:left="-567" w:right="-618"/>
        <w:rPr>
          <w:rFonts w:ascii="Arial" w:hAnsi="Arial" w:cs="Arial"/>
          <w:b/>
          <w:bCs/>
          <w:sz w:val="22"/>
          <w:lang w:val="pl-PL"/>
        </w:rPr>
      </w:pPr>
    </w:p>
    <w:p w14:paraId="608B559F" w14:textId="0BD95307" w:rsidR="007626A6" w:rsidRPr="00D5237E" w:rsidRDefault="007626A6" w:rsidP="007626A6">
      <w:pPr>
        <w:ind w:left="-567" w:right="-618"/>
        <w:rPr>
          <w:rFonts w:ascii="Arial" w:hAnsi="Arial" w:cs="Arial"/>
          <w:sz w:val="22"/>
          <w:lang w:val="pl-PL"/>
        </w:rPr>
      </w:pPr>
      <w:r w:rsidRPr="00D5237E">
        <w:rPr>
          <w:rFonts w:ascii="Arial" w:hAnsi="Arial" w:cs="Arial"/>
          <w:b/>
          <w:bCs/>
          <w:sz w:val="22"/>
          <w:lang w:val="pl-PL"/>
        </w:rPr>
        <w:t>Kontakt:</w:t>
      </w:r>
      <w:r w:rsidRPr="00D5237E">
        <w:rPr>
          <w:rFonts w:ascii="Arial" w:hAnsi="Arial" w:cs="Arial"/>
          <w:sz w:val="22"/>
          <w:lang w:val="pl-PL"/>
        </w:rPr>
        <w:t xml:space="preserve"> </w:t>
      </w:r>
      <w:r>
        <w:rPr>
          <w:rFonts w:ascii="Arial" w:hAnsi="Arial" w:cs="Arial"/>
          <w:sz w:val="22"/>
          <w:lang w:val="pl-PL"/>
        </w:rPr>
        <w:t xml:space="preserve">Agnieszka Ratajczyk </w:t>
      </w:r>
    </w:p>
    <w:p w14:paraId="5C60AD52" w14:textId="77777777" w:rsidR="007626A6" w:rsidRPr="00D5237E" w:rsidRDefault="007626A6" w:rsidP="007626A6">
      <w:pPr>
        <w:ind w:left="-567" w:right="-618"/>
        <w:rPr>
          <w:rFonts w:ascii="Arial" w:hAnsi="Arial" w:cs="Arial"/>
          <w:sz w:val="22"/>
          <w:lang w:val="pl-PL"/>
        </w:rPr>
      </w:pPr>
      <w:r>
        <w:rPr>
          <w:rFonts w:ascii="Arial" w:hAnsi="Arial" w:cs="Arial"/>
          <w:b/>
          <w:bCs/>
          <w:sz w:val="22"/>
          <w:lang w:val="pl-PL"/>
        </w:rPr>
        <w:t>Tel</w:t>
      </w:r>
      <w:r w:rsidRPr="00D5237E">
        <w:rPr>
          <w:rFonts w:ascii="Arial" w:hAnsi="Arial" w:cs="Arial"/>
          <w:b/>
          <w:bCs/>
          <w:sz w:val="22"/>
          <w:lang w:val="pl-PL"/>
        </w:rPr>
        <w:t>:</w:t>
      </w:r>
      <w:r w:rsidRPr="00D5237E">
        <w:rPr>
          <w:rFonts w:ascii="Arial" w:hAnsi="Arial" w:cs="Arial"/>
          <w:sz w:val="22"/>
          <w:lang w:val="pl-PL"/>
        </w:rPr>
        <w:t xml:space="preserve"> +48</w:t>
      </w:r>
      <w:r>
        <w:rPr>
          <w:rFonts w:ascii="Arial" w:hAnsi="Arial" w:cs="Arial"/>
          <w:sz w:val="22"/>
          <w:lang w:val="pl-PL"/>
        </w:rPr>
        <w:t> </w:t>
      </w:r>
      <w:r w:rsidRPr="00D5237E">
        <w:rPr>
          <w:rFonts w:ascii="Arial" w:hAnsi="Arial" w:cs="Arial"/>
          <w:sz w:val="22"/>
          <w:lang w:val="pl-PL"/>
        </w:rPr>
        <w:t>50</w:t>
      </w:r>
      <w:r>
        <w:rPr>
          <w:rFonts w:ascii="Arial" w:hAnsi="Arial" w:cs="Arial"/>
          <w:sz w:val="22"/>
          <w:lang w:val="pl-PL"/>
        </w:rPr>
        <w:t>4 020 522</w:t>
      </w:r>
    </w:p>
    <w:p w14:paraId="03E60699" w14:textId="77777777" w:rsidR="007626A6" w:rsidRPr="009C0EB4" w:rsidRDefault="007626A6" w:rsidP="007626A6">
      <w:pPr>
        <w:ind w:left="-567" w:right="-618"/>
        <w:rPr>
          <w:rFonts w:ascii="Arial" w:hAnsi="Arial" w:cs="Arial"/>
          <w:sz w:val="22"/>
          <w:lang w:val="pl-PL"/>
        </w:rPr>
      </w:pPr>
      <w:r w:rsidRPr="009C0EB4">
        <w:rPr>
          <w:rFonts w:ascii="Arial" w:hAnsi="Arial" w:cs="Arial"/>
          <w:b/>
          <w:bCs/>
          <w:sz w:val="22"/>
          <w:lang w:val="pl-PL"/>
        </w:rPr>
        <w:t>Email:</w:t>
      </w:r>
      <w:r w:rsidRPr="009C0EB4">
        <w:rPr>
          <w:rFonts w:ascii="Arial" w:hAnsi="Arial" w:cs="Arial"/>
          <w:sz w:val="22"/>
          <w:lang w:val="pl-PL"/>
        </w:rPr>
        <w:t xml:space="preserve"> </w:t>
      </w:r>
      <w:hyperlink r:id="rId17" w:history="1">
        <w:r w:rsidRPr="009C0EB4">
          <w:rPr>
            <w:rStyle w:val="Hipercze"/>
            <w:rFonts w:ascii="Arial" w:hAnsi="Arial" w:cs="Arial"/>
            <w:sz w:val="22"/>
            <w:szCs w:val="22"/>
            <w:lang w:val="pl-PL"/>
          </w:rPr>
          <w:t>agnieszka.ratajczyk@linkleaders.pl</w:t>
        </w:r>
      </w:hyperlink>
      <w:r w:rsidRPr="009C0EB4">
        <w:rPr>
          <w:lang w:val="pl-PL"/>
        </w:rPr>
        <w:t xml:space="preserve"> </w:t>
      </w:r>
    </w:p>
    <w:p w14:paraId="0E3B35A6" w14:textId="01DC9F86" w:rsidR="00AB37E9" w:rsidRPr="007626A6" w:rsidRDefault="00AB37E9" w:rsidP="007626A6">
      <w:pPr>
        <w:ind w:left="-567" w:right="-425"/>
        <w:rPr>
          <w:rFonts w:ascii="Arial" w:hAnsi="Arial" w:cs="Arial"/>
          <w:sz w:val="22"/>
          <w:lang w:val="pl-PL"/>
        </w:rPr>
      </w:pPr>
    </w:p>
    <w:sectPr w:rsidR="00AB37E9" w:rsidRPr="007626A6" w:rsidSect="00EB06EE">
      <w:headerReference w:type="default" r:id="rId18"/>
      <w:headerReference w:type="first" r:id="rId19"/>
      <w:pgSz w:w="11900" w:h="16840"/>
      <w:pgMar w:top="1440" w:right="1440" w:bottom="1440" w:left="1440"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EA47" w14:textId="77777777" w:rsidR="005F6D26" w:rsidRDefault="005F6D26" w:rsidP="0045426F">
      <w:r>
        <w:separator/>
      </w:r>
    </w:p>
  </w:endnote>
  <w:endnote w:type="continuationSeparator" w:id="0">
    <w:p w14:paraId="163E07AF" w14:textId="77777777" w:rsidR="005F6D26" w:rsidRDefault="005F6D26"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B243" w14:textId="77777777" w:rsidR="005F6D26" w:rsidRDefault="005F6D26" w:rsidP="0045426F">
      <w:r>
        <w:separator/>
      </w:r>
    </w:p>
  </w:footnote>
  <w:footnote w:type="continuationSeparator" w:id="0">
    <w:p w14:paraId="3A28CEDB" w14:textId="77777777" w:rsidR="005F6D26" w:rsidRDefault="005F6D26" w:rsidP="0045426F">
      <w:r>
        <w:continuationSeparator/>
      </w:r>
    </w:p>
  </w:footnote>
  <w:footnote w:id="1">
    <w:p w14:paraId="26E30F63" w14:textId="0A3B6C3D" w:rsidR="007636CF" w:rsidRPr="007636CF" w:rsidRDefault="007636CF">
      <w:pPr>
        <w:pStyle w:val="Tekstprzypisudolnego"/>
        <w:rPr>
          <w:lang w:val="pl-PL"/>
        </w:rPr>
      </w:pPr>
      <w:r>
        <w:rPr>
          <w:rStyle w:val="Odwoanieprzypisudolnego"/>
        </w:rPr>
        <w:footnoteRef/>
      </w:r>
      <w:r>
        <w:t xml:space="preserve"> </w:t>
      </w:r>
      <w:r w:rsidRPr="007636CF">
        <w:rPr>
          <w:rFonts w:ascii="Arial" w:hAnsi="Arial" w:cs="Arial"/>
          <w:sz w:val="18"/>
          <w:szCs w:val="18"/>
          <w:lang w:val="pl-PL"/>
        </w:rPr>
        <w:t>dane na koniec września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19C0" w14:textId="77777777" w:rsidR="000602CB" w:rsidRDefault="000602CB" w:rsidP="00F12B14">
    <w:pPr>
      <w:pStyle w:val="Nagwek"/>
      <w:tabs>
        <w:tab w:val="clear" w:pos="9026"/>
      </w:tabs>
      <w:ind w:left="-851" w:right="-1045"/>
    </w:pPr>
    <w:r w:rsidRPr="00293E5E">
      <w:rPr>
        <w:noProof/>
        <w:lang w:val="en-GB" w:eastAsia="en-GB"/>
      </w:rPr>
      <w:drawing>
        <wp:inline distT="0" distB="0" distL="0" distR="0" wp14:anchorId="6E2A0381" wp14:editId="5CD54F97">
          <wp:extent cx="7200900" cy="914400"/>
          <wp:effectExtent l="0" t="0" r="0" b="0"/>
          <wp:docPr id="13"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CF2C" w14:textId="77777777" w:rsidR="000602CB" w:rsidRDefault="000602CB" w:rsidP="00F30A2E">
    <w:pPr>
      <w:pStyle w:val="Nagwek"/>
      <w:ind w:left="-851"/>
    </w:pPr>
    <w:r>
      <w:rPr>
        <w:noProof/>
        <w:lang w:val="en-GB" w:eastAsia="en-GB"/>
      </w:rPr>
      <mc:AlternateContent>
        <mc:Choice Requires="wps">
          <w:drawing>
            <wp:anchor distT="0" distB="0" distL="114300" distR="114300" simplePos="0" relativeHeight="251657728" behindDoc="0" locked="0" layoutInCell="1" allowOverlap="1" wp14:anchorId="7E5B4B10" wp14:editId="0F5BA4A5">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325D09EA" w14:textId="77777777" w:rsidR="000602CB" w:rsidRPr="00D5237E" w:rsidRDefault="000602CB">
                          <w:pPr>
                            <w:rPr>
                              <w:rFonts w:ascii="Arial" w:hAnsi="Arial" w:cs="Arial"/>
                              <w:sz w:val="60"/>
                              <w:szCs w:val="60"/>
                              <w:lang w:val="pl-PL"/>
                            </w:rPr>
                          </w:pPr>
                          <w:r w:rsidRPr="00D5237E">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B4B10"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325D09EA" w14:textId="77777777" w:rsidR="000602CB" w:rsidRPr="00D5237E" w:rsidRDefault="000602CB">
                    <w:pPr>
                      <w:rPr>
                        <w:rFonts w:ascii="Arial" w:hAnsi="Arial" w:cs="Arial"/>
                        <w:sz w:val="60"/>
                        <w:szCs w:val="60"/>
                        <w:lang w:val="pl-PL"/>
                      </w:rPr>
                    </w:pPr>
                    <w:r w:rsidRPr="00D5237E">
                      <w:rPr>
                        <w:rFonts w:ascii="Arial" w:hAnsi="Arial" w:cs="Arial"/>
                        <w:sz w:val="60"/>
                        <w:szCs w:val="60"/>
                        <w:lang w:val="pl-PL"/>
                      </w:rPr>
                      <w:t>Informacja Prasowa</w:t>
                    </w:r>
                  </w:p>
                </w:txbxContent>
              </v:textbox>
            </v:shape>
          </w:pict>
        </mc:Fallback>
      </mc:AlternateContent>
    </w:r>
    <w:r w:rsidRPr="00293E5E">
      <w:rPr>
        <w:noProof/>
        <w:lang w:val="en-GB" w:eastAsia="en-GB"/>
      </w:rPr>
      <w:drawing>
        <wp:inline distT="0" distB="0" distL="0" distR="0" wp14:anchorId="49C7FCEC" wp14:editId="183EBF4E">
          <wp:extent cx="6832600" cy="1143000"/>
          <wp:effectExtent l="0" t="0" r="0" b="0"/>
          <wp:docPr id="15"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C484CEB"/>
    <w:multiLevelType w:val="hybridMultilevel"/>
    <w:tmpl w:val="334077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0AD7"/>
    <w:rsid w:val="00013718"/>
    <w:rsid w:val="00023ACC"/>
    <w:rsid w:val="00027AD8"/>
    <w:rsid w:val="00030912"/>
    <w:rsid w:val="00045001"/>
    <w:rsid w:val="00055B26"/>
    <w:rsid w:val="00056165"/>
    <w:rsid w:val="000602CB"/>
    <w:rsid w:val="00060660"/>
    <w:rsid w:val="00067977"/>
    <w:rsid w:val="00067C9F"/>
    <w:rsid w:val="000872EC"/>
    <w:rsid w:val="00090B93"/>
    <w:rsid w:val="00090C80"/>
    <w:rsid w:val="00091829"/>
    <w:rsid w:val="00091D99"/>
    <w:rsid w:val="000951B5"/>
    <w:rsid w:val="000960D1"/>
    <w:rsid w:val="000B5413"/>
    <w:rsid w:val="000C10E5"/>
    <w:rsid w:val="000C4937"/>
    <w:rsid w:val="000D18D4"/>
    <w:rsid w:val="000E46A3"/>
    <w:rsid w:val="000F1137"/>
    <w:rsid w:val="00127717"/>
    <w:rsid w:val="00130105"/>
    <w:rsid w:val="00162882"/>
    <w:rsid w:val="00164BF7"/>
    <w:rsid w:val="0016664B"/>
    <w:rsid w:val="00172523"/>
    <w:rsid w:val="001865F1"/>
    <w:rsid w:val="00195358"/>
    <w:rsid w:val="001A1FEC"/>
    <w:rsid w:val="001B655D"/>
    <w:rsid w:val="001C2F70"/>
    <w:rsid w:val="001D0734"/>
    <w:rsid w:val="001D4B70"/>
    <w:rsid w:val="001E0200"/>
    <w:rsid w:val="001E05EE"/>
    <w:rsid w:val="001F0B91"/>
    <w:rsid w:val="00210E97"/>
    <w:rsid w:val="00212F93"/>
    <w:rsid w:val="0021394C"/>
    <w:rsid w:val="002166C1"/>
    <w:rsid w:val="00226474"/>
    <w:rsid w:val="002301E1"/>
    <w:rsid w:val="00237844"/>
    <w:rsid w:val="0024659F"/>
    <w:rsid w:val="00251F62"/>
    <w:rsid w:val="00255C7C"/>
    <w:rsid w:val="00260D09"/>
    <w:rsid w:val="00262153"/>
    <w:rsid w:val="0026745A"/>
    <w:rsid w:val="00272348"/>
    <w:rsid w:val="00281113"/>
    <w:rsid w:val="00281865"/>
    <w:rsid w:val="00286681"/>
    <w:rsid w:val="00297FB5"/>
    <w:rsid w:val="002A1BC4"/>
    <w:rsid w:val="002B0D7F"/>
    <w:rsid w:val="002B7ECD"/>
    <w:rsid w:val="002C2030"/>
    <w:rsid w:val="002C262B"/>
    <w:rsid w:val="002D2589"/>
    <w:rsid w:val="002D2726"/>
    <w:rsid w:val="002E4F16"/>
    <w:rsid w:val="00302408"/>
    <w:rsid w:val="0030557C"/>
    <w:rsid w:val="00306DC9"/>
    <w:rsid w:val="00334370"/>
    <w:rsid w:val="0034093E"/>
    <w:rsid w:val="003422F8"/>
    <w:rsid w:val="003513B4"/>
    <w:rsid w:val="0035735A"/>
    <w:rsid w:val="00363342"/>
    <w:rsid w:val="00374996"/>
    <w:rsid w:val="00382FD7"/>
    <w:rsid w:val="003878B7"/>
    <w:rsid w:val="003A5E2F"/>
    <w:rsid w:val="003A6430"/>
    <w:rsid w:val="003A6CB2"/>
    <w:rsid w:val="003C12EE"/>
    <w:rsid w:val="003D26BC"/>
    <w:rsid w:val="003D530C"/>
    <w:rsid w:val="003E539F"/>
    <w:rsid w:val="003F7639"/>
    <w:rsid w:val="00400FD3"/>
    <w:rsid w:val="00407A33"/>
    <w:rsid w:val="004104B8"/>
    <w:rsid w:val="00416B35"/>
    <w:rsid w:val="00426D1E"/>
    <w:rsid w:val="00444F24"/>
    <w:rsid w:val="00446229"/>
    <w:rsid w:val="00453258"/>
    <w:rsid w:val="0045426F"/>
    <w:rsid w:val="00456F3D"/>
    <w:rsid w:val="00460529"/>
    <w:rsid w:val="00473D27"/>
    <w:rsid w:val="00474AA1"/>
    <w:rsid w:val="004865D2"/>
    <w:rsid w:val="004921CA"/>
    <w:rsid w:val="004A1C1B"/>
    <w:rsid w:val="004A43FF"/>
    <w:rsid w:val="004B2956"/>
    <w:rsid w:val="004B2C25"/>
    <w:rsid w:val="004C2B43"/>
    <w:rsid w:val="004C5A43"/>
    <w:rsid w:val="004E6CA6"/>
    <w:rsid w:val="004E757D"/>
    <w:rsid w:val="004F28A3"/>
    <w:rsid w:val="004F77C8"/>
    <w:rsid w:val="00510514"/>
    <w:rsid w:val="0051129B"/>
    <w:rsid w:val="00513487"/>
    <w:rsid w:val="0052070A"/>
    <w:rsid w:val="00527539"/>
    <w:rsid w:val="00534D0F"/>
    <w:rsid w:val="0053633B"/>
    <w:rsid w:val="00551C44"/>
    <w:rsid w:val="00556AD9"/>
    <w:rsid w:val="005674C6"/>
    <w:rsid w:val="00573705"/>
    <w:rsid w:val="00576FAA"/>
    <w:rsid w:val="00585900"/>
    <w:rsid w:val="005B42C6"/>
    <w:rsid w:val="005B5677"/>
    <w:rsid w:val="005B6E25"/>
    <w:rsid w:val="005C289B"/>
    <w:rsid w:val="005C4223"/>
    <w:rsid w:val="005D05BE"/>
    <w:rsid w:val="005D1EE1"/>
    <w:rsid w:val="005E126D"/>
    <w:rsid w:val="005F0950"/>
    <w:rsid w:val="005F0F26"/>
    <w:rsid w:val="005F6D26"/>
    <w:rsid w:val="0063438F"/>
    <w:rsid w:val="00641344"/>
    <w:rsid w:val="00641D41"/>
    <w:rsid w:val="00641D78"/>
    <w:rsid w:val="0065252C"/>
    <w:rsid w:val="00654F28"/>
    <w:rsid w:val="006551C5"/>
    <w:rsid w:val="00666D28"/>
    <w:rsid w:val="0067327A"/>
    <w:rsid w:val="00675F94"/>
    <w:rsid w:val="0068617D"/>
    <w:rsid w:val="00690E61"/>
    <w:rsid w:val="00691ACF"/>
    <w:rsid w:val="006A258D"/>
    <w:rsid w:val="006C52C6"/>
    <w:rsid w:val="006C788B"/>
    <w:rsid w:val="006D4DEF"/>
    <w:rsid w:val="006D5A66"/>
    <w:rsid w:val="006E65E6"/>
    <w:rsid w:val="006E6F3A"/>
    <w:rsid w:val="006F0B40"/>
    <w:rsid w:val="006F583B"/>
    <w:rsid w:val="00706777"/>
    <w:rsid w:val="00710D49"/>
    <w:rsid w:val="00714DB0"/>
    <w:rsid w:val="007179AE"/>
    <w:rsid w:val="007249CA"/>
    <w:rsid w:val="0072519C"/>
    <w:rsid w:val="0072694F"/>
    <w:rsid w:val="00726A4D"/>
    <w:rsid w:val="0073222C"/>
    <w:rsid w:val="007333F6"/>
    <w:rsid w:val="00734525"/>
    <w:rsid w:val="00744AC8"/>
    <w:rsid w:val="0075558E"/>
    <w:rsid w:val="007626A6"/>
    <w:rsid w:val="007636CF"/>
    <w:rsid w:val="00765FF8"/>
    <w:rsid w:val="007740A7"/>
    <w:rsid w:val="007821EA"/>
    <w:rsid w:val="00784480"/>
    <w:rsid w:val="00792B65"/>
    <w:rsid w:val="00795CC1"/>
    <w:rsid w:val="00796639"/>
    <w:rsid w:val="007C4E3E"/>
    <w:rsid w:val="007D3B50"/>
    <w:rsid w:val="007F101E"/>
    <w:rsid w:val="007F2A61"/>
    <w:rsid w:val="007F43C6"/>
    <w:rsid w:val="007F4F9E"/>
    <w:rsid w:val="00802EEA"/>
    <w:rsid w:val="0081677E"/>
    <w:rsid w:val="00831272"/>
    <w:rsid w:val="00831AF9"/>
    <w:rsid w:val="008349FE"/>
    <w:rsid w:val="00837C56"/>
    <w:rsid w:val="008529BA"/>
    <w:rsid w:val="00855AA2"/>
    <w:rsid w:val="00863686"/>
    <w:rsid w:val="00865FBC"/>
    <w:rsid w:val="00870285"/>
    <w:rsid w:val="00870DA9"/>
    <w:rsid w:val="00871DC3"/>
    <w:rsid w:val="0089013E"/>
    <w:rsid w:val="008937A2"/>
    <w:rsid w:val="008943C7"/>
    <w:rsid w:val="008B30AA"/>
    <w:rsid w:val="008C000A"/>
    <w:rsid w:val="008D4F56"/>
    <w:rsid w:val="008E3E98"/>
    <w:rsid w:val="008F5E05"/>
    <w:rsid w:val="009011CD"/>
    <w:rsid w:val="00901905"/>
    <w:rsid w:val="009106C0"/>
    <w:rsid w:val="00931F24"/>
    <w:rsid w:val="009561BF"/>
    <w:rsid w:val="00960EE9"/>
    <w:rsid w:val="00960FEF"/>
    <w:rsid w:val="00966D93"/>
    <w:rsid w:val="00972494"/>
    <w:rsid w:val="00977264"/>
    <w:rsid w:val="00977A74"/>
    <w:rsid w:val="00980563"/>
    <w:rsid w:val="00981BE7"/>
    <w:rsid w:val="009823EE"/>
    <w:rsid w:val="00990C84"/>
    <w:rsid w:val="009964EA"/>
    <w:rsid w:val="00996B02"/>
    <w:rsid w:val="009A1507"/>
    <w:rsid w:val="009B306D"/>
    <w:rsid w:val="009B6721"/>
    <w:rsid w:val="009D33FF"/>
    <w:rsid w:val="009E19DA"/>
    <w:rsid w:val="009F131A"/>
    <w:rsid w:val="009F1320"/>
    <w:rsid w:val="009F5868"/>
    <w:rsid w:val="00A03A7E"/>
    <w:rsid w:val="00A30380"/>
    <w:rsid w:val="00A30C25"/>
    <w:rsid w:val="00A43B60"/>
    <w:rsid w:val="00A83CF0"/>
    <w:rsid w:val="00A9047D"/>
    <w:rsid w:val="00A9086E"/>
    <w:rsid w:val="00AA440C"/>
    <w:rsid w:val="00AB37E9"/>
    <w:rsid w:val="00AC0F88"/>
    <w:rsid w:val="00AC561E"/>
    <w:rsid w:val="00AC589E"/>
    <w:rsid w:val="00AD1281"/>
    <w:rsid w:val="00AD1C04"/>
    <w:rsid w:val="00AE641D"/>
    <w:rsid w:val="00B04A5A"/>
    <w:rsid w:val="00B25901"/>
    <w:rsid w:val="00B25A25"/>
    <w:rsid w:val="00B305A2"/>
    <w:rsid w:val="00B31DF3"/>
    <w:rsid w:val="00B40899"/>
    <w:rsid w:val="00B456C9"/>
    <w:rsid w:val="00B470C4"/>
    <w:rsid w:val="00B612EF"/>
    <w:rsid w:val="00B61AB5"/>
    <w:rsid w:val="00B61CEA"/>
    <w:rsid w:val="00B66EC1"/>
    <w:rsid w:val="00B705F5"/>
    <w:rsid w:val="00B744AA"/>
    <w:rsid w:val="00B75B40"/>
    <w:rsid w:val="00B83455"/>
    <w:rsid w:val="00B83D8D"/>
    <w:rsid w:val="00B85389"/>
    <w:rsid w:val="00B91AC4"/>
    <w:rsid w:val="00B96035"/>
    <w:rsid w:val="00BA0AD6"/>
    <w:rsid w:val="00BA6150"/>
    <w:rsid w:val="00BA752B"/>
    <w:rsid w:val="00BB1F75"/>
    <w:rsid w:val="00BB3862"/>
    <w:rsid w:val="00BB72D5"/>
    <w:rsid w:val="00BC0FED"/>
    <w:rsid w:val="00BE11E1"/>
    <w:rsid w:val="00BE320E"/>
    <w:rsid w:val="00BE3489"/>
    <w:rsid w:val="00BE5C9E"/>
    <w:rsid w:val="00BF4F81"/>
    <w:rsid w:val="00C01E32"/>
    <w:rsid w:val="00C0535F"/>
    <w:rsid w:val="00C101A2"/>
    <w:rsid w:val="00C21EC1"/>
    <w:rsid w:val="00C22C93"/>
    <w:rsid w:val="00C23855"/>
    <w:rsid w:val="00C37801"/>
    <w:rsid w:val="00C452EA"/>
    <w:rsid w:val="00C46877"/>
    <w:rsid w:val="00C51418"/>
    <w:rsid w:val="00C57C8D"/>
    <w:rsid w:val="00C72D1B"/>
    <w:rsid w:val="00C775BB"/>
    <w:rsid w:val="00CB45D6"/>
    <w:rsid w:val="00CB4B12"/>
    <w:rsid w:val="00CB58E5"/>
    <w:rsid w:val="00CB73FD"/>
    <w:rsid w:val="00CC37FE"/>
    <w:rsid w:val="00CC3D1C"/>
    <w:rsid w:val="00CC4B94"/>
    <w:rsid w:val="00CC7E45"/>
    <w:rsid w:val="00CD580E"/>
    <w:rsid w:val="00CD7965"/>
    <w:rsid w:val="00CE53D1"/>
    <w:rsid w:val="00CE5499"/>
    <w:rsid w:val="00CE670A"/>
    <w:rsid w:val="00CF1550"/>
    <w:rsid w:val="00CF658C"/>
    <w:rsid w:val="00CF7BEE"/>
    <w:rsid w:val="00D00C9C"/>
    <w:rsid w:val="00D01896"/>
    <w:rsid w:val="00D03DB4"/>
    <w:rsid w:val="00D12ADD"/>
    <w:rsid w:val="00D1564F"/>
    <w:rsid w:val="00D27B24"/>
    <w:rsid w:val="00D31019"/>
    <w:rsid w:val="00D37034"/>
    <w:rsid w:val="00D47DA7"/>
    <w:rsid w:val="00D5237E"/>
    <w:rsid w:val="00D5524A"/>
    <w:rsid w:val="00D64235"/>
    <w:rsid w:val="00D73548"/>
    <w:rsid w:val="00D8728F"/>
    <w:rsid w:val="00D901F6"/>
    <w:rsid w:val="00D94774"/>
    <w:rsid w:val="00DB1BA5"/>
    <w:rsid w:val="00DC01FF"/>
    <w:rsid w:val="00DC3002"/>
    <w:rsid w:val="00DC66E2"/>
    <w:rsid w:val="00DD0688"/>
    <w:rsid w:val="00DE1334"/>
    <w:rsid w:val="00DE7680"/>
    <w:rsid w:val="00DF3204"/>
    <w:rsid w:val="00DF44A7"/>
    <w:rsid w:val="00E010B9"/>
    <w:rsid w:val="00E01E5C"/>
    <w:rsid w:val="00E03C5E"/>
    <w:rsid w:val="00E06AC3"/>
    <w:rsid w:val="00E14D12"/>
    <w:rsid w:val="00E311AB"/>
    <w:rsid w:val="00E35E75"/>
    <w:rsid w:val="00E40E8C"/>
    <w:rsid w:val="00E43C29"/>
    <w:rsid w:val="00E6497E"/>
    <w:rsid w:val="00E7242A"/>
    <w:rsid w:val="00E806AF"/>
    <w:rsid w:val="00E847A1"/>
    <w:rsid w:val="00E85BE2"/>
    <w:rsid w:val="00E9393E"/>
    <w:rsid w:val="00E96D91"/>
    <w:rsid w:val="00EB06EE"/>
    <w:rsid w:val="00EB6362"/>
    <w:rsid w:val="00ED2A05"/>
    <w:rsid w:val="00EF0F25"/>
    <w:rsid w:val="00EF4556"/>
    <w:rsid w:val="00F02CF7"/>
    <w:rsid w:val="00F12B14"/>
    <w:rsid w:val="00F24AF3"/>
    <w:rsid w:val="00F309B9"/>
    <w:rsid w:val="00F30A2E"/>
    <w:rsid w:val="00F36BD4"/>
    <w:rsid w:val="00F37F37"/>
    <w:rsid w:val="00F4382B"/>
    <w:rsid w:val="00F47310"/>
    <w:rsid w:val="00F478D8"/>
    <w:rsid w:val="00F607B0"/>
    <w:rsid w:val="00F610C1"/>
    <w:rsid w:val="00F62C0C"/>
    <w:rsid w:val="00F64448"/>
    <w:rsid w:val="00F653BE"/>
    <w:rsid w:val="00F81D03"/>
    <w:rsid w:val="00F97B9C"/>
    <w:rsid w:val="00FA4F72"/>
    <w:rsid w:val="00FA7F6E"/>
    <w:rsid w:val="00FB42F9"/>
    <w:rsid w:val="00FB5411"/>
    <w:rsid w:val="00FC0BFA"/>
    <w:rsid w:val="00FC0E87"/>
    <w:rsid w:val="00FD13EF"/>
    <w:rsid w:val="00FD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F650D"/>
  <w14:defaultImageDpi w14:val="32767"/>
  <w15:chartTrackingRefBased/>
  <w15:docId w15:val="{D5D84341-3E3A-4980-9561-6AECFA2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D33FF"/>
    <w:rPr>
      <w:color w:val="808080"/>
      <w:shd w:val="clear" w:color="auto" w:fill="E6E6E6"/>
    </w:rPr>
  </w:style>
  <w:style w:type="character" w:styleId="Odwoaniedokomentarza">
    <w:name w:val="annotation reference"/>
    <w:basedOn w:val="Domylnaczcionkaakapitu"/>
    <w:uiPriority w:val="99"/>
    <w:semiHidden/>
    <w:unhideWhenUsed/>
    <w:rsid w:val="009D33FF"/>
    <w:rPr>
      <w:sz w:val="16"/>
      <w:szCs w:val="16"/>
    </w:rPr>
  </w:style>
  <w:style w:type="paragraph" w:styleId="Tekstkomentarza">
    <w:name w:val="annotation text"/>
    <w:basedOn w:val="Normalny"/>
    <w:link w:val="TekstkomentarzaZnak"/>
    <w:uiPriority w:val="99"/>
    <w:semiHidden/>
    <w:unhideWhenUsed/>
    <w:rsid w:val="009D33FF"/>
    <w:rPr>
      <w:sz w:val="20"/>
      <w:szCs w:val="20"/>
    </w:rPr>
  </w:style>
  <w:style w:type="character" w:customStyle="1" w:styleId="TekstkomentarzaZnak">
    <w:name w:val="Tekst komentarza Znak"/>
    <w:basedOn w:val="Domylnaczcionkaakapitu"/>
    <w:link w:val="Tekstkomentarza"/>
    <w:uiPriority w:val="99"/>
    <w:semiHidden/>
    <w:rsid w:val="009D33FF"/>
  </w:style>
  <w:style w:type="paragraph" w:styleId="Tematkomentarza">
    <w:name w:val="annotation subject"/>
    <w:basedOn w:val="Tekstkomentarza"/>
    <w:next w:val="Tekstkomentarza"/>
    <w:link w:val="TematkomentarzaZnak"/>
    <w:uiPriority w:val="99"/>
    <w:semiHidden/>
    <w:unhideWhenUsed/>
    <w:rsid w:val="009D33FF"/>
    <w:rPr>
      <w:b/>
      <w:bCs/>
    </w:rPr>
  </w:style>
  <w:style w:type="character" w:customStyle="1" w:styleId="TematkomentarzaZnak">
    <w:name w:val="Temat komentarza Znak"/>
    <w:basedOn w:val="TekstkomentarzaZnak"/>
    <w:link w:val="Tematkomentarza"/>
    <w:uiPriority w:val="99"/>
    <w:semiHidden/>
    <w:rsid w:val="009D33FF"/>
    <w:rPr>
      <w:b/>
      <w:bCs/>
    </w:rPr>
  </w:style>
  <w:style w:type="paragraph" w:styleId="Tekstdymka">
    <w:name w:val="Balloon Text"/>
    <w:basedOn w:val="Normalny"/>
    <w:link w:val="TekstdymkaZnak"/>
    <w:uiPriority w:val="99"/>
    <w:semiHidden/>
    <w:unhideWhenUsed/>
    <w:rsid w:val="009D3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3FF"/>
    <w:rPr>
      <w:rFonts w:ascii="Segoe UI" w:hAnsi="Segoe UI" w:cs="Segoe UI"/>
      <w:sz w:val="18"/>
      <w:szCs w:val="18"/>
    </w:rPr>
  </w:style>
  <w:style w:type="table" w:styleId="Tabelalisty4akcent1">
    <w:name w:val="List Table 4 Accent 1"/>
    <w:basedOn w:val="Standardowy"/>
    <w:uiPriority w:val="49"/>
    <w:rsid w:val="00B04A5A"/>
    <w:rPr>
      <w:rFonts w:ascii="Times New Roman" w:eastAsia="Times New Roman" w:hAnsi="Times New Roman"/>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shd w:val="clear" w:color="auto" w:fill="E30613"/>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paragraph" w:styleId="Tekstprzypisudolnego">
    <w:name w:val="footnote text"/>
    <w:basedOn w:val="Normalny"/>
    <w:link w:val="TekstprzypisudolnegoZnak"/>
    <w:uiPriority w:val="99"/>
    <w:semiHidden/>
    <w:unhideWhenUsed/>
    <w:rsid w:val="0026745A"/>
    <w:rPr>
      <w:sz w:val="20"/>
      <w:szCs w:val="20"/>
    </w:rPr>
  </w:style>
  <w:style w:type="character" w:customStyle="1" w:styleId="TekstprzypisudolnegoZnak">
    <w:name w:val="Tekst przypisu dolnego Znak"/>
    <w:basedOn w:val="Domylnaczcionkaakapitu"/>
    <w:link w:val="Tekstprzypisudolnego"/>
    <w:uiPriority w:val="99"/>
    <w:semiHidden/>
    <w:rsid w:val="0026745A"/>
  </w:style>
  <w:style w:type="character" w:styleId="Odwoanieprzypisudolnego">
    <w:name w:val="footnote reference"/>
    <w:basedOn w:val="Domylnaczcionkaakapitu"/>
    <w:uiPriority w:val="99"/>
    <w:semiHidden/>
    <w:unhideWhenUsed/>
    <w:rsid w:val="0026745A"/>
    <w:rPr>
      <w:vertAlign w:val="superscript"/>
    </w:rPr>
  </w:style>
  <w:style w:type="paragraph" w:customStyle="1" w:styleId="REPORTTEXT">
    <w:name w:val="REPORT TEXT"/>
    <w:basedOn w:val="Normalny"/>
    <w:link w:val="REPORTTEXTChar"/>
    <w:uiPriority w:val="1"/>
    <w:qFormat/>
    <w:rsid w:val="005E126D"/>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E126D"/>
    <w:rPr>
      <w:rFonts w:ascii="Source Sans Pro Light" w:eastAsia="Source Sans Pro Light" w:hAnsi="Source Sans Pro Light" w:cs="Source Sans Pro Light"/>
      <w:color w:val="231F20"/>
      <w:spacing w:val="-2"/>
      <w:sz w:val="18"/>
      <w:szCs w:val="22"/>
      <w:lang w:eastAsia="en-US"/>
    </w:rPr>
  </w:style>
  <w:style w:type="paragraph" w:styleId="Tekstprzypisukocowego">
    <w:name w:val="endnote text"/>
    <w:basedOn w:val="Normalny"/>
    <w:link w:val="TekstprzypisukocowegoZnak"/>
    <w:uiPriority w:val="99"/>
    <w:semiHidden/>
    <w:unhideWhenUsed/>
    <w:rsid w:val="00091D99"/>
    <w:rPr>
      <w:sz w:val="20"/>
      <w:szCs w:val="20"/>
    </w:rPr>
  </w:style>
  <w:style w:type="character" w:customStyle="1" w:styleId="TekstprzypisukocowegoZnak">
    <w:name w:val="Tekst przypisu końcowego Znak"/>
    <w:basedOn w:val="Domylnaczcionkaakapitu"/>
    <w:link w:val="Tekstprzypisukocowego"/>
    <w:uiPriority w:val="99"/>
    <w:semiHidden/>
    <w:rsid w:val="00091D99"/>
  </w:style>
  <w:style w:type="character" w:styleId="Odwoanieprzypisukocowego">
    <w:name w:val="endnote reference"/>
    <w:basedOn w:val="Domylnaczcionkaakapitu"/>
    <w:uiPriority w:val="99"/>
    <w:semiHidden/>
    <w:unhideWhenUsed/>
    <w:rsid w:val="00091D99"/>
    <w:rPr>
      <w:vertAlign w:val="superscript"/>
    </w:rPr>
  </w:style>
  <w:style w:type="character" w:styleId="Nierozpoznanawzmianka">
    <w:name w:val="Unresolved Mention"/>
    <w:basedOn w:val="Domylnaczcionkaakapitu"/>
    <w:uiPriority w:val="99"/>
    <w:semiHidden/>
    <w:unhideWhenUsed/>
    <w:rsid w:val="0045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309209685">
      <w:bodyDiv w:val="1"/>
      <w:marLeft w:val="0"/>
      <w:marRight w:val="0"/>
      <w:marTop w:val="0"/>
      <w:marBottom w:val="0"/>
      <w:divBdr>
        <w:top w:val="none" w:sz="0" w:space="0" w:color="auto"/>
        <w:left w:val="none" w:sz="0" w:space="0" w:color="auto"/>
        <w:bottom w:val="none" w:sz="0" w:space="0" w:color="auto"/>
        <w:right w:val="none" w:sz="0" w:space="0" w:color="auto"/>
      </w:divBdr>
    </w:div>
    <w:div w:id="326783407">
      <w:bodyDiv w:val="1"/>
      <w:marLeft w:val="0"/>
      <w:marRight w:val="0"/>
      <w:marTop w:val="0"/>
      <w:marBottom w:val="0"/>
      <w:divBdr>
        <w:top w:val="none" w:sz="0" w:space="0" w:color="auto"/>
        <w:left w:val="none" w:sz="0" w:space="0" w:color="auto"/>
        <w:bottom w:val="none" w:sz="0" w:space="0" w:color="auto"/>
        <w:right w:val="none" w:sz="0" w:space="0" w:color="auto"/>
      </w:divBdr>
    </w:div>
    <w:div w:id="557134304">
      <w:bodyDiv w:val="1"/>
      <w:marLeft w:val="0"/>
      <w:marRight w:val="0"/>
      <w:marTop w:val="0"/>
      <w:marBottom w:val="0"/>
      <w:divBdr>
        <w:top w:val="none" w:sz="0" w:space="0" w:color="auto"/>
        <w:left w:val="none" w:sz="0" w:space="0" w:color="auto"/>
        <w:bottom w:val="none" w:sz="0" w:space="0" w:color="auto"/>
        <w:right w:val="none" w:sz="0" w:space="0" w:color="auto"/>
      </w:divBdr>
    </w:div>
    <w:div w:id="644435865">
      <w:bodyDiv w:val="1"/>
      <w:marLeft w:val="0"/>
      <w:marRight w:val="0"/>
      <w:marTop w:val="0"/>
      <w:marBottom w:val="0"/>
      <w:divBdr>
        <w:top w:val="none" w:sz="0" w:space="0" w:color="auto"/>
        <w:left w:val="none" w:sz="0" w:space="0" w:color="auto"/>
        <w:bottom w:val="none" w:sz="0" w:space="0" w:color="auto"/>
        <w:right w:val="none" w:sz="0" w:space="0" w:color="auto"/>
      </w:divBdr>
    </w:div>
    <w:div w:id="806161711">
      <w:bodyDiv w:val="1"/>
      <w:marLeft w:val="0"/>
      <w:marRight w:val="0"/>
      <w:marTop w:val="0"/>
      <w:marBottom w:val="0"/>
      <w:divBdr>
        <w:top w:val="none" w:sz="0" w:space="0" w:color="auto"/>
        <w:left w:val="none" w:sz="0" w:space="0" w:color="auto"/>
        <w:bottom w:val="none" w:sz="0" w:space="0" w:color="auto"/>
        <w:right w:val="none" w:sz="0" w:space="0" w:color="auto"/>
      </w:divBdr>
    </w:div>
    <w:div w:id="818498743">
      <w:bodyDiv w:val="1"/>
      <w:marLeft w:val="0"/>
      <w:marRight w:val="0"/>
      <w:marTop w:val="0"/>
      <w:marBottom w:val="0"/>
      <w:divBdr>
        <w:top w:val="none" w:sz="0" w:space="0" w:color="auto"/>
        <w:left w:val="none" w:sz="0" w:space="0" w:color="auto"/>
        <w:bottom w:val="none" w:sz="0" w:space="0" w:color="auto"/>
        <w:right w:val="none" w:sz="0" w:space="0" w:color="auto"/>
      </w:divBdr>
    </w:div>
    <w:div w:id="999120242">
      <w:bodyDiv w:val="1"/>
      <w:marLeft w:val="0"/>
      <w:marRight w:val="0"/>
      <w:marTop w:val="0"/>
      <w:marBottom w:val="0"/>
      <w:divBdr>
        <w:top w:val="none" w:sz="0" w:space="0" w:color="auto"/>
        <w:left w:val="none" w:sz="0" w:space="0" w:color="auto"/>
        <w:bottom w:val="none" w:sz="0" w:space="0" w:color="auto"/>
        <w:right w:val="none" w:sz="0" w:space="0" w:color="auto"/>
      </w:divBdr>
    </w:div>
    <w:div w:id="1715153755">
      <w:bodyDiv w:val="1"/>
      <w:marLeft w:val="0"/>
      <w:marRight w:val="0"/>
      <w:marTop w:val="0"/>
      <w:marBottom w:val="0"/>
      <w:divBdr>
        <w:top w:val="none" w:sz="0" w:space="0" w:color="auto"/>
        <w:left w:val="none" w:sz="0" w:space="0" w:color="auto"/>
        <w:bottom w:val="none" w:sz="0" w:space="0" w:color="auto"/>
        <w:right w:val="none" w:sz="0" w:space="0" w:color="auto"/>
      </w:divBdr>
    </w:div>
    <w:div w:id="1941792589">
      <w:bodyDiv w:val="1"/>
      <w:marLeft w:val="0"/>
      <w:marRight w:val="0"/>
      <w:marTop w:val="0"/>
      <w:marBottom w:val="0"/>
      <w:divBdr>
        <w:top w:val="none" w:sz="0" w:space="0" w:color="auto"/>
        <w:left w:val="none" w:sz="0" w:space="0" w:color="auto"/>
        <w:bottom w:val="none" w:sz="0" w:space="0" w:color="auto"/>
        <w:right w:val="none" w:sz="0" w:space="0" w:color="auto"/>
      </w:divBdr>
    </w:div>
    <w:div w:id="210530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gnieszka.ratajczyk@linkleaders.pl" TargetMode="External"/><Relationship Id="rId2" Type="http://schemas.openxmlformats.org/officeDocument/2006/relationships/customXml" Target="../customXml/item2.xml"/><Relationship Id="rId16" Type="http://schemas.openxmlformats.org/officeDocument/2006/relationships/hyperlink" Target="mailto:anna.podolak@eu.j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DF7CC9153C784E927F7E057C166E04" ma:contentTypeVersion="13" ma:contentTypeDescription="Create a new document." ma:contentTypeScope="" ma:versionID="5173b91cb980c9a6e0114cac2a804e08">
  <xsd:schema xmlns:xsd="http://www.w3.org/2001/XMLSchema" xmlns:xs="http://www.w3.org/2001/XMLSchema" xmlns:p="http://schemas.microsoft.com/office/2006/metadata/properties" xmlns:ns3="32d3fa0c-fb3d-4c0b-99be-34c543cf18a0" xmlns:ns4="ca4bd570-cfc9-46cf-896d-79295dbcbb8c" targetNamespace="http://schemas.microsoft.com/office/2006/metadata/properties" ma:root="true" ma:fieldsID="f6ac8dff035e5e26e9d526d6a7a812e2" ns3:_="" ns4:_="">
    <xsd:import namespace="32d3fa0c-fb3d-4c0b-99be-34c543cf18a0"/>
    <xsd:import namespace="ca4bd570-cfc9-46cf-896d-79295dbcbb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3fa0c-fb3d-4c0b-99be-34c543cf1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bd570-cfc9-46cf-896d-79295dbcb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AD1D-3906-496F-90EB-98FC85674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2825B-F53E-4D3F-BB68-D50666A0F38F}">
  <ds:schemaRefs>
    <ds:schemaRef ds:uri="http://schemas.openxmlformats.org/officeDocument/2006/bibliography"/>
  </ds:schemaRefs>
</ds:datastoreItem>
</file>

<file path=customXml/itemProps3.xml><?xml version="1.0" encoding="utf-8"?>
<ds:datastoreItem xmlns:ds="http://schemas.openxmlformats.org/officeDocument/2006/customXml" ds:itemID="{5DCE858A-DA54-4085-B010-079DD36B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3fa0c-fb3d-4c0b-99be-34c543cf18a0"/>
    <ds:schemaRef ds:uri="ca4bd570-cfc9-46cf-896d-79295dbc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3A1DB-1ED3-4D16-9CA8-7207C745C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JLL-Global-NewsRelease</Template>
  <TotalTime>2</TotalTime>
  <Pages>4</Pages>
  <Words>1632</Words>
  <Characters>10646</Characters>
  <Application>Microsoft Office Word</Application>
  <DocSecurity>0</DocSecurity>
  <Lines>174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JLL</Company>
  <LinksUpToDate>false</LinksUpToDate>
  <CharactersWithSpaces>12233</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Bustos</dc:creator>
  <cp:keywords/>
  <dc:description/>
  <cp:lastModifiedBy>Agnieszka Ratajczyk</cp:lastModifiedBy>
  <cp:revision>2</cp:revision>
  <cp:lastPrinted>2018-05-14T08:45:00Z</cp:lastPrinted>
  <dcterms:created xsi:type="dcterms:W3CDTF">2020-10-28T11:14:00Z</dcterms:created>
  <dcterms:modified xsi:type="dcterms:W3CDTF">2020-10-28T11:14:00Z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0x01010045DF7CC9153C784E927F7E057C166E04</vt:lpwstr>
  </property>
</Properties>
</file>