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07B9" w14:textId="7BC61C48" w:rsidR="00DB6FD0" w:rsidRDefault="00822AB0" w:rsidP="00822AB0">
      <w:pPr>
        <w:spacing w:line="240" w:lineRule="auto"/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 w:rsidRPr="00822AB0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Huawei </w:t>
      </w:r>
      <w:r w:rsidR="00A958BD">
        <w:rPr>
          <w:rFonts w:ascii="Tahoma" w:eastAsia="Arial Unicode MS" w:hAnsi="Tahoma" w:cs="Tahoma"/>
          <w:b/>
          <w:bCs/>
          <w:sz w:val="24"/>
          <w:szCs w:val="24"/>
          <w:lang w:val="pl-PL"/>
        </w:rPr>
        <w:t>przedstawia</w:t>
      </w:r>
      <w:r w:rsidR="00CA1BCF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</w:t>
      </w:r>
      <w:r w:rsidR="00A958BD">
        <w:rPr>
          <w:rFonts w:ascii="Tahoma" w:eastAsia="Arial Unicode MS" w:hAnsi="Tahoma" w:cs="Tahoma"/>
          <w:b/>
          <w:bCs/>
          <w:sz w:val="24"/>
          <w:szCs w:val="24"/>
          <w:lang w:val="pl-PL"/>
        </w:rPr>
        <w:t>n</w:t>
      </w:r>
      <w:r w:rsidR="00A958BD" w:rsidRPr="00822AB0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owy </w:t>
      </w:r>
      <w:r w:rsidRPr="00822AB0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zasilacz UPS </w:t>
      </w:r>
      <w:r>
        <w:rPr>
          <w:rFonts w:ascii="Tahoma" w:eastAsia="Arial Unicode MS" w:hAnsi="Tahoma" w:cs="Tahoma"/>
          <w:b/>
          <w:bCs/>
          <w:sz w:val="24"/>
          <w:szCs w:val="24"/>
          <w:lang w:val="pl-PL"/>
        </w:rPr>
        <w:t>o wysokiej gęstości mocy 100 kW</w:t>
      </w:r>
    </w:p>
    <w:p w14:paraId="12DAA483" w14:textId="77777777" w:rsidR="00822AB0" w:rsidRPr="00DB6FD0" w:rsidRDefault="00822AB0" w:rsidP="00DB6FD0">
      <w:pPr>
        <w:spacing w:line="240" w:lineRule="auto"/>
        <w:ind w:leftChars="0" w:left="0"/>
        <w:jc w:val="both"/>
        <w:rPr>
          <w:rFonts w:ascii="Tahoma" w:hAnsi="Tahoma" w:cs="Tahoma"/>
          <w:b/>
          <w:bCs/>
          <w:sz w:val="22"/>
          <w:szCs w:val="20"/>
          <w:lang w:val="pl-PL"/>
        </w:rPr>
      </w:pPr>
    </w:p>
    <w:p w14:paraId="5ED5271E" w14:textId="03ED99E6" w:rsidR="003D33E2" w:rsidRDefault="005E6EB6" w:rsidP="00BD785E">
      <w:pPr>
        <w:spacing w:line="240" w:lineRule="auto"/>
        <w:ind w:leftChars="0" w:left="0"/>
        <w:jc w:val="both"/>
        <w:rPr>
          <w:rFonts w:ascii="Tahoma" w:hAnsi="Tahoma" w:cs="Tahoma"/>
          <w:b/>
          <w:bCs/>
          <w:sz w:val="22"/>
          <w:szCs w:val="20"/>
          <w:lang w:val="pl-PL"/>
        </w:rPr>
      </w:pP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 xml:space="preserve">Podczas konferencji Huawei Industrial Digital </w:t>
      </w:r>
      <w:proofErr w:type="spellStart"/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>Transformation</w:t>
      </w:r>
      <w:proofErr w:type="spellEnd"/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 xml:space="preserve"> 2020, Huawei wprowadził całkowicie nowy moduł zasilacza awaryjnego UPS.</w:t>
      </w:r>
      <w:r w:rsidR="00116E26">
        <w:rPr>
          <w:rFonts w:ascii="Tahoma" w:hAnsi="Tahoma" w:cs="Tahoma"/>
          <w:b/>
          <w:bCs/>
          <w:sz w:val="22"/>
          <w:szCs w:val="20"/>
          <w:lang w:val="pl-PL"/>
        </w:rPr>
        <w:t xml:space="preserve"> Jest on dostępny na całym świecie.</w:t>
      </w: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 xml:space="preserve"> </w:t>
      </w:r>
      <w:r>
        <w:rPr>
          <w:rFonts w:ascii="Tahoma" w:hAnsi="Tahoma" w:cs="Tahoma"/>
          <w:b/>
          <w:bCs/>
          <w:sz w:val="22"/>
          <w:szCs w:val="20"/>
          <w:lang w:val="pl-PL"/>
        </w:rPr>
        <w:t>Zaprezentowany p</w:t>
      </w: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>roduk</w:t>
      </w:r>
      <w:r>
        <w:rPr>
          <w:rFonts w:ascii="Tahoma" w:hAnsi="Tahoma" w:cs="Tahoma"/>
          <w:b/>
          <w:bCs/>
          <w:sz w:val="22"/>
          <w:szCs w:val="20"/>
          <w:lang w:val="pl-PL"/>
        </w:rPr>
        <w:t>t</w:t>
      </w: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 xml:space="preserve"> pozwala na osiągnięcie gęstości mocy 100 kW/3 U dla pojedynczego modułu, </w:t>
      </w:r>
      <w:r>
        <w:rPr>
          <w:rFonts w:ascii="Tahoma" w:hAnsi="Tahoma" w:cs="Tahoma"/>
          <w:b/>
          <w:bCs/>
          <w:sz w:val="22"/>
          <w:szCs w:val="20"/>
          <w:lang w:val="pl-PL"/>
        </w:rPr>
        <w:t>czyli nawet</w:t>
      </w: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 xml:space="preserve"> dwukrotnie więcej niż obecny standard. FusionPower2.0 </w:t>
      </w:r>
      <w:r w:rsidR="006D3569">
        <w:rPr>
          <w:rFonts w:ascii="Tahoma" w:hAnsi="Tahoma" w:cs="Tahoma"/>
          <w:b/>
          <w:bCs/>
          <w:sz w:val="22"/>
          <w:szCs w:val="20"/>
          <w:lang w:val="pl-PL"/>
        </w:rPr>
        <w:t xml:space="preserve"> </w:t>
      </w: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>wykorzystuje moduł 100 kW i działa zgodne z zasadą „1 MW, 1 szafa” (</w:t>
      </w:r>
      <w:r>
        <w:rPr>
          <w:rFonts w:ascii="Tahoma" w:hAnsi="Tahoma" w:cs="Tahoma"/>
          <w:b/>
          <w:bCs/>
          <w:sz w:val="22"/>
          <w:szCs w:val="20"/>
          <w:lang w:val="pl-PL"/>
        </w:rPr>
        <w:t xml:space="preserve">w którym to </w:t>
      </w:r>
      <w:r w:rsidRPr="005E6EB6">
        <w:rPr>
          <w:rFonts w:ascii="Tahoma" w:hAnsi="Tahoma" w:cs="Tahoma"/>
          <w:b/>
          <w:bCs/>
          <w:sz w:val="22"/>
          <w:szCs w:val="20"/>
          <w:lang w:val="pl-PL"/>
        </w:rPr>
        <w:t>1 szafa może obsługiwać moc 1 MW), a jego powierzchnia jest mniejsza o ponad połowę, co bezpośrednio wpływa na bardziej optymalne wykorzystanie centrów danych</w:t>
      </w:r>
      <w:r w:rsidR="006D3569">
        <w:rPr>
          <w:rFonts w:ascii="Tahoma" w:hAnsi="Tahoma" w:cs="Tahoma"/>
          <w:b/>
          <w:bCs/>
          <w:sz w:val="22"/>
          <w:szCs w:val="20"/>
          <w:lang w:val="pl-PL"/>
        </w:rPr>
        <w:t>.</w:t>
      </w:r>
    </w:p>
    <w:p w14:paraId="152944D2" w14:textId="77777777" w:rsidR="005E6EB6" w:rsidRDefault="005E6EB6" w:rsidP="00BD785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4C5A792" w14:textId="76BFF123" w:rsid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Wraz z rozwojem sztucznej inteligencji, big data, przetwarzania w chmurze i </w:t>
      </w:r>
      <w:proofErr w:type="spellStart"/>
      <w:r w:rsidR="002C7599">
        <w:rPr>
          <w:rFonts w:ascii="Tahoma" w:eastAsia="Arial Unicode MS" w:hAnsi="Tahoma" w:cs="Tahoma"/>
          <w:sz w:val="20"/>
          <w:szCs w:val="20"/>
          <w:lang w:val="pl-PL"/>
        </w:rPr>
        <w:t>i</w:t>
      </w:r>
      <w:r w:rsidR="002C7599" w:rsidRPr="005E6EB6">
        <w:rPr>
          <w:rFonts w:ascii="Tahoma" w:eastAsia="Arial Unicode MS" w:hAnsi="Tahoma" w:cs="Tahoma"/>
          <w:sz w:val="20"/>
          <w:szCs w:val="20"/>
          <w:lang w:val="pl-PL"/>
        </w:rPr>
        <w:t>nternetu</w:t>
      </w:r>
      <w:proofErr w:type="spellEnd"/>
      <w:r w:rsidR="002C7599"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5E6EB6">
        <w:rPr>
          <w:rFonts w:ascii="Tahoma" w:eastAsia="Arial Unicode MS" w:hAnsi="Tahoma" w:cs="Tahoma"/>
          <w:sz w:val="20"/>
          <w:szCs w:val="20"/>
          <w:lang w:val="pl-PL"/>
        </w:rPr>
        <w:t>rzeczy</w:t>
      </w:r>
      <w:r w:rsidR="0074221E">
        <w:rPr>
          <w:rFonts w:ascii="Tahoma" w:eastAsia="Arial Unicode MS" w:hAnsi="Tahoma" w:cs="Tahoma"/>
          <w:sz w:val="20"/>
          <w:szCs w:val="20"/>
          <w:lang w:val="pl-PL"/>
        </w:rPr>
        <w:t>,</w:t>
      </w:r>
      <w:r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 centra danych stają się coraz większe i bardziej złożone. Rozwiązania o wysokiej gęstości mocy zyskują na popularności dzięki ciągłej ewolucji możliwości obliczeniowych, a także większej mocy procesorów i serwerów. Systemy zasilania i dystrybucji w tradycyjnych dużych centrach danych borykają się z licznymi problemami, takimi jak wysoka awaryjność, wysokie zużycie energii elektrycznej, </w:t>
      </w:r>
      <w:r w:rsidR="002C7599">
        <w:rPr>
          <w:rFonts w:ascii="Tahoma" w:eastAsia="Arial Unicode MS" w:hAnsi="Tahoma" w:cs="Tahoma"/>
          <w:sz w:val="20"/>
          <w:szCs w:val="20"/>
          <w:lang w:val="pl-PL"/>
        </w:rPr>
        <w:t>duże</w:t>
      </w:r>
      <w:r w:rsidR="002C7599"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5E6EB6">
        <w:rPr>
          <w:rFonts w:ascii="Tahoma" w:eastAsia="Arial Unicode MS" w:hAnsi="Tahoma" w:cs="Tahoma"/>
          <w:sz w:val="20"/>
          <w:szCs w:val="20"/>
          <w:lang w:val="pl-PL"/>
        </w:rPr>
        <w:t>obciążenie i skomplikowany proces utrzymania i konserwacji.</w:t>
      </w:r>
    </w:p>
    <w:p w14:paraId="09642042" w14:textId="77777777" w:rsidR="005E6EB6" w:rsidRP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451F40AD" w14:textId="71B5AF71" w:rsid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CA1BCF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Ze względu na duże możliwości techniczne i bogate doświadczenie w </w:t>
      </w:r>
      <w:r w:rsidR="002C7599">
        <w:rPr>
          <w:rFonts w:ascii="Tahoma" w:eastAsia="Arial Unicode MS" w:hAnsi="Tahoma" w:cs="Tahoma"/>
          <w:i/>
          <w:sz w:val="20"/>
          <w:szCs w:val="20"/>
          <w:lang w:val="pl-PL"/>
        </w:rPr>
        <w:t>obszarze</w:t>
      </w:r>
      <w:r w:rsidR="002C7599" w:rsidRPr="00CA1BCF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</w:t>
      </w:r>
      <w:r w:rsidRPr="00CA1BCF">
        <w:rPr>
          <w:rFonts w:ascii="Tahoma" w:eastAsia="Arial Unicode MS" w:hAnsi="Tahoma" w:cs="Tahoma"/>
          <w:i/>
          <w:sz w:val="20"/>
          <w:szCs w:val="20"/>
          <w:lang w:val="pl-PL"/>
        </w:rPr>
        <w:t>zasilania, Huawei kontynuuje inwestycje w badania i rozwój oraz innowacje. Stale dążymy do zwiększania gęstości mocy i usprawniania technologii magazynowania energii w akumulatorach litowo-jonowych na potrzeby centrów danych, tak</w:t>
      </w:r>
      <w:r w:rsidR="0060121F">
        <w:rPr>
          <w:rFonts w:ascii="Tahoma" w:eastAsia="Arial Unicode MS" w:hAnsi="Tahoma" w:cs="Tahoma"/>
          <w:i/>
          <w:sz w:val="20"/>
          <w:szCs w:val="20"/>
          <w:lang w:val="pl-PL"/>
        </w:rPr>
        <w:t>,</w:t>
      </w:r>
      <w:r w:rsidRPr="00CA1BCF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aby sprostać nowym wymaganiom dotyczącym uproszczonej architektury, wysokiej niezawodności i łatwiejszej obsługi systemów zasilania w centrach danych </w:t>
      </w:r>
      <w:r w:rsidR="0060121F">
        <w:rPr>
          <w:rFonts w:ascii="Tahoma" w:eastAsia="Arial Unicode MS" w:hAnsi="Tahoma" w:cs="Tahoma"/>
          <w:i/>
          <w:sz w:val="20"/>
          <w:szCs w:val="20"/>
          <w:lang w:val="pl-PL"/>
        </w:rPr>
        <w:t>obsługujących chmurę</w:t>
      </w:r>
      <w:r w:rsidRPr="00CA1BCF">
        <w:rPr>
          <w:rFonts w:ascii="Tahoma" w:eastAsia="Arial Unicode MS" w:hAnsi="Tahoma" w:cs="Tahoma"/>
          <w:i/>
          <w:sz w:val="20"/>
          <w:szCs w:val="20"/>
          <w:lang w:val="pl-PL"/>
        </w:rPr>
        <w:t>, przy okazji pomagając partnerom biznesowym w przeprowadzaniu transformacji cyfrowej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– powiedział </w:t>
      </w:r>
      <w:proofErr w:type="spellStart"/>
      <w:r w:rsidRPr="005E6EB6">
        <w:rPr>
          <w:rFonts w:ascii="Tahoma" w:eastAsia="Arial Unicode MS" w:hAnsi="Tahoma" w:cs="Tahoma"/>
          <w:sz w:val="20"/>
          <w:szCs w:val="20"/>
          <w:lang w:val="pl-PL"/>
        </w:rPr>
        <w:t>SanJay</w:t>
      </w:r>
      <w:proofErr w:type="spellEnd"/>
      <w:r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 Kumar </w:t>
      </w:r>
      <w:proofErr w:type="spellStart"/>
      <w:r w:rsidRPr="005E6EB6">
        <w:rPr>
          <w:rFonts w:ascii="Tahoma" w:eastAsia="Arial Unicode MS" w:hAnsi="Tahoma" w:cs="Tahoma"/>
          <w:sz w:val="20"/>
          <w:szCs w:val="20"/>
          <w:lang w:val="pl-PL"/>
        </w:rPr>
        <w:t>Sainani</w:t>
      </w:r>
      <w:proofErr w:type="spellEnd"/>
      <w:r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, wiceprezes i </w:t>
      </w:r>
      <w:r w:rsidR="004E1EB1">
        <w:rPr>
          <w:rFonts w:ascii="Tahoma" w:eastAsia="Arial Unicode MS" w:hAnsi="Tahoma" w:cs="Tahoma"/>
          <w:sz w:val="20"/>
          <w:szCs w:val="20"/>
          <w:lang w:val="pl-PL"/>
        </w:rPr>
        <w:t>CTO,</w:t>
      </w:r>
      <w:r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 Huawei Global Data Center Facility Business</w:t>
      </w:r>
      <w:r>
        <w:rPr>
          <w:rFonts w:ascii="Tahoma" w:eastAsia="Arial Unicode MS" w:hAnsi="Tahoma" w:cs="Tahoma"/>
          <w:sz w:val="20"/>
          <w:szCs w:val="20"/>
          <w:lang w:val="pl-PL"/>
        </w:rPr>
        <w:t>.</w:t>
      </w:r>
    </w:p>
    <w:p w14:paraId="1AEEE435" w14:textId="77777777" w:rsidR="005E6EB6" w:rsidRP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5B00F7C6" w14:textId="56A20FA9" w:rsid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5E6EB6">
        <w:rPr>
          <w:rFonts w:ascii="Tahoma" w:eastAsia="Arial Unicode MS" w:hAnsi="Tahoma" w:cs="Tahoma"/>
          <w:sz w:val="20"/>
          <w:szCs w:val="20"/>
          <w:lang w:val="pl-PL"/>
        </w:rPr>
        <w:t xml:space="preserve">Rozwiązanie SmartLi UPS Critical Power Supply Solution (moduł o mocy 100k/3U), moduł zasilacza UPS firmy Huawei o mocy 100 kW przeznaczony jest dla klientów w branży centrów danych, 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dzięki optymalizacji </w:t>
      </w:r>
      <w:r w:rsidRPr="005E6EB6">
        <w:rPr>
          <w:rFonts w:ascii="Tahoma" w:eastAsia="Arial Unicode MS" w:hAnsi="Tahoma" w:cs="Tahoma"/>
          <w:sz w:val="20"/>
          <w:szCs w:val="20"/>
          <w:lang w:val="pl-PL"/>
        </w:rPr>
        <w:t>umożliwiając im zwiększenie przychodów przy jednoczesnym obniżeniu kosztów. Konstrukcja o dużej gęstości sprawia, że rozwiązanie FusionPower2.0 zapewnia zasilanie i dystrybucję dla centrów danych (1200 kVA), wymagając jedynie 12 modułów mocy i osiągając tym samym „1 MW na 1 szafę”. Biorąc pod uwagę dystrybucję mocy wejściowej i wyjściowej UPS, liczbę szaf w całym systemie ograniczono z ośmiu do czterech, zmniejszając zajmowaną powierzchnię o 50%. Na przykład po wdrożeniu 10 zestawów Huawei FusionPower2.0 1200 kVA, można zaoszczędzić 40 miejsc na szafy i uzyskać około 570 000 USD dodatkowych przychodów rocznie.</w:t>
      </w:r>
    </w:p>
    <w:p w14:paraId="6900AC48" w14:textId="5419B1F3" w:rsid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bookmarkStart w:id="0" w:name="_GoBack"/>
      <w:bookmarkEnd w:id="0"/>
    </w:p>
    <w:p w14:paraId="007AA49E" w14:textId="57E2A99E" w:rsid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>
        <w:rPr>
          <w:rFonts w:ascii="Tahoma" w:eastAsia="Arial Unicode MS" w:hAnsi="Tahoma" w:cs="Tahoma"/>
          <w:sz w:val="20"/>
          <w:szCs w:val="20"/>
          <w:lang w:val="pl-PL"/>
        </w:rPr>
        <w:t xml:space="preserve">Więcej informacji na temat produktu dostępnych jest </w:t>
      </w:r>
      <w:hyperlink r:id="rId8" w:history="1">
        <w:r w:rsidRPr="005E6EB6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na stronie.</w:t>
        </w:r>
      </w:hyperlink>
    </w:p>
    <w:p w14:paraId="2D91E6B2" w14:textId="77777777" w:rsidR="005E6EB6" w:rsidRDefault="005E6EB6" w:rsidP="005E6EB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01624DC4" w:rsidR="00A120B4" w:rsidRPr="007E17EE" w:rsidRDefault="00A120B4" w:rsidP="003D33E2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7E17EE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63BCB55E" w14:textId="153BECDF" w:rsidR="00A120B4" w:rsidRPr="007E17EE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7E17EE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0"/>
          <w:szCs w:val="20"/>
          <w:lang w:val="pl-PL"/>
        </w:rPr>
      </w:pPr>
      <w:r w:rsidRPr="007E17EE">
        <w:rPr>
          <w:rFonts w:ascii="Tahoma" w:hAnsi="Tahoma" w:cs="Tahoma"/>
          <w:b/>
          <w:bCs/>
          <w:sz w:val="20"/>
          <w:szCs w:val="20"/>
          <w:lang w:val="pl-PL"/>
        </w:rPr>
        <w:t>HUAWEI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teleinformatyczne typu end-to-end, umożliwiając klientom przewagę konkurencyjną w zakresie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A0AC1D8" w14:textId="17690EA2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9" w:history="1">
        <w:r w:rsidR="005F142E">
          <w:rPr>
            <w:rStyle w:val="Hyperlink"/>
            <w:rFonts w:ascii="Tahoma" w:hAnsi="Tahoma" w:cs="Tahoma"/>
            <w:sz w:val="20"/>
            <w:szCs w:val="20"/>
            <w:lang w:val="pl-PL"/>
          </w:rPr>
          <w:t>http://Huawei.com</w:t>
        </w:r>
      </w:hyperlink>
      <w:r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lub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śledź nas na: </w:t>
      </w:r>
    </w:p>
    <w:p w14:paraId="59BB3A8F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EC25789" w14:textId="77777777" w:rsidR="00E03218" w:rsidRPr="007E17EE" w:rsidRDefault="00483B27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0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00A52FF0" w14:textId="77777777" w:rsidR="00E03218" w:rsidRPr="007E17EE" w:rsidRDefault="00483B27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1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http://www.twitter.com/Huawei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5C2CC5C1" w14:textId="77777777" w:rsidR="00E03218" w:rsidRPr="007E17EE" w:rsidRDefault="00483B27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2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http://www.facebook.com/Huawei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3CAB6677" w14:textId="07EBBA0C" w:rsidR="00E03218" w:rsidRPr="007E17EE" w:rsidRDefault="00483B27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hyperlink r:id="rId13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1686B10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8416208" w14:textId="6EA2AF73" w:rsidR="00E03218" w:rsidRPr="007E17EE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Biura Prasowego.</w:t>
        </w:r>
      </w:hyperlink>
    </w:p>
    <w:p w14:paraId="0F5AB19D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14:paraId="255C8C4F" w14:textId="48B1C559" w:rsidR="00E03218" w:rsidRPr="007E17EE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Kontakt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dla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mediów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14:paraId="36DE22BC" w14:textId="6651E5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Mateusz Kaczor</w:t>
      </w:r>
      <w:r w:rsidR="0006109B" w:rsidRPr="007E17EE">
        <w:rPr>
          <w:rFonts w:ascii="Tahoma" w:hAnsi="Tahoma" w:cs="Tahoma"/>
          <w:color w:val="414141"/>
          <w:sz w:val="20"/>
          <w:szCs w:val="20"/>
          <w:lang w:eastAsia="pl-PL"/>
        </w:rPr>
        <w:br/>
      </w: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Senior Account Executive</w:t>
      </w:r>
    </w:p>
    <w:p w14:paraId="02E74624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 xml:space="preserve">MSL </w:t>
      </w:r>
    </w:p>
    <w:p w14:paraId="7D7A7D4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mateusz.kaczor@mslgroup.com</w:t>
      </w: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ab/>
      </w:r>
    </w:p>
    <w:p w14:paraId="5F24574C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608 389 441</w:t>
      </w:r>
    </w:p>
    <w:p w14:paraId="1035D501" w14:textId="77777777" w:rsidR="00E03218" w:rsidRPr="0029227C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</w:p>
    <w:p w14:paraId="5178D048" w14:textId="77777777" w:rsidR="00604F4D" w:rsidRPr="0029227C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29227C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8AC8" w14:textId="77777777" w:rsidR="00A25DB3" w:rsidRDefault="00A25DB3">
      <w:pPr>
        <w:ind w:left="420"/>
      </w:pPr>
      <w:r>
        <w:separator/>
      </w:r>
    </w:p>
  </w:endnote>
  <w:endnote w:type="continuationSeparator" w:id="0">
    <w:p w14:paraId="6FD64D03" w14:textId="77777777" w:rsidR="00A25DB3" w:rsidRDefault="00A25DB3">
      <w:pPr>
        <w:ind w:left="420"/>
      </w:pPr>
      <w:r>
        <w:continuationSeparator/>
      </w:r>
    </w:p>
  </w:endnote>
  <w:endnote w:type="continuationNotice" w:id="1">
    <w:p w14:paraId="628AE012" w14:textId="77777777" w:rsidR="00A25DB3" w:rsidRDefault="00A25DB3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SimSu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146CC7F0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CA1BCF">
            <w:rPr>
              <w:noProof/>
            </w:rPr>
            <w:t>2020-10-28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6A973099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CA1BCF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CA1BCF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11775" w14:textId="77777777" w:rsidR="00A25DB3" w:rsidRDefault="00A25DB3">
      <w:pPr>
        <w:ind w:left="420"/>
      </w:pPr>
      <w:r>
        <w:separator/>
      </w:r>
    </w:p>
  </w:footnote>
  <w:footnote w:type="continuationSeparator" w:id="0">
    <w:p w14:paraId="53BCFA79" w14:textId="77777777" w:rsidR="00A25DB3" w:rsidRDefault="00A25DB3">
      <w:pPr>
        <w:ind w:left="420"/>
      </w:pPr>
      <w:r>
        <w:continuationSeparator/>
      </w:r>
    </w:p>
  </w:footnote>
  <w:footnote w:type="continuationNotice" w:id="1">
    <w:p w14:paraId="5BD9D7AA" w14:textId="77777777" w:rsidR="00A25DB3" w:rsidRDefault="00A25DB3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5D4D"/>
    <w:rsid w:val="000167BA"/>
    <w:rsid w:val="000220DD"/>
    <w:rsid w:val="000255C7"/>
    <w:rsid w:val="00025F20"/>
    <w:rsid w:val="000355A1"/>
    <w:rsid w:val="00040703"/>
    <w:rsid w:val="00043BE7"/>
    <w:rsid w:val="0005078A"/>
    <w:rsid w:val="00052AFE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F1DC9"/>
    <w:rsid w:val="000F64DE"/>
    <w:rsid w:val="000F7621"/>
    <w:rsid w:val="00100542"/>
    <w:rsid w:val="00103086"/>
    <w:rsid w:val="00104597"/>
    <w:rsid w:val="00116E26"/>
    <w:rsid w:val="00124332"/>
    <w:rsid w:val="00133033"/>
    <w:rsid w:val="00140A6A"/>
    <w:rsid w:val="00140C93"/>
    <w:rsid w:val="00155C5D"/>
    <w:rsid w:val="0016416F"/>
    <w:rsid w:val="00170DCE"/>
    <w:rsid w:val="00184889"/>
    <w:rsid w:val="001A5557"/>
    <w:rsid w:val="001B0326"/>
    <w:rsid w:val="001B10BB"/>
    <w:rsid w:val="001B28AD"/>
    <w:rsid w:val="001B2A88"/>
    <w:rsid w:val="001D6CE9"/>
    <w:rsid w:val="001D75A2"/>
    <w:rsid w:val="001E0299"/>
    <w:rsid w:val="001F61F3"/>
    <w:rsid w:val="001F65CE"/>
    <w:rsid w:val="00201BA2"/>
    <w:rsid w:val="0020669F"/>
    <w:rsid w:val="00214994"/>
    <w:rsid w:val="0022172F"/>
    <w:rsid w:val="002217F0"/>
    <w:rsid w:val="00231164"/>
    <w:rsid w:val="00235C16"/>
    <w:rsid w:val="00242B6B"/>
    <w:rsid w:val="002455DA"/>
    <w:rsid w:val="0026473B"/>
    <w:rsid w:val="002670F3"/>
    <w:rsid w:val="00285F0B"/>
    <w:rsid w:val="00290D81"/>
    <w:rsid w:val="0029227C"/>
    <w:rsid w:val="0029243F"/>
    <w:rsid w:val="00295DE2"/>
    <w:rsid w:val="002A3E65"/>
    <w:rsid w:val="002A4F97"/>
    <w:rsid w:val="002B5CAE"/>
    <w:rsid w:val="002C02DE"/>
    <w:rsid w:val="002C2962"/>
    <w:rsid w:val="002C3830"/>
    <w:rsid w:val="002C7599"/>
    <w:rsid w:val="002E3B0D"/>
    <w:rsid w:val="002E4BD2"/>
    <w:rsid w:val="002F0052"/>
    <w:rsid w:val="002F0C4A"/>
    <w:rsid w:val="003105F0"/>
    <w:rsid w:val="0031254C"/>
    <w:rsid w:val="00315AFC"/>
    <w:rsid w:val="003262DD"/>
    <w:rsid w:val="003371BD"/>
    <w:rsid w:val="003401DA"/>
    <w:rsid w:val="00344720"/>
    <w:rsid w:val="00353D0B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B5B0A"/>
    <w:rsid w:val="003C0AF5"/>
    <w:rsid w:val="003D33E2"/>
    <w:rsid w:val="003D6ABE"/>
    <w:rsid w:val="003D703D"/>
    <w:rsid w:val="003F4435"/>
    <w:rsid w:val="0040417C"/>
    <w:rsid w:val="0041004A"/>
    <w:rsid w:val="0045571B"/>
    <w:rsid w:val="00463FBE"/>
    <w:rsid w:val="004706B4"/>
    <w:rsid w:val="004710F4"/>
    <w:rsid w:val="0047111D"/>
    <w:rsid w:val="00483B27"/>
    <w:rsid w:val="00496D3F"/>
    <w:rsid w:val="004A1CFF"/>
    <w:rsid w:val="004A5061"/>
    <w:rsid w:val="004B1E24"/>
    <w:rsid w:val="004B27AA"/>
    <w:rsid w:val="004B67E4"/>
    <w:rsid w:val="004C0EB6"/>
    <w:rsid w:val="004C2050"/>
    <w:rsid w:val="004E1EB1"/>
    <w:rsid w:val="004F0DAF"/>
    <w:rsid w:val="004F256A"/>
    <w:rsid w:val="00504B3C"/>
    <w:rsid w:val="00505569"/>
    <w:rsid w:val="00510708"/>
    <w:rsid w:val="00513C8E"/>
    <w:rsid w:val="00516471"/>
    <w:rsid w:val="00527706"/>
    <w:rsid w:val="00544A41"/>
    <w:rsid w:val="005506A1"/>
    <w:rsid w:val="00551B49"/>
    <w:rsid w:val="00570DFD"/>
    <w:rsid w:val="00585C93"/>
    <w:rsid w:val="005B014A"/>
    <w:rsid w:val="005B648A"/>
    <w:rsid w:val="005C2A9F"/>
    <w:rsid w:val="005D128C"/>
    <w:rsid w:val="005D383F"/>
    <w:rsid w:val="005E5A60"/>
    <w:rsid w:val="005E6EB6"/>
    <w:rsid w:val="005F142E"/>
    <w:rsid w:val="005F3936"/>
    <w:rsid w:val="0060121F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1E75"/>
    <w:rsid w:val="00673EC7"/>
    <w:rsid w:val="00675AB0"/>
    <w:rsid w:val="006762BE"/>
    <w:rsid w:val="00677FA7"/>
    <w:rsid w:val="006848AE"/>
    <w:rsid w:val="00684F22"/>
    <w:rsid w:val="006A43F5"/>
    <w:rsid w:val="006B46FF"/>
    <w:rsid w:val="006C07FD"/>
    <w:rsid w:val="006D3569"/>
    <w:rsid w:val="006E07E2"/>
    <w:rsid w:val="006E093B"/>
    <w:rsid w:val="006E228C"/>
    <w:rsid w:val="006E44CB"/>
    <w:rsid w:val="006E7A0B"/>
    <w:rsid w:val="006F0E4E"/>
    <w:rsid w:val="00706C12"/>
    <w:rsid w:val="007070F5"/>
    <w:rsid w:val="00712420"/>
    <w:rsid w:val="00717B10"/>
    <w:rsid w:val="00721857"/>
    <w:rsid w:val="0074221E"/>
    <w:rsid w:val="00743970"/>
    <w:rsid w:val="0074483D"/>
    <w:rsid w:val="007555E7"/>
    <w:rsid w:val="007646E6"/>
    <w:rsid w:val="00767E0E"/>
    <w:rsid w:val="00770920"/>
    <w:rsid w:val="007717F6"/>
    <w:rsid w:val="007735B5"/>
    <w:rsid w:val="00792DB0"/>
    <w:rsid w:val="007A0716"/>
    <w:rsid w:val="007A16E9"/>
    <w:rsid w:val="007A2AA9"/>
    <w:rsid w:val="007A6D96"/>
    <w:rsid w:val="007B4B07"/>
    <w:rsid w:val="007D0CC4"/>
    <w:rsid w:val="007D203F"/>
    <w:rsid w:val="007D750F"/>
    <w:rsid w:val="007E17EE"/>
    <w:rsid w:val="00810311"/>
    <w:rsid w:val="00810A24"/>
    <w:rsid w:val="0082115C"/>
    <w:rsid w:val="00822AB0"/>
    <w:rsid w:val="008238F1"/>
    <w:rsid w:val="00824085"/>
    <w:rsid w:val="0083385C"/>
    <w:rsid w:val="008404E5"/>
    <w:rsid w:val="008469CC"/>
    <w:rsid w:val="0085F5D1"/>
    <w:rsid w:val="00860E6E"/>
    <w:rsid w:val="00862BA7"/>
    <w:rsid w:val="00871389"/>
    <w:rsid w:val="00872055"/>
    <w:rsid w:val="008769EF"/>
    <w:rsid w:val="008A6F1F"/>
    <w:rsid w:val="008C3369"/>
    <w:rsid w:val="008D0277"/>
    <w:rsid w:val="008E1FAA"/>
    <w:rsid w:val="008E6742"/>
    <w:rsid w:val="008F0FD9"/>
    <w:rsid w:val="00907B2F"/>
    <w:rsid w:val="0091089A"/>
    <w:rsid w:val="0091442C"/>
    <w:rsid w:val="00922F91"/>
    <w:rsid w:val="00924123"/>
    <w:rsid w:val="009318F7"/>
    <w:rsid w:val="00943F13"/>
    <w:rsid w:val="00944540"/>
    <w:rsid w:val="009500FC"/>
    <w:rsid w:val="00963437"/>
    <w:rsid w:val="009A5BA2"/>
    <w:rsid w:val="009B47EA"/>
    <w:rsid w:val="009B5454"/>
    <w:rsid w:val="009C1198"/>
    <w:rsid w:val="009C1767"/>
    <w:rsid w:val="009C5D9C"/>
    <w:rsid w:val="009E5A74"/>
    <w:rsid w:val="009F1227"/>
    <w:rsid w:val="00A066BF"/>
    <w:rsid w:val="00A120B4"/>
    <w:rsid w:val="00A13A9A"/>
    <w:rsid w:val="00A25DB3"/>
    <w:rsid w:val="00A30014"/>
    <w:rsid w:val="00A3076B"/>
    <w:rsid w:val="00A3268F"/>
    <w:rsid w:val="00A41B57"/>
    <w:rsid w:val="00A56418"/>
    <w:rsid w:val="00A61813"/>
    <w:rsid w:val="00A666CD"/>
    <w:rsid w:val="00A801FF"/>
    <w:rsid w:val="00A83291"/>
    <w:rsid w:val="00A958BD"/>
    <w:rsid w:val="00AA4AFC"/>
    <w:rsid w:val="00AA7259"/>
    <w:rsid w:val="00AB140B"/>
    <w:rsid w:val="00AB2FC4"/>
    <w:rsid w:val="00AB5C2E"/>
    <w:rsid w:val="00AC39C8"/>
    <w:rsid w:val="00AD0734"/>
    <w:rsid w:val="00AD2103"/>
    <w:rsid w:val="00AF184C"/>
    <w:rsid w:val="00B006C2"/>
    <w:rsid w:val="00B15FFE"/>
    <w:rsid w:val="00B17F34"/>
    <w:rsid w:val="00B262C5"/>
    <w:rsid w:val="00B26D82"/>
    <w:rsid w:val="00B41F1F"/>
    <w:rsid w:val="00B47B2E"/>
    <w:rsid w:val="00B555EE"/>
    <w:rsid w:val="00B60D49"/>
    <w:rsid w:val="00B61BEE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61F6"/>
    <w:rsid w:val="00C47EB9"/>
    <w:rsid w:val="00C5260E"/>
    <w:rsid w:val="00C53250"/>
    <w:rsid w:val="00C66D5E"/>
    <w:rsid w:val="00C76924"/>
    <w:rsid w:val="00C8361D"/>
    <w:rsid w:val="00CA1550"/>
    <w:rsid w:val="00CA1BCF"/>
    <w:rsid w:val="00CA248D"/>
    <w:rsid w:val="00CA6E12"/>
    <w:rsid w:val="00CB304F"/>
    <w:rsid w:val="00CB53D3"/>
    <w:rsid w:val="00CC2358"/>
    <w:rsid w:val="00CD5949"/>
    <w:rsid w:val="00CE1E4B"/>
    <w:rsid w:val="00D00418"/>
    <w:rsid w:val="00D07F6E"/>
    <w:rsid w:val="00D1293C"/>
    <w:rsid w:val="00D272EE"/>
    <w:rsid w:val="00D45473"/>
    <w:rsid w:val="00D54A23"/>
    <w:rsid w:val="00D57EF2"/>
    <w:rsid w:val="00D606E2"/>
    <w:rsid w:val="00D60AFD"/>
    <w:rsid w:val="00D766E0"/>
    <w:rsid w:val="00D76E29"/>
    <w:rsid w:val="00D82A67"/>
    <w:rsid w:val="00D84CED"/>
    <w:rsid w:val="00D90D3C"/>
    <w:rsid w:val="00DB6FD0"/>
    <w:rsid w:val="00DE205E"/>
    <w:rsid w:val="00DF5E3D"/>
    <w:rsid w:val="00E03218"/>
    <w:rsid w:val="00E25590"/>
    <w:rsid w:val="00E25B6B"/>
    <w:rsid w:val="00E26BFC"/>
    <w:rsid w:val="00E34C37"/>
    <w:rsid w:val="00E637E4"/>
    <w:rsid w:val="00E640E4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F2B"/>
    <w:rsid w:val="00F04459"/>
    <w:rsid w:val="00F1377F"/>
    <w:rsid w:val="00F13A77"/>
    <w:rsid w:val="00F175A7"/>
    <w:rsid w:val="00F2506A"/>
    <w:rsid w:val="00F30E7E"/>
    <w:rsid w:val="00F371DB"/>
    <w:rsid w:val="00F435DC"/>
    <w:rsid w:val="00F51D51"/>
    <w:rsid w:val="00F57AC3"/>
    <w:rsid w:val="00F622D1"/>
    <w:rsid w:val="00F667C5"/>
    <w:rsid w:val="00F738B4"/>
    <w:rsid w:val="00F87B3F"/>
    <w:rsid w:val="00F90866"/>
    <w:rsid w:val="00FA653B"/>
    <w:rsid w:val="00FB0B54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05078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078A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050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27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huawei.com/pl/products/network-energy/smartli-ups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CDFE-A62F-4E8E-BA60-A6DDE30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3946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4546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31</cp:revision>
  <dcterms:created xsi:type="dcterms:W3CDTF">2020-10-23T08:56:00Z</dcterms:created>
  <dcterms:modified xsi:type="dcterms:W3CDTF">2020-10-28T17:46:00Z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