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1A648F" w14:textId="3790A228" w:rsidR="00024C2A" w:rsidRDefault="00024C2A" w:rsidP="00024C2A">
      <w:pPr>
        <w:spacing w:before="120"/>
        <w:ind w:right="-618"/>
        <w:rPr>
          <w:rFonts w:ascii="Arial" w:hAnsi="Arial" w:cs="Arial"/>
          <w:i/>
          <w:iCs/>
          <w:lang w:val="en-GB"/>
        </w:rPr>
      </w:pPr>
    </w:p>
    <w:p w14:paraId="37E4BE10" w14:textId="7849ABEA" w:rsidR="00024C2A" w:rsidRPr="00024C2A" w:rsidRDefault="00024C2A" w:rsidP="00024C2A">
      <w:pPr>
        <w:spacing w:before="120"/>
        <w:ind w:left="-567" w:right="-618"/>
        <w:rPr>
          <w:rFonts w:ascii="Arial" w:hAnsi="Arial" w:cs="Arial"/>
          <w:b/>
          <w:bCs/>
          <w:sz w:val="28"/>
          <w:szCs w:val="28"/>
          <w:lang w:val="en-GB"/>
        </w:rPr>
      </w:pPr>
      <w:r w:rsidRPr="00024C2A">
        <w:rPr>
          <w:rFonts w:ascii="Arial" w:hAnsi="Arial" w:cs="Arial"/>
          <w:b/>
          <w:bCs/>
          <w:sz w:val="28"/>
          <w:szCs w:val="28"/>
          <w:lang w:val="en-GB"/>
        </w:rPr>
        <w:t xml:space="preserve">Poland is second most active </w:t>
      </w:r>
      <w:r>
        <w:rPr>
          <w:rFonts w:ascii="Arial" w:hAnsi="Arial" w:cs="Arial"/>
          <w:b/>
          <w:bCs/>
          <w:sz w:val="28"/>
          <w:szCs w:val="28"/>
          <w:lang w:val="en-GB"/>
        </w:rPr>
        <w:t>industrial</w:t>
      </w:r>
      <w:r w:rsidRPr="00024C2A">
        <w:rPr>
          <w:rFonts w:ascii="Arial" w:hAnsi="Arial" w:cs="Arial"/>
          <w:b/>
          <w:bCs/>
          <w:sz w:val="28"/>
          <w:szCs w:val="28"/>
          <w:lang w:val="en-GB"/>
        </w:rPr>
        <w:t xml:space="preserve"> market in Europe</w:t>
      </w:r>
    </w:p>
    <w:p w14:paraId="42A9BB10" w14:textId="36C8B831" w:rsidR="00024C2A" w:rsidRPr="00A209ED" w:rsidRDefault="00024C2A" w:rsidP="00024C2A">
      <w:pPr>
        <w:spacing w:before="120"/>
        <w:ind w:left="-567" w:right="-618"/>
        <w:rPr>
          <w:rFonts w:ascii="Arial" w:hAnsi="Arial" w:cs="Arial"/>
          <w:i/>
          <w:iCs/>
          <w:lang w:val="en-GB"/>
        </w:rPr>
      </w:pPr>
      <w:r w:rsidRPr="00024C2A">
        <w:rPr>
          <w:rFonts w:ascii="Arial" w:hAnsi="Arial" w:cs="Arial"/>
          <w:i/>
          <w:iCs/>
          <w:lang w:val="en-GB"/>
        </w:rPr>
        <w:t xml:space="preserve">The third quarter </w:t>
      </w:r>
      <w:r>
        <w:rPr>
          <w:rFonts w:ascii="Arial" w:hAnsi="Arial" w:cs="Arial"/>
          <w:i/>
          <w:iCs/>
          <w:lang w:val="en-GB"/>
        </w:rPr>
        <w:t>in</w:t>
      </w:r>
      <w:r w:rsidRPr="00024C2A">
        <w:rPr>
          <w:rFonts w:ascii="Arial" w:hAnsi="Arial" w:cs="Arial"/>
          <w:i/>
          <w:iCs/>
          <w:lang w:val="en-GB"/>
        </w:rPr>
        <w:t xml:space="preserve"> </w:t>
      </w:r>
      <w:r w:rsidR="00F85A95">
        <w:rPr>
          <w:rFonts w:ascii="Arial" w:hAnsi="Arial" w:cs="Arial"/>
          <w:i/>
          <w:iCs/>
          <w:lang w:val="en-GB"/>
        </w:rPr>
        <w:t>Poland’s</w:t>
      </w:r>
      <w:r w:rsidR="00F85A95" w:rsidRPr="00024C2A">
        <w:rPr>
          <w:rFonts w:ascii="Arial" w:hAnsi="Arial" w:cs="Arial"/>
          <w:i/>
          <w:iCs/>
          <w:lang w:val="en-GB"/>
        </w:rPr>
        <w:t xml:space="preserve"> </w:t>
      </w:r>
      <w:r>
        <w:rPr>
          <w:rFonts w:ascii="Arial" w:hAnsi="Arial" w:cs="Arial"/>
          <w:i/>
          <w:iCs/>
          <w:lang w:val="en-GB"/>
        </w:rPr>
        <w:t>industrial sector</w:t>
      </w:r>
      <w:r w:rsidRPr="00024C2A">
        <w:rPr>
          <w:rFonts w:ascii="Arial" w:hAnsi="Arial" w:cs="Arial"/>
          <w:i/>
          <w:iCs/>
          <w:lang w:val="en-GB"/>
        </w:rPr>
        <w:t xml:space="preserve"> </w:t>
      </w:r>
      <w:r w:rsidR="00F85A95">
        <w:rPr>
          <w:rFonts w:ascii="Arial" w:hAnsi="Arial" w:cs="Arial"/>
          <w:i/>
          <w:iCs/>
          <w:lang w:val="en-GB"/>
        </w:rPr>
        <w:t xml:space="preserve">saw a fairly positive sentiment </w:t>
      </w:r>
      <w:r w:rsidRPr="00024C2A">
        <w:rPr>
          <w:rFonts w:ascii="Arial" w:hAnsi="Arial" w:cs="Arial"/>
          <w:i/>
          <w:iCs/>
          <w:lang w:val="en-GB"/>
        </w:rPr>
        <w:t xml:space="preserve">among tenants and developers. At the end of </w:t>
      </w:r>
      <w:r>
        <w:rPr>
          <w:rFonts w:ascii="Arial" w:hAnsi="Arial" w:cs="Arial"/>
          <w:i/>
          <w:iCs/>
          <w:lang w:val="en-GB"/>
        </w:rPr>
        <w:t>September</w:t>
      </w:r>
      <w:r w:rsidRPr="00024C2A">
        <w:rPr>
          <w:rFonts w:ascii="Arial" w:hAnsi="Arial" w:cs="Arial"/>
          <w:i/>
          <w:iCs/>
          <w:lang w:val="en-GB"/>
        </w:rPr>
        <w:t xml:space="preserve">, </w:t>
      </w:r>
      <w:r w:rsidR="00AE2524">
        <w:rPr>
          <w:rFonts w:ascii="Arial" w:hAnsi="Arial" w:cs="Arial"/>
          <w:i/>
          <w:iCs/>
          <w:lang w:val="en-GB"/>
        </w:rPr>
        <w:t>the country was</w:t>
      </w:r>
      <w:r w:rsidRPr="00024C2A">
        <w:rPr>
          <w:rFonts w:ascii="Arial" w:hAnsi="Arial" w:cs="Arial"/>
          <w:i/>
          <w:iCs/>
          <w:lang w:val="en-GB"/>
        </w:rPr>
        <w:t xml:space="preserve"> the second most active market in Europe in terms of net demand and the amount of space </w:t>
      </w:r>
      <w:r>
        <w:rPr>
          <w:rFonts w:ascii="Arial" w:hAnsi="Arial" w:cs="Arial"/>
          <w:i/>
          <w:iCs/>
          <w:lang w:val="en-GB"/>
        </w:rPr>
        <w:t>delivered</w:t>
      </w:r>
      <w:r w:rsidRPr="00024C2A">
        <w:rPr>
          <w:rFonts w:ascii="Arial" w:hAnsi="Arial" w:cs="Arial"/>
          <w:i/>
          <w:iCs/>
          <w:lang w:val="en-GB"/>
        </w:rPr>
        <w:t xml:space="preserve">. </w:t>
      </w:r>
      <w:r w:rsidR="00F85A95">
        <w:rPr>
          <w:rFonts w:ascii="Arial" w:hAnsi="Arial" w:cs="Arial"/>
          <w:i/>
          <w:iCs/>
          <w:lang w:val="en-GB"/>
        </w:rPr>
        <w:t>Warehouse investment</w:t>
      </w:r>
      <w:r w:rsidR="00917332">
        <w:rPr>
          <w:rFonts w:ascii="Arial" w:hAnsi="Arial" w:cs="Arial"/>
          <w:i/>
          <w:iCs/>
          <w:lang w:val="en-GB"/>
        </w:rPr>
        <w:t>s</w:t>
      </w:r>
      <w:r w:rsidR="00F85A95">
        <w:rPr>
          <w:rFonts w:ascii="Arial" w:hAnsi="Arial" w:cs="Arial"/>
          <w:i/>
          <w:iCs/>
          <w:lang w:val="en-GB"/>
        </w:rPr>
        <w:t xml:space="preserve"> in Poland </w:t>
      </w:r>
      <w:r w:rsidR="00AE2524">
        <w:rPr>
          <w:rFonts w:ascii="Arial" w:hAnsi="Arial" w:cs="Arial"/>
          <w:i/>
          <w:iCs/>
          <w:lang w:val="en-GB"/>
        </w:rPr>
        <w:t>w</w:t>
      </w:r>
      <w:r w:rsidR="00BF41AF">
        <w:rPr>
          <w:rFonts w:ascii="Arial" w:hAnsi="Arial" w:cs="Arial"/>
          <w:i/>
          <w:iCs/>
          <w:lang w:val="en-GB"/>
        </w:rPr>
        <w:t>ere</w:t>
      </w:r>
      <w:r w:rsidR="00AE2524">
        <w:rPr>
          <w:rFonts w:ascii="Arial" w:hAnsi="Arial" w:cs="Arial"/>
          <w:i/>
          <w:iCs/>
          <w:lang w:val="en-GB"/>
        </w:rPr>
        <w:t xml:space="preserve"> </w:t>
      </w:r>
      <w:r w:rsidR="00015592">
        <w:rPr>
          <w:rFonts w:ascii="Arial" w:hAnsi="Arial" w:cs="Arial"/>
          <w:i/>
          <w:iCs/>
          <w:lang w:val="en-GB"/>
        </w:rPr>
        <w:t xml:space="preserve">approximately </w:t>
      </w:r>
      <w:r w:rsidR="00F85A95">
        <w:rPr>
          <w:rFonts w:ascii="Arial" w:hAnsi="Arial" w:cs="Arial"/>
          <w:i/>
          <w:iCs/>
          <w:lang w:val="en-GB"/>
        </w:rPr>
        <w:t xml:space="preserve">EUR </w:t>
      </w:r>
      <w:r w:rsidR="00015592">
        <w:rPr>
          <w:rFonts w:ascii="Arial" w:hAnsi="Arial" w:cs="Arial"/>
          <w:i/>
          <w:iCs/>
          <w:lang w:val="en-GB"/>
        </w:rPr>
        <w:t>2.2</w:t>
      </w:r>
      <w:r w:rsidR="00F85A95">
        <w:rPr>
          <w:rFonts w:ascii="Arial" w:hAnsi="Arial" w:cs="Arial"/>
          <w:i/>
          <w:iCs/>
          <w:lang w:val="en-GB"/>
        </w:rPr>
        <w:t xml:space="preserve"> billion</w:t>
      </w:r>
      <w:r w:rsidR="00AE2524">
        <w:rPr>
          <w:rFonts w:ascii="Arial" w:hAnsi="Arial" w:cs="Arial"/>
          <w:i/>
          <w:iCs/>
          <w:lang w:val="en-GB"/>
        </w:rPr>
        <w:t xml:space="preserve"> </w:t>
      </w:r>
      <w:r w:rsidR="00015592">
        <w:rPr>
          <w:rFonts w:ascii="Arial" w:hAnsi="Arial" w:cs="Arial"/>
          <w:i/>
          <w:iCs/>
          <w:lang w:val="en-GB"/>
        </w:rPr>
        <w:t>between January and November</w:t>
      </w:r>
      <w:r w:rsidR="00AE2524">
        <w:rPr>
          <w:rFonts w:ascii="Arial" w:hAnsi="Arial" w:cs="Arial"/>
          <w:i/>
          <w:iCs/>
          <w:lang w:val="en-GB"/>
        </w:rPr>
        <w:t>, setting an all-time annual record</w:t>
      </w:r>
      <w:r w:rsidR="00F85A95">
        <w:rPr>
          <w:rFonts w:ascii="Arial" w:hAnsi="Arial" w:cs="Arial"/>
          <w:i/>
          <w:iCs/>
          <w:lang w:val="en-GB"/>
        </w:rPr>
        <w:t>.</w:t>
      </w:r>
    </w:p>
    <w:p w14:paraId="45DF1C20" w14:textId="77777777" w:rsidR="00133629" w:rsidRPr="00C63D6E" w:rsidRDefault="00133629" w:rsidP="00133629">
      <w:pPr>
        <w:spacing w:before="120"/>
        <w:ind w:left="-567" w:right="-618"/>
        <w:rPr>
          <w:rFonts w:ascii="Times New Roman" w:hAnsi="Times New Roman"/>
          <w:i/>
          <w:iCs/>
          <w:sz w:val="10"/>
          <w:szCs w:val="10"/>
          <w:lang w:val="en-GB"/>
        </w:rPr>
      </w:pPr>
    </w:p>
    <w:p w14:paraId="1B46D690" w14:textId="33F2E490" w:rsidR="00133629" w:rsidRPr="00C63D6E" w:rsidRDefault="00133629" w:rsidP="00133629">
      <w:pPr>
        <w:spacing w:after="140"/>
        <w:ind w:left="-567" w:right="-478"/>
        <w:rPr>
          <w:rFonts w:ascii="Arial" w:hAnsi="Arial" w:cs="Arial"/>
          <w:sz w:val="22"/>
          <w:szCs w:val="22"/>
        </w:rPr>
      </w:pPr>
      <w:r w:rsidRPr="00C63D6E">
        <w:rPr>
          <w:rFonts w:ascii="Arial" w:hAnsi="Arial" w:cs="Arial"/>
          <w:b/>
          <w:sz w:val="22"/>
          <w:szCs w:val="22"/>
          <w:lang w:val="en-GB"/>
        </w:rPr>
        <w:t>WAR</w:t>
      </w:r>
      <w:r>
        <w:rPr>
          <w:rFonts w:ascii="Arial" w:hAnsi="Arial" w:cs="Arial"/>
          <w:b/>
          <w:sz w:val="22"/>
          <w:szCs w:val="22"/>
          <w:lang w:val="en-GB"/>
        </w:rPr>
        <w:t>SAW</w:t>
      </w:r>
      <w:r w:rsidRPr="00C63D6E">
        <w:rPr>
          <w:rFonts w:ascii="Arial" w:hAnsi="Arial" w:cs="Arial"/>
          <w:b/>
          <w:sz w:val="22"/>
          <w:szCs w:val="22"/>
          <w:lang w:val="en-GB"/>
        </w:rPr>
        <w:t xml:space="preserve">, </w:t>
      </w:r>
      <w:r w:rsidR="00024C2A">
        <w:rPr>
          <w:rFonts w:ascii="Arial" w:hAnsi="Arial" w:cs="Arial"/>
          <w:b/>
          <w:sz w:val="22"/>
          <w:szCs w:val="22"/>
          <w:lang w:val="en-GB"/>
        </w:rPr>
        <w:t>20 November</w:t>
      </w:r>
      <w:r w:rsidRPr="00C63D6E">
        <w:rPr>
          <w:rFonts w:ascii="Arial" w:hAnsi="Arial" w:cs="Arial"/>
          <w:b/>
          <w:sz w:val="22"/>
          <w:szCs w:val="22"/>
          <w:lang w:val="en-GB"/>
        </w:rPr>
        <w:t xml:space="preserve"> 2020 </w:t>
      </w:r>
      <w:r w:rsidRPr="00C63D6E">
        <w:rPr>
          <w:rFonts w:ascii="Arial" w:hAnsi="Arial" w:cs="Arial"/>
          <w:sz w:val="22"/>
          <w:szCs w:val="22"/>
          <w:lang w:val="en-GB"/>
        </w:rPr>
        <w:t xml:space="preserve">– </w:t>
      </w:r>
      <w:r>
        <w:rPr>
          <w:rFonts w:ascii="Arial" w:hAnsi="Arial"/>
          <w:sz w:val="22"/>
          <w:szCs w:val="22"/>
        </w:rPr>
        <w:t>Advisory firm JLL summarizes the situation on the Polish industrial market at the end of Q</w:t>
      </w:r>
      <w:r w:rsidR="00024C2A">
        <w:rPr>
          <w:rFonts w:ascii="Arial" w:hAnsi="Arial"/>
          <w:sz w:val="22"/>
          <w:szCs w:val="22"/>
        </w:rPr>
        <w:t>3</w:t>
      </w:r>
      <w:r>
        <w:rPr>
          <w:rFonts w:ascii="Arial" w:hAnsi="Arial"/>
          <w:sz w:val="22"/>
          <w:szCs w:val="22"/>
        </w:rPr>
        <w:t xml:space="preserve"> 2020.</w:t>
      </w:r>
    </w:p>
    <w:p w14:paraId="5716A1CC" w14:textId="37CB0B2A" w:rsidR="000344FF" w:rsidRPr="00133629" w:rsidRDefault="000344FF" w:rsidP="00664D5F">
      <w:pPr>
        <w:ind w:left="-567" w:right="-618"/>
        <w:rPr>
          <w:rFonts w:ascii="Arial" w:hAnsi="Arial" w:cs="Arial"/>
          <w:sz w:val="22"/>
          <w:szCs w:val="22"/>
          <w:lang w:val="en-GB"/>
        </w:rPr>
      </w:pPr>
    </w:p>
    <w:p w14:paraId="51B83AA7" w14:textId="77777777" w:rsidR="00133629" w:rsidRPr="00E10095" w:rsidRDefault="00133629" w:rsidP="00133629">
      <w:pPr>
        <w:ind w:left="-567" w:right="-618"/>
        <w:rPr>
          <w:rFonts w:ascii="Arial" w:hAnsi="Arial" w:cs="Arial"/>
          <w:b/>
          <w:sz w:val="22"/>
          <w:szCs w:val="22"/>
          <w:lang w:val="en-GB"/>
        </w:rPr>
      </w:pPr>
      <w:r w:rsidRPr="00E10095">
        <w:rPr>
          <w:rFonts w:ascii="Arial" w:hAnsi="Arial" w:cs="Arial"/>
          <w:b/>
          <w:sz w:val="22"/>
          <w:szCs w:val="22"/>
          <w:lang w:val="en-GB"/>
        </w:rPr>
        <w:t>Demand – Polish market is resilient to the</w:t>
      </w:r>
      <w:r>
        <w:rPr>
          <w:rFonts w:ascii="Arial" w:hAnsi="Arial" w:cs="Arial"/>
          <w:b/>
          <w:sz w:val="22"/>
          <w:szCs w:val="22"/>
          <w:lang w:val="en-GB"/>
        </w:rPr>
        <w:t xml:space="preserve"> pandemic </w:t>
      </w:r>
    </w:p>
    <w:p w14:paraId="23AEEC97" w14:textId="46806A79" w:rsidR="00133629" w:rsidRDefault="00133629" w:rsidP="00133629">
      <w:pPr>
        <w:ind w:left="-567" w:right="-47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GB"/>
        </w:rPr>
        <w:t>“</w:t>
      </w:r>
      <w:r w:rsidRPr="00E10095">
        <w:rPr>
          <w:rFonts w:ascii="Arial" w:hAnsi="Arial" w:cs="Arial"/>
          <w:sz w:val="22"/>
          <w:szCs w:val="22"/>
          <w:lang w:val="en-GB"/>
        </w:rPr>
        <w:t xml:space="preserve">The Polish </w:t>
      </w:r>
      <w:r w:rsidR="00917332">
        <w:rPr>
          <w:rFonts w:ascii="Arial" w:hAnsi="Arial" w:cs="Arial"/>
          <w:sz w:val="22"/>
          <w:szCs w:val="22"/>
          <w:lang w:val="en-GB"/>
        </w:rPr>
        <w:t>industrial</w:t>
      </w:r>
      <w:r w:rsidRPr="00E10095">
        <w:rPr>
          <w:rFonts w:ascii="Arial" w:hAnsi="Arial" w:cs="Arial"/>
          <w:sz w:val="22"/>
          <w:szCs w:val="22"/>
          <w:lang w:val="en-GB"/>
        </w:rPr>
        <w:t xml:space="preserve"> </w:t>
      </w:r>
      <w:r w:rsidR="00917332">
        <w:rPr>
          <w:rFonts w:ascii="Arial" w:hAnsi="Arial" w:cs="Arial"/>
          <w:sz w:val="22"/>
          <w:szCs w:val="22"/>
          <w:lang w:val="en-GB"/>
        </w:rPr>
        <w:t xml:space="preserve">sector </w:t>
      </w:r>
      <w:r w:rsidRPr="00E10095">
        <w:rPr>
          <w:rFonts w:ascii="Arial" w:hAnsi="Arial" w:cs="Arial"/>
          <w:sz w:val="22"/>
          <w:szCs w:val="22"/>
          <w:lang w:val="en-GB"/>
        </w:rPr>
        <w:t xml:space="preserve">is </w:t>
      </w:r>
      <w:r w:rsidR="00AE2524">
        <w:rPr>
          <w:rFonts w:ascii="Arial" w:hAnsi="Arial" w:cs="Arial"/>
          <w:sz w:val="22"/>
          <w:szCs w:val="22"/>
          <w:lang w:val="en-GB"/>
        </w:rPr>
        <w:t>progressing well in</w:t>
      </w:r>
      <w:r w:rsidRPr="00E10095">
        <w:rPr>
          <w:rFonts w:ascii="Arial" w:hAnsi="Arial" w:cs="Arial"/>
          <w:sz w:val="22"/>
          <w:szCs w:val="22"/>
          <w:lang w:val="en-GB"/>
        </w:rPr>
        <w:t xml:space="preserve"> 2020. Gross demand at the end of the third quarter </w:t>
      </w:r>
      <w:r w:rsidR="00F85A95">
        <w:rPr>
          <w:rFonts w:ascii="Arial" w:hAnsi="Arial" w:cs="Arial"/>
          <w:sz w:val="22"/>
          <w:szCs w:val="22"/>
          <w:lang w:val="en-GB"/>
        </w:rPr>
        <w:t>was</w:t>
      </w:r>
      <w:r w:rsidR="00F85A95" w:rsidRPr="00E10095">
        <w:rPr>
          <w:rFonts w:ascii="Arial" w:hAnsi="Arial" w:cs="Arial"/>
          <w:sz w:val="22"/>
          <w:szCs w:val="22"/>
          <w:lang w:val="en-GB"/>
        </w:rPr>
        <w:t xml:space="preserve"> </w:t>
      </w:r>
      <w:r w:rsidRPr="00E10095">
        <w:rPr>
          <w:rFonts w:ascii="Arial" w:hAnsi="Arial" w:cs="Arial"/>
          <w:sz w:val="22"/>
          <w:szCs w:val="22"/>
          <w:lang w:val="en-GB"/>
        </w:rPr>
        <w:t xml:space="preserve">a solid 3.4 million sqm. Over 75% of total demand was related to new contracts and expansions, which </w:t>
      </w:r>
      <w:r w:rsidR="00F85A95">
        <w:rPr>
          <w:rFonts w:ascii="Arial" w:hAnsi="Arial" w:cs="Arial"/>
          <w:sz w:val="22"/>
          <w:szCs w:val="22"/>
          <w:lang w:val="en-GB"/>
        </w:rPr>
        <w:t>meant that Poland was</w:t>
      </w:r>
      <w:r w:rsidRPr="00E10095">
        <w:rPr>
          <w:rFonts w:ascii="Arial" w:hAnsi="Arial" w:cs="Arial"/>
          <w:sz w:val="22"/>
          <w:szCs w:val="22"/>
          <w:lang w:val="en-GB"/>
        </w:rPr>
        <w:t xml:space="preserve"> the </w:t>
      </w:r>
      <w:r w:rsidR="00F85A95">
        <w:rPr>
          <w:rFonts w:ascii="Arial" w:hAnsi="Arial" w:cs="Arial"/>
          <w:sz w:val="22"/>
          <w:szCs w:val="22"/>
          <w:lang w:val="en-GB"/>
        </w:rPr>
        <w:t xml:space="preserve">second </w:t>
      </w:r>
      <w:r w:rsidRPr="00E10095">
        <w:rPr>
          <w:rFonts w:ascii="Arial" w:hAnsi="Arial" w:cs="Arial"/>
          <w:sz w:val="22"/>
          <w:szCs w:val="22"/>
          <w:lang w:val="en-GB"/>
        </w:rPr>
        <w:t xml:space="preserve">most active </w:t>
      </w:r>
      <w:r>
        <w:rPr>
          <w:rFonts w:ascii="Arial" w:hAnsi="Arial" w:cs="Arial"/>
          <w:sz w:val="22"/>
          <w:szCs w:val="22"/>
          <w:lang w:val="en-GB"/>
        </w:rPr>
        <w:t>industrial</w:t>
      </w:r>
      <w:r w:rsidRPr="00E10095">
        <w:rPr>
          <w:rFonts w:ascii="Arial" w:hAnsi="Arial" w:cs="Arial"/>
          <w:sz w:val="22"/>
          <w:szCs w:val="22"/>
          <w:lang w:val="en-GB"/>
        </w:rPr>
        <w:t xml:space="preserve"> market in Europe. Excellent location, the quality of delivered warehouse space and the maturity of the Polish market are appreciated by tenants and developers, which bodes well for the </w:t>
      </w:r>
      <w:r w:rsidR="00F85A95">
        <w:rPr>
          <w:rFonts w:ascii="Arial" w:hAnsi="Arial" w:cs="Arial"/>
          <w:sz w:val="22"/>
          <w:szCs w:val="22"/>
          <w:lang w:val="en-GB"/>
        </w:rPr>
        <w:t>future</w:t>
      </w:r>
      <w:r w:rsidRPr="00E10095">
        <w:rPr>
          <w:rFonts w:ascii="Arial" w:hAnsi="Arial" w:cs="Arial"/>
          <w:sz w:val="22"/>
          <w:szCs w:val="22"/>
          <w:lang w:val="en-GB"/>
        </w:rPr>
        <w:t xml:space="preserve">”, </w:t>
      </w:r>
      <w:r>
        <w:rPr>
          <w:rFonts w:ascii="Arial" w:hAnsi="Arial" w:cs="Arial"/>
          <w:sz w:val="22"/>
          <w:szCs w:val="22"/>
          <w:lang w:val="en-GB"/>
        </w:rPr>
        <w:t>comments</w:t>
      </w:r>
      <w:r w:rsidRPr="00E10095">
        <w:rPr>
          <w:rFonts w:ascii="Arial" w:hAnsi="Arial" w:cs="Arial"/>
          <w:sz w:val="22"/>
          <w:szCs w:val="22"/>
          <w:lang w:val="en-GB"/>
        </w:rPr>
        <w:t xml:space="preserve"> </w:t>
      </w:r>
      <w:r w:rsidRPr="00764EE1">
        <w:rPr>
          <w:rFonts w:ascii="Arial" w:hAnsi="Arial" w:cs="Arial"/>
          <w:b/>
          <w:bCs/>
          <w:sz w:val="22"/>
          <w:szCs w:val="22"/>
        </w:rPr>
        <w:t>Tomasz Mika, Head of Industrial</w:t>
      </w:r>
      <w:r>
        <w:rPr>
          <w:rFonts w:ascii="Arial" w:hAnsi="Arial" w:cs="Arial"/>
          <w:b/>
          <w:bCs/>
          <w:sz w:val="22"/>
          <w:szCs w:val="22"/>
        </w:rPr>
        <w:t xml:space="preserve"> Poland,</w:t>
      </w:r>
      <w:r w:rsidRPr="00764EE1">
        <w:rPr>
          <w:rFonts w:ascii="Arial" w:hAnsi="Arial" w:cs="Arial"/>
          <w:b/>
          <w:bCs/>
          <w:sz w:val="22"/>
          <w:szCs w:val="22"/>
        </w:rPr>
        <w:t xml:space="preserve"> JL</w:t>
      </w:r>
      <w:r>
        <w:rPr>
          <w:rFonts w:ascii="Arial" w:hAnsi="Arial" w:cs="Arial"/>
          <w:b/>
          <w:bCs/>
          <w:sz w:val="22"/>
          <w:szCs w:val="22"/>
        </w:rPr>
        <w:t>L</w:t>
      </w:r>
      <w:r w:rsidRPr="00764EE1">
        <w:rPr>
          <w:rFonts w:ascii="Arial" w:hAnsi="Arial" w:cs="Arial"/>
          <w:b/>
          <w:bCs/>
          <w:sz w:val="22"/>
          <w:szCs w:val="22"/>
        </w:rPr>
        <w:t>.</w:t>
      </w:r>
    </w:p>
    <w:p w14:paraId="08B7211E" w14:textId="77777777" w:rsidR="00133629" w:rsidRDefault="00133629" w:rsidP="00133629">
      <w:pPr>
        <w:ind w:left="-567" w:right="-478"/>
        <w:rPr>
          <w:rFonts w:ascii="Arial" w:hAnsi="Arial" w:cs="Arial"/>
          <w:sz w:val="22"/>
          <w:szCs w:val="22"/>
        </w:rPr>
      </w:pPr>
    </w:p>
    <w:p w14:paraId="747E4194" w14:textId="6DF99178" w:rsidR="00133629" w:rsidRPr="00E10095" w:rsidRDefault="00133629" w:rsidP="00133629">
      <w:pPr>
        <w:ind w:left="-567" w:right="-478"/>
        <w:rPr>
          <w:rFonts w:ascii="Arial" w:hAnsi="Arial" w:cs="Arial"/>
          <w:sz w:val="22"/>
          <w:szCs w:val="22"/>
          <w:lang w:val="en-GB"/>
        </w:rPr>
      </w:pPr>
      <w:r w:rsidRPr="00E10095">
        <w:rPr>
          <w:rFonts w:ascii="Arial" w:hAnsi="Arial" w:cs="Arial"/>
          <w:sz w:val="22"/>
          <w:szCs w:val="22"/>
          <w:lang w:val="en-GB"/>
        </w:rPr>
        <w:t xml:space="preserve">The </w:t>
      </w:r>
      <w:r w:rsidR="00F85A95">
        <w:rPr>
          <w:rFonts w:ascii="Arial" w:hAnsi="Arial" w:cs="Arial"/>
          <w:sz w:val="22"/>
          <w:szCs w:val="22"/>
          <w:lang w:val="en-GB"/>
        </w:rPr>
        <w:t xml:space="preserve">country’s </w:t>
      </w:r>
      <w:r w:rsidRPr="00E10095">
        <w:rPr>
          <w:rFonts w:ascii="Arial" w:hAnsi="Arial" w:cs="Arial"/>
          <w:sz w:val="22"/>
          <w:szCs w:val="22"/>
          <w:lang w:val="en-GB"/>
        </w:rPr>
        <w:t xml:space="preserve">most active market in Q1-Q3 2020 was undoubtedly Upper Silesia, where new take-up reached 565,000 </w:t>
      </w:r>
      <w:r>
        <w:rPr>
          <w:rFonts w:ascii="Arial" w:hAnsi="Arial" w:cs="Arial"/>
          <w:sz w:val="22"/>
          <w:szCs w:val="22"/>
          <w:lang w:val="en-GB"/>
        </w:rPr>
        <w:t>sqm</w:t>
      </w:r>
      <w:r w:rsidRPr="00E10095">
        <w:rPr>
          <w:rFonts w:ascii="Arial" w:hAnsi="Arial" w:cs="Arial"/>
          <w:sz w:val="22"/>
          <w:szCs w:val="22"/>
          <w:lang w:val="en-GB"/>
        </w:rPr>
        <w:t xml:space="preserve">. </w:t>
      </w:r>
      <w:r w:rsidR="00F85A95">
        <w:rPr>
          <w:rFonts w:ascii="Arial" w:hAnsi="Arial" w:cs="Arial"/>
          <w:sz w:val="22"/>
          <w:szCs w:val="22"/>
          <w:lang w:val="en-GB"/>
        </w:rPr>
        <w:t>In s</w:t>
      </w:r>
      <w:r w:rsidR="00F85A95" w:rsidRPr="00E10095">
        <w:rPr>
          <w:rFonts w:ascii="Arial" w:hAnsi="Arial" w:cs="Arial"/>
          <w:sz w:val="22"/>
          <w:szCs w:val="22"/>
          <w:lang w:val="en-GB"/>
        </w:rPr>
        <w:t xml:space="preserve">econd </w:t>
      </w:r>
      <w:r w:rsidRPr="00E10095">
        <w:rPr>
          <w:rFonts w:ascii="Arial" w:hAnsi="Arial" w:cs="Arial"/>
          <w:sz w:val="22"/>
          <w:szCs w:val="22"/>
          <w:lang w:val="en-GB"/>
        </w:rPr>
        <w:t xml:space="preserve">place </w:t>
      </w:r>
      <w:r w:rsidR="00F85A95">
        <w:rPr>
          <w:rFonts w:ascii="Arial" w:hAnsi="Arial" w:cs="Arial"/>
          <w:sz w:val="22"/>
          <w:szCs w:val="22"/>
          <w:lang w:val="en-GB"/>
        </w:rPr>
        <w:t>was</w:t>
      </w:r>
      <w:r w:rsidRPr="00E10095">
        <w:rPr>
          <w:rFonts w:ascii="Arial" w:hAnsi="Arial" w:cs="Arial"/>
          <w:sz w:val="22"/>
          <w:szCs w:val="22"/>
          <w:lang w:val="en-GB"/>
        </w:rPr>
        <w:t xml:space="preserve"> Warsaw, where tenants signed new deals and expansions for over 510,000 </w:t>
      </w:r>
      <w:r>
        <w:rPr>
          <w:rFonts w:ascii="Arial" w:hAnsi="Arial" w:cs="Arial"/>
          <w:sz w:val="22"/>
          <w:szCs w:val="22"/>
          <w:lang w:val="en-GB"/>
        </w:rPr>
        <w:t>sqm</w:t>
      </w:r>
      <w:r w:rsidRPr="00E10095">
        <w:rPr>
          <w:rFonts w:ascii="Arial" w:hAnsi="Arial" w:cs="Arial"/>
          <w:sz w:val="22"/>
          <w:szCs w:val="22"/>
          <w:lang w:val="en-GB"/>
        </w:rPr>
        <w:t xml:space="preserve"> (</w:t>
      </w:r>
      <w:r w:rsidR="00AE2524">
        <w:rPr>
          <w:rFonts w:ascii="Arial" w:hAnsi="Arial" w:cs="Arial"/>
          <w:sz w:val="22"/>
          <w:szCs w:val="22"/>
          <w:lang w:val="en-GB"/>
        </w:rPr>
        <w:t xml:space="preserve">in </w:t>
      </w:r>
      <w:r w:rsidRPr="00E10095">
        <w:rPr>
          <w:rFonts w:ascii="Arial" w:hAnsi="Arial" w:cs="Arial"/>
          <w:sz w:val="22"/>
          <w:szCs w:val="22"/>
          <w:lang w:val="en-GB"/>
        </w:rPr>
        <w:t xml:space="preserve">both </w:t>
      </w:r>
      <w:r w:rsidR="00F85A95">
        <w:rPr>
          <w:rFonts w:ascii="Arial" w:hAnsi="Arial" w:cs="Arial"/>
          <w:sz w:val="22"/>
          <w:szCs w:val="22"/>
          <w:lang w:val="en-GB"/>
        </w:rPr>
        <w:t xml:space="preserve">the region’s </w:t>
      </w:r>
      <w:r w:rsidRPr="00E10095">
        <w:rPr>
          <w:rFonts w:ascii="Arial" w:hAnsi="Arial" w:cs="Arial"/>
          <w:sz w:val="22"/>
          <w:szCs w:val="22"/>
          <w:lang w:val="en-GB"/>
        </w:rPr>
        <w:t>zones).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Pr="00E10095">
        <w:rPr>
          <w:rFonts w:ascii="Arial" w:hAnsi="Arial" w:cs="Arial"/>
          <w:sz w:val="22"/>
          <w:szCs w:val="22"/>
          <w:lang w:val="en-GB"/>
        </w:rPr>
        <w:t xml:space="preserve">Furthermore, Central Poland, Wrocław, Tri-City, Poznań and Lubuskie </w:t>
      </w:r>
      <w:r w:rsidR="00F85A95">
        <w:rPr>
          <w:rFonts w:ascii="Arial" w:hAnsi="Arial" w:cs="Arial"/>
          <w:sz w:val="22"/>
          <w:szCs w:val="22"/>
          <w:lang w:val="en-GB"/>
        </w:rPr>
        <w:t xml:space="preserve">all saw </w:t>
      </w:r>
      <w:r w:rsidRPr="00E10095">
        <w:rPr>
          <w:rFonts w:ascii="Arial" w:hAnsi="Arial" w:cs="Arial"/>
          <w:sz w:val="22"/>
          <w:szCs w:val="22"/>
          <w:lang w:val="en-GB"/>
        </w:rPr>
        <w:t xml:space="preserve">new demand exceed 200,000 </w:t>
      </w:r>
      <w:r>
        <w:rPr>
          <w:rFonts w:ascii="Arial" w:hAnsi="Arial" w:cs="Arial"/>
          <w:sz w:val="22"/>
          <w:szCs w:val="22"/>
          <w:lang w:val="en-GB"/>
        </w:rPr>
        <w:t>sqm</w:t>
      </w:r>
      <w:r w:rsidRPr="00E10095">
        <w:rPr>
          <w:rFonts w:ascii="Arial" w:hAnsi="Arial" w:cs="Arial"/>
          <w:sz w:val="22"/>
          <w:szCs w:val="22"/>
          <w:lang w:val="en-GB"/>
        </w:rPr>
        <w:t xml:space="preserve">. In total, deals signed in the Big Five markets accounted for more than 70% of </w:t>
      </w:r>
      <w:r w:rsidR="00F85A95">
        <w:rPr>
          <w:rFonts w:ascii="Arial" w:hAnsi="Arial" w:cs="Arial"/>
          <w:sz w:val="22"/>
          <w:szCs w:val="22"/>
          <w:lang w:val="en-GB"/>
        </w:rPr>
        <w:t xml:space="preserve">2020’s </w:t>
      </w:r>
      <w:r w:rsidRPr="00E10095">
        <w:rPr>
          <w:rFonts w:ascii="Arial" w:hAnsi="Arial" w:cs="Arial"/>
          <w:sz w:val="22"/>
          <w:szCs w:val="22"/>
          <w:lang w:val="en-GB"/>
        </w:rPr>
        <w:t>total net take-up.</w:t>
      </w:r>
    </w:p>
    <w:p w14:paraId="4CB093A6" w14:textId="77777777" w:rsidR="002E3D86" w:rsidRPr="00133629" w:rsidRDefault="002E3D86" w:rsidP="00947B7F">
      <w:pPr>
        <w:ind w:right="-478"/>
        <w:rPr>
          <w:rFonts w:ascii="Arial" w:hAnsi="Arial" w:cs="Arial"/>
          <w:sz w:val="22"/>
          <w:szCs w:val="22"/>
          <w:lang w:val="en-GB"/>
        </w:rPr>
      </w:pPr>
    </w:p>
    <w:p w14:paraId="19ED7A66" w14:textId="7E757B89" w:rsidR="00133629" w:rsidRDefault="00133629" w:rsidP="00133629">
      <w:pPr>
        <w:ind w:right="-618" w:hanging="567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Supply</w:t>
      </w:r>
      <w:r w:rsidR="00E14999" w:rsidRPr="00133629">
        <w:rPr>
          <w:rFonts w:ascii="Arial" w:hAnsi="Arial" w:cs="Arial"/>
          <w:b/>
          <w:sz w:val="22"/>
          <w:szCs w:val="22"/>
          <w:lang w:val="en-GB"/>
        </w:rPr>
        <w:t xml:space="preserve"> –</w:t>
      </w:r>
      <w:r w:rsidR="00947B7F" w:rsidRPr="00133629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Pr="00133629">
        <w:rPr>
          <w:rFonts w:ascii="Arial" w:hAnsi="Arial" w:cs="Arial"/>
          <w:b/>
          <w:sz w:val="22"/>
          <w:szCs w:val="22"/>
          <w:lang w:val="en-GB"/>
        </w:rPr>
        <w:t>market exceeds 20 million sqm</w:t>
      </w:r>
    </w:p>
    <w:p w14:paraId="5F87DE45" w14:textId="6E4A9B9F" w:rsidR="00133629" w:rsidRDefault="00133629" w:rsidP="00133629">
      <w:pPr>
        <w:ind w:left="-567" w:right="-478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“</w:t>
      </w:r>
      <w:r w:rsidRPr="00133629">
        <w:rPr>
          <w:rFonts w:ascii="Arial" w:hAnsi="Arial" w:cs="Arial"/>
          <w:sz w:val="22"/>
          <w:szCs w:val="22"/>
          <w:lang w:val="en-GB"/>
        </w:rPr>
        <w:t xml:space="preserve">During the third quarter of 2020, total stock of modern industrial space in Poland passed the 20 million </w:t>
      </w:r>
      <w:r>
        <w:rPr>
          <w:rFonts w:ascii="Arial" w:hAnsi="Arial" w:cs="Arial"/>
          <w:sz w:val="22"/>
          <w:szCs w:val="22"/>
          <w:lang w:val="en-GB"/>
        </w:rPr>
        <w:t>sqm</w:t>
      </w:r>
      <w:r w:rsidR="00F85A95">
        <w:rPr>
          <w:rFonts w:ascii="Arial" w:hAnsi="Arial" w:cs="Arial"/>
          <w:sz w:val="22"/>
          <w:szCs w:val="22"/>
          <w:lang w:val="en-GB"/>
        </w:rPr>
        <w:t xml:space="preserve"> mark</w:t>
      </w:r>
      <w:r w:rsidRPr="00133629">
        <w:rPr>
          <w:rFonts w:ascii="Arial" w:hAnsi="Arial" w:cs="Arial"/>
          <w:sz w:val="22"/>
          <w:szCs w:val="22"/>
          <w:lang w:val="en-GB"/>
        </w:rPr>
        <w:t xml:space="preserve">. In Q3 </w:t>
      </w:r>
      <w:r w:rsidR="00F85A95">
        <w:rPr>
          <w:rFonts w:ascii="Arial" w:hAnsi="Arial" w:cs="Arial"/>
          <w:sz w:val="22"/>
          <w:szCs w:val="22"/>
          <w:lang w:val="en-GB"/>
        </w:rPr>
        <w:t>alone</w:t>
      </w:r>
      <w:r w:rsidRPr="00133629">
        <w:rPr>
          <w:rFonts w:ascii="Arial" w:hAnsi="Arial" w:cs="Arial"/>
          <w:sz w:val="22"/>
          <w:szCs w:val="22"/>
          <w:lang w:val="en-GB"/>
        </w:rPr>
        <w:t xml:space="preserve">, the market was </w:t>
      </w:r>
      <w:r w:rsidR="00F85A95">
        <w:rPr>
          <w:rFonts w:ascii="Arial" w:hAnsi="Arial" w:cs="Arial"/>
          <w:sz w:val="22"/>
          <w:szCs w:val="22"/>
          <w:lang w:val="en-GB"/>
        </w:rPr>
        <w:t>boosted</w:t>
      </w:r>
      <w:r w:rsidR="00F85A95" w:rsidRPr="00133629">
        <w:rPr>
          <w:rFonts w:ascii="Arial" w:hAnsi="Arial" w:cs="Arial"/>
          <w:sz w:val="22"/>
          <w:szCs w:val="22"/>
          <w:lang w:val="en-GB"/>
        </w:rPr>
        <w:t xml:space="preserve"> </w:t>
      </w:r>
      <w:r w:rsidRPr="00133629">
        <w:rPr>
          <w:rFonts w:ascii="Arial" w:hAnsi="Arial" w:cs="Arial"/>
          <w:sz w:val="22"/>
          <w:szCs w:val="22"/>
          <w:lang w:val="en-GB"/>
        </w:rPr>
        <w:t xml:space="preserve">by </w:t>
      </w:r>
      <w:r w:rsidR="00F85A95">
        <w:rPr>
          <w:rFonts w:ascii="Arial" w:hAnsi="Arial" w:cs="Arial"/>
          <w:sz w:val="22"/>
          <w:szCs w:val="22"/>
          <w:lang w:val="en-GB"/>
        </w:rPr>
        <w:t xml:space="preserve">an </w:t>
      </w:r>
      <w:r w:rsidRPr="00133629">
        <w:rPr>
          <w:rFonts w:ascii="Arial" w:hAnsi="Arial" w:cs="Arial"/>
          <w:sz w:val="22"/>
          <w:szCs w:val="22"/>
          <w:lang w:val="en-GB"/>
        </w:rPr>
        <w:t xml:space="preserve">additional 700,000 </w:t>
      </w:r>
      <w:r>
        <w:rPr>
          <w:rFonts w:ascii="Arial" w:hAnsi="Arial" w:cs="Arial"/>
          <w:sz w:val="22"/>
          <w:szCs w:val="22"/>
          <w:lang w:val="en-GB"/>
        </w:rPr>
        <w:t>sqm</w:t>
      </w:r>
      <w:r w:rsidRPr="00133629">
        <w:rPr>
          <w:rFonts w:ascii="Arial" w:hAnsi="Arial" w:cs="Arial"/>
          <w:sz w:val="22"/>
          <w:szCs w:val="22"/>
          <w:lang w:val="en-GB"/>
        </w:rPr>
        <w:t xml:space="preserve">, </w:t>
      </w:r>
      <w:r w:rsidR="00F85A95">
        <w:rPr>
          <w:rFonts w:ascii="Arial" w:hAnsi="Arial" w:cs="Arial"/>
          <w:sz w:val="22"/>
          <w:szCs w:val="22"/>
          <w:lang w:val="en-GB"/>
        </w:rPr>
        <w:t>bringing 2020’s total</w:t>
      </w:r>
      <w:r w:rsidRPr="00133629">
        <w:rPr>
          <w:rFonts w:ascii="Arial" w:hAnsi="Arial" w:cs="Arial"/>
          <w:sz w:val="22"/>
          <w:szCs w:val="22"/>
          <w:lang w:val="en-GB"/>
        </w:rPr>
        <w:t xml:space="preserve"> to over 1.75 million </w:t>
      </w:r>
      <w:r>
        <w:rPr>
          <w:rFonts w:ascii="Arial" w:hAnsi="Arial" w:cs="Arial"/>
          <w:sz w:val="22"/>
          <w:szCs w:val="22"/>
          <w:lang w:val="en-GB"/>
        </w:rPr>
        <w:t>sqm</w:t>
      </w:r>
      <w:r w:rsidRPr="00133629">
        <w:rPr>
          <w:rFonts w:ascii="Arial" w:hAnsi="Arial" w:cs="Arial"/>
          <w:sz w:val="22"/>
          <w:szCs w:val="22"/>
          <w:lang w:val="en-GB"/>
        </w:rPr>
        <w:t xml:space="preserve"> of new supply. Given these results, Poland was the second most active market in Europe, with </w:t>
      </w:r>
      <w:r w:rsidR="00F85A95">
        <w:rPr>
          <w:rFonts w:ascii="Arial" w:hAnsi="Arial" w:cs="Arial"/>
          <w:sz w:val="22"/>
          <w:szCs w:val="22"/>
          <w:lang w:val="en-GB"/>
        </w:rPr>
        <w:t xml:space="preserve">a </w:t>
      </w:r>
      <w:r w:rsidRPr="00133629">
        <w:rPr>
          <w:rFonts w:ascii="Arial" w:hAnsi="Arial" w:cs="Arial"/>
          <w:sz w:val="22"/>
          <w:szCs w:val="22"/>
          <w:lang w:val="en-GB"/>
        </w:rPr>
        <w:t>19% share of newly completed space.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Pr="00133629">
        <w:rPr>
          <w:rFonts w:ascii="Arial" w:hAnsi="Arial" w:cs="Arial"/>
          <w:sz w:val="22"/>
          <w:szCs w:val="22"/>
          <w:lang w:val="en-GB"/>
        </w:rPr>
        <w:t xml:space="preserve">At the end of September 2020, there was 1.54 million </w:t>
      </w:r>
      <w:r>
        <w:rPr>
          <w:rFonts w:ascii="Arial" w:hAnsi="Arial" w:cs="Arial"/>
          <w:sz w:val="22"/>
          <w:szCs w:val="22"/>
          <w:lang w:val="en-GB"/>
        </w:rPr>
        <w:t>sqm</w:t>
      </w:r>
      <w:r w:rsidRPr="00133629">
        <w:rPr>
          <w:rFonts w:ascii="Arial" w:hAnsi="Arial" w:cs="Arial"/>
          <w:sz w:val="22"/>
          <w:szCs w:val="22"/>
          <w:lang w:val="en-GB"/>
        </w:rPr>
        <w:t xml:space="preserve"> of new industrial space </w:t>
      </w:r>
      <w:r w:rsidR="008A224C">
        <w:rPr>
          <w:rFonts w:ascii="Arial" w:hAnsi="Arial" w:cs="Arial"/>
          <w:sz w:val="22"/>
          <w:szCs w:val="22"/>
          <w:lang w:val="en-GB"/>
        </w:rPr>
        <w:t>in Poland</w:t>
      </w:r>
      <w:r w:rsidRPr="00133629">
        <w:rPr>
          <w:rFonts w:ascii="Arial" w:hAnsi="Arial" w:cs="Arial"/>
          <w:sz w:val="22"/>
          <w:szCs w:val="22"/>
          <w:lang w:val="en-GB"/>
        </w:rPr>
        <w:t xml:space="preserve">, of which </w:t>
      </w:r>
      <w:r w:rsidR="008A224C" w:rsidRPr="00133629">
        <w:rPr>
          <w:rFonts w:ascii="Arial" w:hAnsi="Arial" w:cs="Arial"/>
          <w:sz w:val="22"/>
          <w:szCs w:val="22"/>
          <w:lang w:val="en-GB"/>
        </w:rPr>
        <w:t>70%</w:t>
      </w:r>
      <w:r w:rsidR="008A224C">
        <w:rPr>
          <w:rFonts w:ascii="Arial" w:hAnsi="Arial" w:cs="Arial"/>
          <w:sz w:val="22"/>
          <w:szCs w:val="22"/>
          <w:lang w:val="en-GB"/>
        </w:rPr>
        <w:t xml:space="preserve"> </w:t>
      </w:r>
      <w:r w:rsidR="00AE2524">
        <w:rPr>
          <w:rFonts w:ascii="Arial" w:hAnsi="Arial" w:cs="Arial"/>
          <w:sz w:val="22"/>
          <w:szCs w:val="22"/>
          <w:lang w:val="en-GB"/>
        </w:rPr>
        <w:t>had already been</w:t>
      </w:r>
      <w:r w:rsidR="00AE2524" w:rsidRPr="00133629">
        <w:rPr>
          <w:rFonts w:ascii="Arial" w:hAnsi="Arial" w:cs="Arial"/>
          <w:sz w:val="22"/>
          <w:szCs w:val="22"/>
          <w:lang w:val="en-GB"/>
        </w:rPr>
        <w:t xml:space="preserve"> </w:t>
      </w:r>
      <w:r w:rsidRPr="00133629">
        <w:rPr>
          <w:rFonts w:ascii="Arial" w:hAnsi="Arial" w:cs="Arial"/>
          <w:sz w:val="22"/>
          <w:szCs w:val="22"/>
          <w:lang w:val="en-GB"/>
        </w:rPr>
        <w:t xml:space="preserve">secured </w:t>
      </w:r>
      <w:r w:rsidR="00AE2524">
        <w:rPr>
          <w:rFonts w:ascii="Arial" w:hAnsi="Arial" w:cs="Arial"/>
          <w:sz w:val="22"/>
          <w:szCs w:val="22"/>
          <w:lang w:val="en-GB"/>
        </w:rPr>
        <w:t>with</w:t>
      </w:r>
      <w:r w:rsidR="00AE2524" w:rsidRPr="00133629">
        <w:rPr>
          <w:rFonts w:ascii="Arial" w:hAnsi="Arial" w:cs="Arial"/>
          <w:sz w:val="22"/>
          <w:szCs w:val="22"/>
          <w:lang w:val="en-GB"/>
        </w:rPr>
        <w:t xml:space="preserve"> </w:t>
      </w:r>
      <w:r w:rsidRPr="00133629">
        <w:rPr>
          <w:rFonts w:ascii="Arial" w:hAnsi="Arial" w:cs="Arial"/>
          <w:sz w:val="22"/>
          <w:szCs w:val="22"/>
          <w:lang w:val="en-GB"/>
        </w:rPr>
        <w:t>lease agreements</w:t>
      </w:r>
      <w:r w:rsidR="00F53893" w:rsidRPr="00133629">
        <w:rPr>
          <w:rFonts w:ascii="Arial" w:hAnsi="Arial" w:cs="Arial"/>
          <w:sz w:val="22"/>
          <w:szCs w:val="22"/>
          <w:lang w:val="en-GB"/>
        </w:rPr>
        <w:t xml:space="preserve">”, </w:t>
      </w:r>
      <w:r>
        <w:rPr>
          <w:rFonts w:ascii="Arial" w:hAnsi="Arial" w:cs="Arial"/>
          <w:sz w:val="22"/>
          <w:szCs w:val="22"/>
          <w:lang w:val="en-GB"/>
        </w:rPr>
        <w:t>says</w:t>
      </w:r>
      <w:r w:rsidR="00F53893" w:rsidRPr="00133629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="00594D96" w:rsidRPr="00133629">
        <w:rPr>
          <w:rFonts w:ascii="Arial" w:hAnsi="Arial" w:cs="Arial"/>
          <w:b/>
          <w:bCs/>
          <w:sz w:val="22"/>
          <w:szCs w:val="22"/>
          <w:lang w:val="en-GB"/>
        </w:rPr>
        <w:t xml:space="preserve">Maciej Kotowski, </w:t>
      </w:r>
      <w:r>
        <w:rPr>
          <w:rFonts w:ascii="Arial" w:hAnsi="Arial" w:cs="Arial"/>
          <w:b/>
          <w:bCs/>
          <w:sz w:val="22"/>
          <w:szCs w:val="22"/>
          <w:lang w:val="en-GB"/>
        </w:rPr>
        <w:t>Research Analyst</w:t>
      </w:r>
      <w:r w:rsidR="00594D96" w:rsidRPr="00133629">
        <w:rPr>
          <w:rFonts w:ascii="Arial" w:hAnsi="Arial" w:cs="Arial"/>
          <w:b/>
          <w:bCs/>
          <w:sz w:val="22"/>
          <w:szCs w:val="22"/>
          <w:lang w:val="en-GB"/>
        </w:rPr>
        <w:t>, JLL.</w:t>
      </w:r>
    </w:p>
    <w:p w14:paraId="57AE042D" w14:textId="77777777" w:rsidR="00133629" w:rsidRDefault="00133629" w:rsidP="00133629">
      <w:pPr>
        <w:ind w:left="-567" w:right="-478"/>
        <w:rPr>
          <w:rFonts w:ascii="Arial" w:hAnsi="Arial" w:cs="Arial"/>
          <w:sz w:val="22"/>
          <w:szCs w:val="22"/>
          <w:lang w:val="en-GB"/>
        </w:rPr>
      </w:pPr>
    </w:p>
    <w:p w14:paraId="63F84FE0" w14:textId="4EF19BD2" w:rsidR="00133629" w:rsidRPr="00133629" w:rsidRDefault="00133629" w:rsidP="00133629">
      <w:pPr>
        <w:ind w:left="-567" w:right="-478"/>
        <w:rPr>
          <w:rFonts w:ascii="Arial" w:hAnsi="Arial" w:cs="Arial"/>
          <w:sz w:val="22"/>
          <w:szCs w:val="22"/>
          <w:lang w:val="en-GB"/>
        </w:rPr>
      </w:pPr>
      <w:r w:rsidRPr="00133629">
        <w:rPr>
          <w:rFonts w:ascii="Arial" w:hAnsi="Arial" w:cs="Arial"/>
          <w:sz w:val="22"/>
          <w:szCs w:val="22"/>
          <w:lang w:val="en-GB"/>
        </w:rPr>
        <w:t xml:space="preserve">Most of </w:t>
      </w:r>
      <w:r w:rsidR="008A224C">
        <w:rPr>
          <w:rFonts w:ascii="Arial" w:hAnsi="Arial" w:cs="Arial"/>
          <w:sz w:val="22"/>
          <w:szCs w:val="22"/>
          <w:lang w:val="en-GB"/>
        </w:rPr>
        <w:t xml:space="preserve">this </w:t>
      </w:r>
      <w:r w:rsidRPr="00133629">
        <w:rPr>
          <w:rFonts w:ascii="Arial" w:hAnsi="Arial" w:cs="Arial"/>
          <w:sz w:val="22"/>
          <w:szCs w:val="22"/>
          <w:lang w:val="en-GB"/>
        </w:rPr>
        <w:t>space was delivered in Warsaw, Upper Silesia and Wrocław, which together accounted for 70% of new supply in Poland</w:t>
      </w:r>
      <w:r w:rsidR="008A224C">
        <w:rPr>
          <w:rFonts w:ascii="Arial" w:hAnsi="Arial" w:cs="Arial"/>
          <w:sz w:val="22"/>
          <w:szCs w:val="22"/>
          <w:lang w:val="en-GB"/>
        </w:rPr>
        <w:t>, while</w:t>
      </w:r>
      <w:r w:rsidRPr="00133629">
        <w:rPr>
          <w:rFonts w:ascii="Arial" w:hAnsi="Arial" w:cs="Arial"/>
          <w:sz w:val="22"/>
          <w:szCs w:val="22"/>
          <w:lang w:val="en-GB"/>
        </w:rPr>
        <w:t xml:space="preserve"> </w:t>
      </w:r>
      <w:r w:rsidR="008A224C" w:rsidRPr="00133629">
        <w:rPr>
          <w:rFonts w:ascii="Arial" w:hAnsi="Arial" w:cs="Arial"/>
          <w:sz w:val="22"/>
          <w:szCs w:val="22"/>
          <w:lang w:val="en-GB"/>
        </w:rPr>
        <w:t xml:space="preserve">the Tri-City </w:t>
      </w:r>
      <w:r w:rsidR="008A224C">
        <w:rPr>
          <w:rFonts w:ascii="Arial" w:hAnsi="Arial" w:cs="Arial"/>
          <w:sz w:val="22"/>
          <w:szCs w:val="22"/>
          <w:lang w:val="en-GB"/>
        </w:rPr>
        <w:t xml:space="preserve">had </w:t>
      </w:r>
      <w:r w:rsidRPr="00133629">
        <w:rPr>
          <w:rFonts w:ascii="Arial" w:hAnsi="Arial" w:cs="Arial"/>
          <w:sz w:val="22"/>
          <w:szCs w:val="22"/>
          <w:lang w:val="en-GB"/>
        </w:rPr>
        <w:t xml:space="preserve">100,000 sqm of new space </w:t>
      </w:r>
      <w:r w:rsidR="008A224C">
        <w:rPr>
          <w:rFonts w:ascii="Arial" w:hAnsi="Arial" w:cs="Arial"/>
          <w:sz w:val="22"/>
          <w:szCs w:val="22"/>
          <w:lang w:val="en-GB"/>
        </w:rPr>
        <w:t>constructed in the region</w:t>
      </w:r>
      <w:r w:rsidRPr="00133629">
        <w:rPr>
          <w:rFonts w:ascii="Arial" w:hAnsi="Arial" w:cs="Arial"/>
          <w:sz w:val="22"/>
          <w:szCs w:val="22"/>
          <w:lang w:val="en-GB"/>
        </w:rPr>
        <w:t>.</w:t>
      </w:r>
    </w:p>
    <w:p w14:paraId="40BB8A95" w14:textId="22CB52E8" w:rsidR="003511B8" w:rsidRPr="00133629" w:rsidRDefault="003511B8" w:rsidP="000D0E54">
      <w:pPr>
        <w:widowControl w:val="0"/>
        <w:autoSpaceDE w:val="0"/>
        <w:autoSpaceDN w:val="0"/>
        <w:ind w:left="-567"/>
        <w:rPr>
          <w:rFonts w:ascii="Arial" w:hAnsi="Arial" w:cs="Arial"/>
          <w:sz w:val="22"/>
          <w:szCs w:val="22"/>
        </w:rPr>
      </w:pPr>
    </w:p>
    <w:p w14:paraId="15D1C114" w14:textId="2D719911" w:rsidR="00FC3FA8" w:rsidRPr="00133629" w:rsidRDefault="00133629" w:rsidP="00133629">
      <w:pPr>
        <w:ind w:left="-567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“</w:t>
      </w:r>
      <w:r w:rsidRPr="00133629">
        <w:rPr>
          <w:rFonts w:ascii="Arial" w:hAnsi="Arial" w:cs="Arial"/>
          <w:sz w:val="22"/>
          <w:szCs w:val="22"/>
          <w:lang w:val="en-GB"/>
        </w:rPr>
        <w:t xml:space="preserve">Despite </w:t>
      </w:r>
      <w:r w:rsidR="008A224C">
        <w:rPr>
          <w:rFonts w:ascii="Arial" w:hAnsi="Arial" w:cs="Arial"/>
          <w:sz w:val="22"/>
          <w:szCs w:val="22"/>
          <w:lang w:val="en-GB"/>
        </w:rPr>
        <w:t>disruption connected with</w:t>
      </w:r>
      <w:r w:rsidRPr="00133629">
        <w:rPr>
          <w:rFonts w:ascii="Arial" w:hAnsi="Arial" w:cs="Arial"/>
          <w:sz w:val="22"/>
          <w:szCs w:val="22"/>
          <w:lang w:val="en-GB"/>
        </w:rPr>
        <w:t xml:space="preserve"> the COVID-19</w:t>
      </w:r>
      <w:r w:rsidR="008A224C">
        <w:rPr>
          <w:rFonts w:ascii="Arial" w:hAnsi="Arial" w:cs="Arial"/>
          <w:sz w:val="22"/>
          <w:szCs w:val="22"/>
          <w:lang w:val="en-GB"/>
        </w:rPr>
        <w:t xml:space="preserve"> pandemic</w:t>
      </w:r>
      <w:r w:rsidRPr="00133629">
        <w:rPr>
          <w:rFonts w:ascii="Arial" w:hAnsi="Arial" w:cs="Arial"/>
          <w:sz w:val="22"/>
          <w:szCs w:val="22"/>
          <w:lang w:val="en-GB"/>
        </w:rPr>
        <w:t xml:space="preserve">, the market remains stable. The </w:t>
      </w:r>
      <w:r w:rsidR="008A224C">
        <w:rPr>
          <w:rFonts w:ascii="Arial" w:hAnsi="Arial" w:cs="Arial"/>
          <w:sz w:val="22"/>
          <w:szCs w:val="22"/>
          <w:lang w:val="en-GB"/>
        </w:rPr>
        <w:t>rapidly</w:t>
      </w:r>
      <w:r w:rsidR="008A224C" w:rsidRPr="00133629">
        <w:rPr>
          <w:rFonts w:ascii="Arial" w:hAnsi="Arial" w:cs="Arial"/>
          <w:sz w:val="22"/>
          <w:szCs w:val="22"/>
          <w:lang w:val="en-GB"/>
        </w:rPr>
        <w:t xml:space="preserve"> </w:t>
      </w:r>
      <w:r w:rsidRPr="00133629">
        <w:rPr>
          <w:rFonts w:ascii="Arial" w:hAnsi="Arial" w:cs="Arial"/>
          <w:sz w:val="22"/>
          <w:szCs w:val="22"/>
          <w:lang w:val="en-GB"/>
        </w:rPr>
        <w:t xml:space="preserve">growing </w:t>
      </w:r>
      <w:r>
        <w:rPr>
          <w:rFonts w:ascii="Arial" w:hAnsi="Arial" w:cs="Arial"/>
          <w:sz w:val="22"/>
          <w:szCs w:val="22"/>
          <w:lang w:val="en-GB"/>
        </w:rPr>
        <w:t>supply</w:t>
      </w:r>
      <w:r w:rsidRPr="00133629">
        <w:rPr>
          <w:rFonts w:ascii="Arial" w:hAnsi="Arial" w:cs="Arial"/>
          <w:sz w:val="22"/>
          <w:szCs w:val="22"/>
          <w:lang w:val="en-GB"/>
        </w:rPr>
        <w:t xml:space="preserve">, largely due to speculative investments, has increased by almost 40% over the last two years. Strong new </w:t>
      </w:r>
      <w:r w:rsidR="008A224C">
        <w:rPr>
          <w:rFonts w:ascii="Arial" w:hAnsi="Arial" w:cs="Arial"/>
          <w:sz w:val="22"/>
          <w:szCs w:val="22"/>
          <w:lang w:val="en-GB"/>
        </w:rPr>
        <w:t>demand</w:t>
      </w:r>
      <w:r w:rsidRPr="00133629">
        <w:rPr>
          <w:rFonts w:ascii="Arial" w:hAnsi="Arial" w:cs="Arial"/>
          <w:sz w:val="22"/>
          <w:szCs w:val="22"/>
          <w:lang w:val="en-GB"/>
        </w:rPr>
        <w:t xml:space="preserve">, </w:t>
      </w:r>
      <w:r>
        <w:rPr>
          <w:rFonts w:ascii="Arial" w:hAnsi="Arial" w:cs="Arial"/>
          <w:sz w:val="22"/>
          <w:szCs w:val="22"/>
          <w:lang w:val="en-GB"/>
        </w:rPr>
        <w:t xml:space="preserve">even during </w:t>
      </w:r>
      <w:r w:rsidRPr="00133629">
        <w:rPr>
          <w:rFonts w:ascii="Arial" w:hAnsi="Arial" w:cs="Arial"/>
          <w:sz w:val="22"/>
          <w:szCs w:val="22"/>
          <w:lang w:val="en-GB"/>
        </w:rPr>
        <w:t xml:space="preserve">the pandemic, has </w:t>
      </w:r>
      <w:r w:rsidR="008A224C">
        <w:rPr>
          <w:rFonts w:ascii="Arial" w:hAnsi="Arial" w:cs="Arial"/>
          <w:sz w:val="22"/>
          <w:szCs w:val="22"/>
          <w:lang w:val="en-GB"/>
        </w:rPr>
        <w:t>taken up a lot of the supply that has come onto the market</w:t>
      </w:r>
      <w:r w:rsidRPr="00133629">
        <w:rPr>
          <w:rFonts w:ascii="Arial" w:hAnsi="Arial" w:cs="Arial"/>
          <w:sz w:val="22"/>
          <w:szCs w:val="22"/>
          <w:lang w:val="en-GB"/>
        </w:rPr>
        <w:t xml:space="preserve">, but </w:t>
      </w:r>
      <w:r w:rsidR="008A224C">
        <w:rPr>
          <w:rFonts w:ascii="Arial" w:hAnsi="Arial" w:cs="Arial"/>
          <w:sz w:val="22"/>
          <w:szCs w:val="22"/>
          <w:lang w:val="en-GB"/>
        </w:rPr>
        <w:t>this did not</w:t>
      </w:r>
      <w:r w:rsidRPr="00133629">
        <w:rPr>
          <w:rFonts w:ascii="Arial" w:hAnsi="Arial" w:cs="Arial"/>
          <w:sz w:val="22"/>
          <w:szCs w:val="22"/>
          <w:lang w:val="en-GB"/>
        </w:rPr>
        <w:t xml:space="preserve"> prevent the vacancy rate</w:t>
      </w:r>
      <w:r w:rsidR="00AE2524">
        <w:rPr>
          <w:rFonts w:ascii="Arial" w:hAnsi="Arial" w:cs="Arial"/>
          <w:sz w:val="22"/>
          <w:szCs w:val="22"/>
          <w:lang w:val="en-GB"/>
        </w:rPr>
        <w:t xml:space="preserve"> from</w:t>
      </w:r>
      <w:r w:rsidRPr="00133629">
        <w:rPr>
          <w:rFonts w:ascii="Arial" w:hAnsi="Arial" w:cs="Arial"/>
          <w:sz w:val="22"/>
          <w:szCs w:val="22"/>
          <w:lang w:val="en-GB"/>
        </w:rPr>
        <w:t xml:space="preserve"> </w:t>
      </w:r>
      <w:r w:rsidR="008A224C">
        <w:rPr>
          <w:rFonts w:ascii="Arial" w:hAnsi="Arial" w:cs="Arial"/>
          <w:sz w:val="22"/>
          <w:szCs w:val="22"/>
          <w:lang w:val="en-GB"/>
        </w:rPr>
        <w:t>rising to 8.6% by</w:t>
      </w:r>
      <w:r w:rsidRPr="00133629">
        <w:rPr>
          <w:rFonts w:ascii="Arial" w:hAnsi="Arial" w:cs="Arial"/>
          <w:sz w:val="22"/>
          <w:szCs w:val="22"/>
          <w:lang w:val="en-GB"/>
        </w:rPr>
        <w:t xml:space="preserve"> the end of the </w:t>
      </w:r>
      <w:r>
        <w:rPr>
          <w:rFonts w:ascii="Arial" w:hAnsi="Arial" w:cs="Arial"/>
          <w:sz w:val="22"/>
          <w:szCs w:val="22"/>
          <w:lang w:val="en-GB"/>
        </w:rPr>
        <w:t xml:space="preserve">third </w:t>
      </w:r>
      <w:r w:rsidR="00AE2524">
        <w:rPr>
          <w:rFonts w:ascii="Arial" w:hAnsi="Arial" w:cs="Arial"/>
          <w:sz w:val="22"/>
          <w:szCs w:val="22"/>
          <w:lang w:val="en-GB"/>
        </w:rPr>
        <w:t>quarter</w:t>
      </w:r>
      <w:r w:rsidR="008A224C">
        <w:rPr>
          <w:rFonts w:ascii="Arial" w:hAnsi="Arial" w:cs="Arial"/>
          <w:sz w:val="22"/>
          <w:szCs w:val="22"/>
          <w:lang w:val="en-GB"/>
        </w:rPr>
        <w:t>.</w:t>
      </w:r>
      <w:r w:rsidR="008A224C" w:rsidRPr="00133629">
        <w:rPr>
          <w:rFonts w:ascii="Arial" w:hAnsi="Arial" w:cs="Arial"/>
          <w:sz w:val="22"/>
          <w:szCs w:val="22"/>
          <w:lang w:val="en-GB"/>
        </w:rPr>
        <w:t xml:space="preserve"> </w:t>
      </w:r>
      <w:r w:rsidRPr="00133629">
        <w:rPr>
          <w:rFonts w:ascii="Arial" w:hAnsi="Arial" w:cs="Arial"/>
          <w:sz w:val="22"/>
          <w:szCs w:val="22"/>
          <w:lang w:val="en-GB"/>
        </w:rPr>
        <w:t xml:space="preserve">However, this kind of imbalance was noticed by the market and consequently speculative investments </w:t>
      </w:r>
      <w:r w:rsidR="008A224C">
        <w:rPr>
          <w:rFonts w:ascii="Arial" w:hAnsi="Arial" w:cs="Arial"/>
          <w:sz w:val="22"/>
          <w:szCs w:val="22"/>
          <w:lang w:val="en-GB"/>
        </w:rPr>
        <w:t xml:space="preserve">fell </w:t>
      </w:r>
      <w:r w:rsidRPr="00133629">
        <w:rPr>
          <w:rFonts w:ascii="Arial" w:hAnsi="Arial" w:cs="Arial"/>
          <w:sz w:val="22"/>
          <w:szCs w:val="22"/>
          <w:lang w:val="en-GB"/>
        </w:rPr>
        <w:t>from 42% at the end of March to 30% in September. It can be expected that with demand maintained</w:t>
      </w:r>
      <w:r w:rsidR="008A224C">
        <w:rPr>
          <w:rFonts w:ascii="Arial" w:hAnsi="Arial" w:cs="Arial"/>
          <w:sz w:val="22"/>
          <w:szCs w:val="22"/>
          <w:lang w:val="en-GB"/>
        </w:rPr>
        <w:t xml:space="preserve"> at the same level</w:t>
      </w:r>
      <w:r w:rsidRPr="00133629">
        <w:rPr>
          <w:rFonts w:ascii="Arial" w:hAnsi="Arial" w:cs="Arial"/>
          <w:sz w:val="22"/>
          <w:szCs w:val="22"/>
          <w:lang w:val="en-GB"/>
        </w:rPr>
        <w:t>, the vacant space should be leased in the coming months</w:t>
      </w:r>
      <w:r w:rsidR="00FC3FA8" w:rsidRPr="00133629">
        <w:rPr>
          <w:rFonts w:ascii="Arial" w:hAnsi="Arial" w:cs="Arial"/>
          <w:sz w:val="22"/>
          <w:szCs w:val="22"/>
          <w:lang w:val="en-GB"/>
        </w:rPr>
        <w:t xml:space="preserve">”, </w:t>
      </w:r>
      <w:r>
        <w:rPr>
          <w:rFonts w:ascii="Arial" w:hAnsi="Arial" w:cs="Arial"/>
          <w:sz w:val="22"/>
          <w:szCs w:val="22"/>
          <w:lang w:val="en-GB"/>
        </w:rPr>
        <w:t>explains</w:t>
      </w:r>
      <w:r w:rsidR="00FC3FA8" w:rsidRPr="00133629">
        <w:rPr>
          <w:rFonts w:ascii="Arial" w:hAnsi="Arial" w:cs="Arial"/>
          <w:sz w:val="22"/>
          <w:szCs w:val="22"/>
          <w:lang w:val="en-GB"/>
        </w:rPr>
        <w:t xml:space="preserve"> </w:t>
      </w:r>
      <w:r w:rsidR="00594D96" w:rsidRPr="00133629">
        <w:rPr>
          <w:rFonts w:ascii="Arial" w:hAnsi="Arial" w:cs="Arial"/>
          <w:b/>
          <w:bCs/>
          <w:sz w:val="22"/>
          <w:szCs w:val="22"/>
          <w:lang w:val="en-GB"/>
        </w:rPr>
        <w:t>Tomasz Mika</w:t>
      </w:r>
      <w:r w:rsidRPr="00133629">
        <w:rPr>
          <w:rFonts w:ascii="Arial" w:hAnsi="Arial" w:cs="Arial"/>
          <w:b/>
          <w:bCs/>
          <w:sz w:val="22"/>
          <w:szCs w:val="22"/>
          <w:lang w:val="en-GB"/>
        </w:rPr>
        <w:t>.</w:t>
      </w:r>
    </w:p>
    <w:p w14:paraId="6D3840DB" w14:textId="77777777" w:rsidR="00FC3FA8" w:rsidRPr="00133629" w:rsidRDefault="00FC3FA8" w:rsidP="00133629">
      <w:pPr>
        <w:widowControl w:val="0"/>
        <w:autoSpaceDE w:val="0"/>
        <w:autoSpaceDN w:val="0"/>
        <w:rPr>
          <w:rFonts w:ascii="Arial" w:hAnsi="Arial" w:cs="Arial"/>
          <w:sz w:val="22"/>
          <w:szCs w:val="22"/>
          <w:lang w:val="en-GB"/>
        </w:rPr>
      </w:pPr>
    </w:p>
    <w:p w14:paraId="1CCB9E04" w14:textId="053C6294" w:rsidR="00E66E16" w:rsidRDefault="00133629" w:rsidP="00E66E16">
      <w:pPr>
        <w:widowControl w:val="0"/>
        <w:autoSpaceDE w:val="0"/>
        <w:autoSpaceDN w:val="0"/>
        <w:ind w:left="-567"/>
        <w:rPr>
          <w:rFonts w:ascii="Arial" w:hAnsi="Arial" w:cs="Arial"/>
          <w:b/>
          <w:bCs/>
          <w:sz w:val="22"/>
          <w:szCs w:val="22"/>
          <w:lang w:val="en-GB"/>
        </w:rPr>
      </w:pPr>
      <w:r w:rsidRPr="00133629">
        <w:rPr>
          <w:rFonts w:ascii="Arial" w:hAnsi="Arial" w:cs="Arial"/>
          <w:b/>
          <w:bCs/>
          <w:sz w:val="22"/>
          <w:szCs w:val="22"/>
          <w:lang w:val="en-GB"/>
        </w:rPr>
        <w:t>Investment market</w:t>
      </w:r>
      <w:r w:rsidR="00025CD2" w:rsidRPr="00133629">
        <w:rPr>
          <w:rFonts w:ascii="Arial" w:hAnsi="Arial" w:cs="Arial"/>
          <w:b/>
          <w:bCs/>
          <w:sz w:val="22"/>
          <w:szCs w:val="22"/>
          <w:lang w:val="en-GB"/>
        </w:rPr>
        <w:t xml:space="preserve"> – </w:t>
      </w:r>
      <w:r w:rsidRPr="00133629">
        <w:rPr>
          <w:rFonts w:ascii="Arial" w:hAnsi="Arial" w:cs="Arial"/>
          <w:b/>
          <w:bCs/>
          <w:sz w:val="22"/>
          <w:szCs w:val="22"/>
          <w:lang w:val="en-GB"/>
        </w:rPr>
        <w:t>the best y</w:t>
      </w:r>
      <w:r>
        <w:rPr>
          <w:rFonts w:ascii="Arial" w:hAnsi="Arial" w:cs="Arial"/>
          <w:b/>
          <w:bCs/>
          <w:sz w:val="22"/>
          <w:szCs w:val="22"/>
          <w:lang w:val="en-GB"/>
        </w:rPr>
        <w:t xml:space="preserve">ear in </w:t>
      </w:r>
      <w:r w:rsidR="008A224C">
        <w:rPr>
          <w:rFonts w:ascii="Arial" w:hAnsi="Arial" w:cs="Arial"/>
          <w:b/>
          <w:bCs/>
          <w:sz w:val="22"/>
          <w:szCs w:val="22"/>
          <w:lang w:val="en-GB"/>
        </w:rPr>
        <w:t xml:space="preserve">the </w:t>
      </w:r>
      <w:r>
        <w:rPr>
          <w:rFonts w:ascii="Arial" w:hAnsi="Arial" w:cs="Arial"/>
          <w:b/>
          <w:bCs/>
          <w:sz w:val="22"/>
          <w:szCs w:val="22"/>
          <w:lang w:val="en-GB"/>
        </w:rPr>
        <w:t>market’s history</w:t>
      </w:r>
    </w:p>
    <w:p w14:paraId="29237515" w14:textId="0FAA3A29" w:rsidR="00025CD2" w:rsidRPr="00E66E16" w:rsidRDefault="00E66E16" w:rsidP="00E66E16">
      <w:pPr>
        <w:widowControl w:val="0"/>
        <w:autoSpaceDE w:val="0"/>
        <w:autoSpaceDN w:val="0"/>
        <w:ind w:left="-567"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“</w:t>
      </w:r>
      <w:r w:rsidR="00015592">
        <w:rPr>
          <w:rFonts w:ascii="Arial" w:hAnsi="Arial" w:cs="Arial"/>
          <w:sz w:val="22"/>
          <w:szCs w:val="22"/>
          <w:lang w:val="en-GB"/>
        </w:rPr>
        <w:t>So far t</w:t>
      </w:r>
      <w:r w:rsidRPr="00E66E16">
        <w:rPr>
          <w:rFonts w:ascii="Arial" w:hAnsi="Arial" w:cs="Arial"/>
          <w:sz w:val="22"/>
          <w:szCs w:val="22"/>
          <w:lang w:val="en-GB"/>
        </w:rPr>
        <w:t xml:space="preserve">he industrial </w:t>
      </w:r>
      <w:r>
        <w:rPr>
          <w:rFonts w:ascii="Arial" w:hAnsi="Arial" w:cs="Arial"/>
          <w:sz w:val="22"/>
          <w:szCs w:val="22"/>
          <w:lang w:val="en-GB"/>
        </w:rPr>
        <w:t xml:space="preserve">market </w:t>
      </w:r>
      <w:r w:rsidRPr="00E66E16">
        <w:rPr>
          <w:rFonts w:ascii="Arial" w:hAnsi="Arial" w:cs="Arial"/>
          <w:sz w:val="22"/>
          <w:szCs w:val="22"/>
          <w:lang w:val="en-GB"/>
        </w:rPr>
        <w:t xml:space="preserve">saw </w:t>
      </w:r>
      <w:r w:rsidR="00015592">
        <w:rPr>
          <w:rFonts w:ascii="Arial" w:hAnsi="Arial" w:cs="Arial"/>
          <w:sz w:val="22"/>
          <w:szCs w:val="22"/>
          <w:lang w:val="en-GB"/>
        </w:rPr>
        <w:t xml:space="preserve">more than </w:t>
      </w:r>
      <w:r w:rsidRPr="00E66E16">
        <w:rPr>
          <w:rFonts w:ascii="Arial" w:hAnsi="Arial" w:cs="Arial"/>
          <w:sz w:val="22"/>
          <w:szCs w:val="22"/>
          <w:lang w:val="en-GB"/>
        </w:rPr>
        <w:t>3</w:t>
      </w:r>
      <w:r w:rsidR="00015592">
        <w:rPr>
          <w:rFonts w:ascii="Arial" w:hAnsi="Arial" w:cs="Arial"/>
          <w:sz w:val="22"/>
          <w:szCs w:val="22"/>
          <w:lang w:val="en-GB"/>
        </w:rPr>
        <w:t>0</w:t>
      </w:r>
      <w:r w:rsidRPr="00E66E16">
        <w:rPr>
          <w:rFonts w:ascii="Arial" w:hAnsi="Arial" w:cs="Arial"/>
          <w:sz w:val="22"/>
          <w:szCs w:val="22"/>
          <w:lang w:val="en-GB"/>
        </w:rPr>
        <w:t xml:space="preserve"> transactions with </w:t>
      </w:r>
      <w:r w:rsidR="008A224C">
        <w:rPr>
          <w:rFonts w:ascii="Arial" w:hAnsi="Arial" w:cs="Arial"/>
          <w:sz w:val="22"/>
          <w:szCs w:val="22"/>
          <w:lang w:val="en-GB"/>
        </w:rPr>
        <w:t xml:space="preserve">a </w:t>
      </w:r>
      <w:r w:rsidRPr="00E66E16">
        <w:rPr>
          <w:rFonts w:ascii="Arial" w:hAnsi="Arial" w:cs="Arial"/>
          <w:sz w:val="22"/>
          <w:szCs w:val="22"/>
          <w:lang w:val="en-GB"/>
        </w:rPr>
        <w:t>to</w:t>
      </w:r>
      <w:r>
        <w:rPr>
          <w:rFonts w:ascii="Arial" w:hAnsi="Arial" w:cs="Arial"/>
          <w:sz w:val="22"/>
          <w:szCs w:val="22"/>
          <w:lang w:val="en-GB"/>
        </w:rPr>
        <w:t>t</w:t>
      </w:r>
      <w:r w:rsidRPr="00E66E16">
        <w:rPr>
          <w:rFonts w:ascii="Arial" w:hAnsi="Arial" w:cs="Arial"/>
          <w:sz w:val="22"/>
          <w:szCs w:val="22"/>
          <w:lang w:val="en-GB"/>
        </w:rPr>
        <w:t xml:space="preserve">al volume of </w:t>
      </w:r>
      <w:r w:rsidR="00015592">
        <w:rPr>
          <w:rFonts w:ascii="Arial" w:hAnsi="Arial" w:cs="Arial"/>
          <w:sz w:val="22"/>
          <w:szCs w:val="22"/>
          <w:lang w:val="en-GB"/>
        </w:rPr>
        <w:t>approximately EUR 2.2 billion</w:t>
      </w:r>
      <w:r>
        <w:rPr>
          <w:rFonts w:ascii="Arial" w:hAnsi="Arial" w:cs="Arial"/>
          <w:sz w:val="22"/>
          <w:szCs w:val="22"/>
          <w:lang w:val="en-GB"/>
        </w:rPr>
        <w:t xml:space="preserve">. This result </w:t>
      </w:r>
      <w:r w:rsidR="003D4E2F">
        <w:rPr>
          <w:rFonts w:ascii="Arial" w:hAnsi="Arial" w:cs="Arial"/>
          <w:sz w:val="22"/>
          <w:szCs w:val="22"/>
          <w:lang w:val="en-GB"/>
        </w:rPr>
        <w:t xml:space="preserve">has already set an all-time </w:t>
      </w:r>
      <w:r w:rsidR="00015592">
        <w:rPr>
          <w:rFonts w:ascii="Arial" w:hAnsi="Arial" w:cs="Arial"/>
          <w:sz w:val="22"/>
          <w:szCs w:val="22"/>
          <w:lang w:val="en-GB"/>
        </w:rPr>
        <w:t xml:space="preserve">record </w:t>
      </w:r>
      <w:r w:rsidR="003D4E2F">
        <w:rPr>
          <w:rFonts w:ascii="Arial" w:hAnsi="Arial" w:cs="Arial"/>
          <w:sz w:val="22"/>
          <w:szCs w:val="22"/>
          <w:lang w:val="en-GB"/>
        </w:rPr>
        <w:t>for the secto</w:t>
      </w:r>
      <w:r w:rsidR="00015592">
        <w:rPr>
          <w:rFonts w:ascii="Arial" w:hAnsi="Arial" w:cs="Arial"/>
          <w:sz w:val="22"/>
          <w:szCs w:val="22"/>
          <w:lang w:val="en-GB"/>
        </w:rPr>
        <w:t>r</w:t>
      </w:r>
      <w:r w:rsidRPr="00E66E16">
        <w:rPr>
          <w:rFonts w:ascii="Arial" w:hAnsi="Arial" w:cs="Arial"/>
          <w:sz w:val="22"/>
          <w:szCs w:val="22"/>
          <w:lang w:val="en-GB"/>
        </w:rPr>
        <w:t xml:space="preserve">. </w:t>
      </w:r>
      <w:r w:rsidR="00015592">
        <w:rPr>
          <w:rFonts w:ascii="Arial" w:hAnsi="Arial" w:cs="Arial"/>
          <w:sz w:val="22"/>
          <w:szCs w:val="22"/>
          <w:lang w:val="en-GB"/>
        </w:rPr>
        <w:t xml:space="preserve">What’s more, between </w:t>
      </w:r>
      <w:r w:rsidR="00015592">
        <w:rPr>
          <w:rFonts w:ascii="Arial" w:hAnsi="Arial" w:cs="Arial"/>
          <w:sz w:val="22"/>
          <w:szCs w:val="22"/>
          <w:lang w:val="en-GB"/>
        </w:rPr>
        <w:lastRenderedPageBreak/>
        <w:t xml:space="preserve">January and September </w:t>
      </w:r>
      <w:r w:rsidRPr="00E66E16">
        <w:rPr>
          <w:rFonts w:ascii="Arial" w:hAnsi="Arial" w:cs="Arial"/>
          <w:sz w:val="22"/>
          <w:szCs w:val="22"/>
          <w:lang w:val="en-GB"/>
        </w:rPr>
        <w:t xml:space="preserve">warehouses accounted for nearly 48% of the total investment volume in Poland. The interest of funds in </w:t>
      </w:r>
      <w:r w:rsidR="003D4E2F">
        <w:rPr>
          <w:rFonts w:ascii="Arial" w:hAnsi="Arial" w:cs="Arial"/>
          <w:sz w:val="22"/>
          <w:szCs w:val="22"/>
          <w:lang w:val="en-GB"/>
        </w:rPr>
        <w:t xml:space="preserve">the </w:t>
      </w:r>
      <w:r>
        <w:rPr>
          <w:rFonts w:ascii="Arial" w:hAnsi="Arial" w:cs="Arial"/>
          <w:sz w:val="22"/>
          <w:szCs w:val="22"/>
          <w:lang w:val="en-GB"/>
        </w:rPr>
        <w:t>industrial</w:t>
      </w:r>
      <w:r w:rsidRPr="00E66E16">
        <w:rPr>
          <w:rFonts w:ascii="Arial" w:hAnsi="Arial" w:cs="Arial"/>
          <w:sz w:val="22"/>
          <w:szCs w:val="22"/>
          <w:lang w:val="en-GB"/>
        </w:rPr>
        <w:t xml:space="preserve"> real estate</w:t>
      </w:r>
      <w:r w:rsidR="00C57B81">
        <w:rPr>
          <w:rFonts w:ascii="Arial" w:hAnsi="Arial" w:cs="Arial"/>
          <w:sz w:val="22"/>
          <w:szCs w:val="22"/>
          <w:lang w:val="en-GB"/>
        </w:rPr>
        <w:t xml:space="preserve"> which is</w:t>
      </w:r>
      <w:r w:rsidRPr="00E66E16">
        <w:rPr>
          <w:rFonts w:ascii="Arial" w:hAnsi="Arial" w:cs="Arial"/>
          <w:sz w:val="22"/>
          <w:szCs w:val="22"/>
          <w:lang w:val="en-GB"/>
        </w:rPr>
        <w:t xml:space="preserve"> located in Poland</w:t>
      </w:r>
      <w:r w:rsidR="003D4E2F">
        <w:rPr>
          <w:rFonts w:ascii="Arial" w:hAnsi="Arial" w:cs="Arial"/>
          <w:sz w:val="22"/>
          <w:szCs w:val="22"/>
          <w:lang w:val="en-GB"/>
        </w:rPr>
        <w:t>,</w:t>
      </w:r>
      <w:r w:rsidRPr="00E66E16">
        <w:rPr>
          <w:rFonts w:ascii="Arial" w:hAnsi="Arial" w:cs="Arial"/>
          <w:sz w:val="22"/>
          <w:szCs w:val="22"/>
          <w:lang w:val="en-GB"/>
        </w:rPr>
        <w:t xml:space="preserve"> is so high that the market can already speak of challenges related to the availability of the product</w:t>
      </w:r>
      <w:r w:rsidR="00025CD2" w:rsidRPr="00E66E16">
        <w:rPr>
          <w:rFonts w:ascii="Arial" w:hAnsi="Arial" w:cs="Arial"/>
          <w:sz w:val="22"/>
          <w:szCs w:val="22"/>
          <w:lang w:val="en-GB"/>
        </w:rPr>
        <w:t xml:space="preserve">”, </w:t>
      </w:r>
      <w:r w:rsidRPr="00E66E16">
        <w:rPr>
          <w:rFonts w:ascii="Arial" w:hAnsi="Arial" w:cs="Arial"/>
          <w:sz w:val="22"/>
          <w:szCs w:val="22"/>
          <w:lang w:val="en-GB"/>
        </w:rPr>
        <w:t xml:space="preserve">comments </w:t>
      </w:r>
      <w:r w:rsidRPr="00E66E16">
        <w:rPr>
          <w:rFonts w:ascii="Arial" w:hAnsi="Arial"/>
          <w:b/>
          <w:sz w:val="22"/>
          <w:lang w:val="en-GB"/>
        </w:rPr>
        <w:t>Tomasz Puch, Head of Office and Industrial Investment, JLL</w:t>
      </w:r>
      <w:r w:rsidRPr="00E66E16">
        <w:rPr>
          <w:rFonts w:ascii="Arial" w:hAnsi="Arial" w:cs="Arial"/>
          <w:b/>
          <w:bCs/>
          <w:sz w:val="22"/>
          <w:szCs w:val="22"/>
          <w:lang w:val="en-GB"/>
        </w:rPr>
        <w:t xml:space="preserve">. </w:t>
      </w:r>
    </w:p>
    <w:p w14:paraId="1231AD9A" w14:textId="77777777" w:rsidR="00025CD2" w:rsidRPr="00E66E16" w:rsidRDefault="00025CD2" w:rsidP="00025CD2">
      <w:pPr>
        <w:autoSpaceDE w:val="0"/>
        <w:autoSpaceDN w:val="0"/>
        <w:ind w:left="-567" w:right="-194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3B2D1232" w14:textId="4D8E3D21" w:rsidR="00133629" w:rsidRPr="00E66E16" w:rsidRDefault="00133629" w:rsidP="00133629">
      <w:pPr>
        <w:pStyle w:val="Akapitzlist"/>
        <w:ind w:left="-567" w:right="-618"/>
        <w:rPr>
          <w:rFonts w:ascii="Arial" w:hAnsi="Arial" w:cs="Arial"/>
          <w:sz w:val="22"/>
          <w:szCs w:val="22"/>
          <w:lang w:val="en-GB"/>
        </w:rPr>
      </w:pPr>
      <w:r w:rsidRPr="00024C2A">
        <w:rPr>
          <w:rFonts w:ascii="Arial" w:hAnsi="Arial" w:cs="Arial"/>
          <w:sz w:val="22"/>
          <w:szCs w:val="22"/>
          <w:lang w:val="en-GB"/>
        </w:rPr>
        <w:t xml:space="preserve">Such a strong result was mainly driven by large portfolio transactions. The most meaningful was an acquisition of a huge CEE Goodman portfolio by GLP. </w:t>
      </w:r>
      <w:r w:rsidRPr="00E66E16">
        <w:rPr>
          <w:rFonts w:ascii="Arial" w:hAnsi="Arial" w:cs="Arial"/>
          <w:sz w:val="22"/>
          <w:szCs w:val="22"/>
          <w:lang w:val="en-GB"/>
        </w:rPr>
        <w:t xml:space="preserve">The total value of the transaction </w:t>
      </w:r>
      <w:r w:rsidR="003D4E2F">
        <w:rPr>
          <w:rFonts w:ascii="Arial" w:hAnsi="Arial" w:cs="Arial"/>
          <w:sz w:val="22"/>
          <w:szCs w:val="22"/>
          <w:lang w:val="en-GB"/>
        </w:rPr>
        <w:t xml:space="preserve">was </w:t>
      </w:r>
      <w:r w:rsidR="00D03841">
        <w:rPr>
          <w:rFonts w:ascii="Arial" w:hAnsi="Arial" w:cs="Arial"/>
          <w:sz w:val="22"/>
          <w:szCs w:val="22"/>
          <w:lang w:val="en-GB"/>
        </w:rPr>
        <w:t xml:space="preserve">approx.. </w:t>
      </w:r>
      <w:r w:rsidR="003D4E2F">
        <w:rPr>
          <w:rFonts w:ascii="Arial" w:hAnsi="Arial" w:cs="Arial"/>
          <w:sz w:val="22"/>
          <w:szCs w:val="22"/>
          <w:lang w:val="en-GB"/>
        </w:rPr>
        <w:t>EUR one</w:t>
      </w:r>
      <w:r w:rsidRPr="00E66E16">
        <w:rPr>
          <w:rFonts w:ascii="Arial" w:hAnsi="Arial" w:cs="Arial"/>
          <w:sz w:val="22"/>
          <w:szCs w:val="22"/>
          <w:lang w:val="en-GB"/>
        </w:rPr>
        <w:t xml:space="preserve"> billion </w:t>
      </w:r>
      <w:r w:rsidR="003D4E2F">
        <w:rPr>
          <w:rFonts w:ascii="Arial" w:hAnsi="Arial" w:cs="Arial"/>
          <w:sz w:val="22"/>
          <w:szCs w:val="22"/>
          <w:lang w:val="en-GB"/>
        </w:rPr>
        <w:t xml:space="preserve">with </w:t>
      </w:r>
      <w:r w:rsidRPr="00E66E16">
        <w:rPr>
          <w:rFonts w:ascii="Arial" w:hAnsi="Arial" w:cs="Arial"/>
          <w:sz w:val="22"/>
          <w:szCs w:val="22"/>
          <w:lang w:val="en-GB"/>
        </w:rPr>
        <w:t>assets located in Poland responsible for more than a half of that volume.</w:t>
      </w:r>
    </w:p>
    <w:p w14:paraId="150AC617" w14:textId="77777777" w:rsidR="00254E3B" w:rsidRPr="00133629" w:rsidRDefault="00254E3B" w:rsidP="00D335E9">
      <w:pPr>
        <w:ind w:right="-618"/>
        <w:rPr>
          <w:rFonts w:ascii="Arial" w:hAnsi="Arial" w:cs="Arial"/>
          <w:sz w:val="22"/>
          <w:szCs w:val="22"/>
        </w:rPr>
      </w:pPr>
    </w:p>
    <w:p w14:paraId="7CF340DE" w14:textId="77777777" w:rsidR="00E66E16" w:rsidRDefault="00E66E16" w:rsidP="00E66E16">
      <w:pPr>
        <w:ind w:left="-567" w:right="-618"/>
        <w:rPr>
          <w:rFonts w:ascii="Arial" w:hAnsi="Arial" w:cs="Arial"/>
          <w:b/>
          <w:sz w:val="22"/>
          <w:szCs w:val="22"/>
          <w:lang w:val="en-GB"/>
        </w:rPr>
      </w:pPr>
      <w:r w:rsidRPr="00E66E16">
        <w:rPr>
          <w:rFonts w:ascii="Arial" w:hAnsi="Arial" w:cs="Arial"/>
          <w:b/>
          <w:sz w:val="22"/>
          <w:szCs w:val="22"/>
          <w:lang w:val="en-GB"/>
        </w:rPr>
        <w:t>Rents</w:t>
      </w:r>
    </w:p>
    <w:p w14:paraId="0E413139" w14:textId="10BD847E" w:rsidR="00E66E16" w:rsidRPr="00024C2A" w:rsidRDefault="00E66E16" w:rsidP="00E66E16">
      <w:pPr>
        <w:ind w:left="-567" w:right="-618"/>
        <w:rPr>
          <w:rFonts w:ascii="Arial" w:hAnsi="Arial" w:cs="Arial"/>
          <w:sz w:val="22"/>
          <w:szCs w:val="22"/>
          <w:lang w:val="en-GB"/>
        </w:rPr>
      </w:pPr>
      <w:r w:rsidRPr="00024C2A">
        <w:rPr>
          <w:rFonts w:ascii="Arial" w:hAnsi="Arial" w:cs="Arial"/>
          <w:sz w:val="22"/>
          <w:szCs w:val="22"/>
          <w:lang w:val="en-GB"/>
        </w:rPr>
        <w:t xml:space="preserve">Rents remained relatively stable. Warsaw Inner City and other urban locations are the most expensive markets in Poland. In Warsaw, headline rents ranged from </w:t>
      </w:r>
      <w:r w:rsidR="00D03841">
        <w:rPr>
          <w:rFonts w:ascii="Arial" w:hAnsi="Arial" w:cs="Arial"/>
          <w:sz w:val="22"/>
          <w:szCs w:val="22"/>
          <w:lang w:val="en-GB"/>
        </w:rPr>
        <w:t xml:space="preserve">EUR </w:t>
      </w:r>
      <w:r w:rsidRPr="00024C2A">
        <w:rPr>
          <w:rFonts w:ascii="Arial" w:hAnsi="Arial" w:cs="Arial"/>
          <w:sz w:val="22"/>
          <w:szCs w:val="22"/>
          <w:lang w:val="en-GB"/>
        </w:rPr>
        <w:t xml:space="preserve">4.3 EUR to </w:t>
      </w:r>
      <w:r w:rsidR="00D03841">
        <w:rPr>
          <w:rFonts w:ascii="Arial" w:hAnsi="Arial" w:cs="Arial"/>
          <w:sz w:val="22"/>
          <w:szCs w:val="22"/>
          <w:lang w:val="en-GB"/>
        </w:rPr>
        <w:t xml:space="preserve">EUR </w:t>
      </w:r>
      <w:r w:rsidRPr="00024C2A">
        <w:rPr>
          <w:rFonts w:ascii="Arial" w:hAnsi="Arial" w:cs="Arial"/>
          <w:sz w:val="22"/>
          <w:szCs w:val="22"/>
          <w:lang w:val="en-GB"/>
        </w:rPr>
        <w:t>5</w:t>
      </w:r>
      <w:r w:rsidR="008E64D3">
        <w:rPr>
          <w:rFonts w:ascii="Arial" w:hAnsi="Arial" w:cs="Arial"/>
          <w:sz w:val="22"/>
          <w:szCs w:val="22"/>
          <w:lang w:val="en-GB"/>
        </w:rPr>
        <w:t>.25</w:t>
      </w:r>
      <w:r w:rsidRPr="00024C2A">
        <w:rPr>
          <w:rFonts w:ascii="Arial" w:hAnsi="Arial" w:cs="Arial"/>
          <w:sz w:val="22"/>
          <w:szCs w:val="22"/>
          <w:lang w:val="en-GB"/>
        </w:rPr>
        <w:t xml:space="preserve"> /sqm /month. The most attractive rents for big-box units are still to be found in out-of-town locations in Central Poland (</w:t>
      </w:r>
      <w:r w:rsidR="00D03841">
        <w:rPr>
          <w:rFonts w:ascii="Arial" w:hAnsi="Arial" w:cs="Arial"/>
          <w:sz w:val="22"/>
          <w:szCs w:val="22"/>
          <w:lang w:val="en-GB"/>
        </w:rPr>
        <w:t xml:space="preserve">EUR </w:t>
      </w:r>
      <w:r w:rsidRPr="00024C2A">
        <w:rPr>
          <w:rFonts w:ascii="Arial" w:hAnsi="Arial" w:cs="Arial"/>
          <w:sz w:val="22"/>
          <w:szCs w:val="22"/>
          <w:lang w:val="en-GB"/>
        </w:rPr>
        <w:t xml:space="preserve">2.6 to </w:t>
      </w:r>
      <w:r w:rsidR="00D03841">
        <w:rPr>
          <w:rFonts w:ascii="Arial" w:hAnsi="Arial" w:cs="Arial"/>
          <w:sz w:val="22"/>
          <w:szCs w:val="22"/>
          <w:lang w:val="en-GB"/>
        </w:rPr>
        <w:t xml:space="preserve">EUR </w:t>
      </w:r>
      <w:r w:rsidRPr="00024C2A">
        <w:rPr>
          <w:rFonts w:ascii="Arial" w:hAnsi="Arial" w:cs="Arial"/>
          <w:sz w:val="22"/>
          <w:szCs w:val="22"/>
          <w:lang w:val="en-GB"/>
        </w:rPr>
        <w:t>3.2 / sqm / month).</w:t>
      </w:r>
    </w:p>
    <w:p w14:paraId="4CB81779" w14:textId="77777777" w:rsidR="004D5A28" w:rsidRPr="00E66E16" w:rsidRDefault="004D5A28" w:rsidP="004D5A28">
      <w:pPr>
        <w:pStyle w:val="Akapitzlist"/>
        <w:ind w:left="-567" w:right="-618"/>
        <w:rPr>
          <w:rFonts w:ascii="Arial" w:hAnsi="Arial" w:cs="Arial"/>
          <w:sz w:val="22"/>
          <w:szCs w:val="22"/>
        </w:rPr>
      </w:pPr>
    </w:p>
    <w:p w14:paraId="5F8278AE" w14:textId="263DDBDA" w:rsidR="00CF2B77" w:rsidRPr="00E66E16" w:rsidRDefault="00CF2B77" w:rsidP="004D5A28">
      <w:pPr>
        <w:pStyle w:val="Akapitzlist"/>
        <w:ind w:left="-567" w:right="-618"/>
        <w:rPr>
          <w:rFonts w:ascii="Arial" w:hAnsi="Arial" w:cs="Arial"/>
          <w:sz w:val="22"/>
          <w:szCs w:val="22"/>
          <w:lang w:val="en-GB"/>
        </w:rPr>
      </w:pPr>
    </w:p>
    <w:p w14:paraId="403534F5" w14:textId="77777777" w:rsidR="002D1584" w:rsidRPr="00E66E16" w:rsidRDefault="002D1584" w:rsidP="00AB37E9">
      <w:pPr>
        <w:pStyle w:val="Akapitzlist"/>
        <w:ind w:left="-567" w:right="-618"/>
        <w:jc w:val="center"/>
        <w:rPr>
          <w:rFonts w:ascii="Source Sans Pro Light" w:eastAsia="Source Sans Pro Light" w:hAnsi="Source Sans Pro Light" w:cs="Source Sans Pro Light"/>
          <w:color w:val="4472C4" w:themeColor="accent1"/>
          <w:spacing w:val="-2"/>
          <w:sz w:val="18"/>
          <w:lang w:val="en-GB"/>
        </w:rPr>
      </w:pPr>
    </w:p>
    <w:p w14:paraId="4EBA0BF6" w14:textId="2279F8E6" w:rsidR="00AB37E9" w:rsidRPr="00E77B81" w:rsidRDefault="00E847A1" w:rsidP="00AB37E9">
      <w:pPr>
        <w:pStyle w:val="Akapitzlist"/>
        <w:ind w:left="-567" w:right="-618"/>
        <w:jc w:val="center"/>
        <w:rPr>
          <w:rFonts w:ascii="Arial" w:hAnsi="Arial" w:cs="Arial"/>
          <w:sz w:val="22"/>
          <w:szCs w:val="22"/>
          <w:lang w:val="en-GB"/>
        </w:rPr>
      </w:pPr>
      <w:r w:rsidRPr="00E77B81">
        <w:rPr>
          <w:rFonts w:ascii="Arial" w:hAnsi="Arial" w:cs="Arial"/>
          <w:sz w:val="22"/>
          <w:szCs w:val="22"/>
          <w:lang w:val="en-GB"/>
        </w:rPr>
        <w:t xml:space="preserve">- </w:t>
      </w:r>
      <w:r w:rsidR="00C57B81" w:rsidRPr="00E77B81">
        <w:rPr>
          <w:rFonts w:ascii="Arial" w:hAnsi="Arial" w:cs="Arial"/>
          <w:sz w:val="22"/>
          <w:szCs w:val="22"/>
          <w:lang w:val="en-GB"/>
        </w:rPr>
        <w:t xml:space="preserve">ends </w:t>
      </w:r>
      <w:r w:rsidR="00AB37E9" w:rsidRPr="00E77B81">
        <w:rPr>
          <w:rFonts w:ascii="Arial" w:hAnsi="Arial" w:cs="Arial"/>
          <w:sz w:val="22"/>
          <w:szCs w:val="22"/>
          <w:lang w:val="en-GB"/>
        </w:rPr>
        <w:t>-</w:t>
      </w:r>
    </w:p>
    <w:p w14:paraId="5269C9C3" w14:textId="77777777" w:rsidR="00641D78" w:rsidRPr="00E77B81" w:rsidRDefault="00641D78" w:rsidP="00641D78">
      <w:pPr>
        <w:ind w:left="-567" w:right="-618"/>
        <w:rPr>
          <w:rFonts w:ascii="Arial" w:hAnsi="Arial" w:cs="Arial"/>
          <w:sz w:val="22"/>
          <w:szCs w:val="22"/>
          <w:lang w:val="en-GB"/>
        </w:rPr>
      </w:pPr>
    </w:p>
    <w:p w14:paraId="3F6E1F2C" w14:textId="77777777" w:rsidR="00306DC9" w:rsidRPr="00E77B81" w:rsidRDefault="00306DC9" w:rsidP="00641D78">
      <w:pPr>
        <w:ind w:left="-567" w:right="-618"/>
        <w:rPr>
          <w:rFonts w:ascii="Arial" w:hAnsi="Arial" w:cs="Arial"/>
          <w:sz w:val="22"/>
          <w:szCs w:val="22"/>
          <w:lang w:val="en-GB"/>
        </w:rPr>
      </w:pPr>
    </w:p>
    <w:p w14:paraId="06D8ABA8" w14:textId="77777777" w:rsidR="00E77B81" w:rsidRPr="00E77B81" w:rsidRDefault="00E77B81" w:rsidP="00E77B81">
      <w:pPr>
        <w:tabs>
          <w:tab w:val="left" w:pos="11610"/>
        </w:tabs>
        <w:ind w:left="-567" w:right="-336"/>
        <w:rPr>
          <w:rFonts w:ascii="Arial" w:eastAsia="Arial" w:hAnsi="Arial" w:cs="Arial"/>
          <w:b/>
          <w:bCs/>
          <w:sz w:val="22"/>
          <w:szCs w:val="22"/>
        </w:rPr>
      </w:pPr>
      <w:r w:rsidRPr="00E77B81">
        <w:rPr>
          <w:rFonts w:ascii="Arial" w:eastAsia="Arial" w:hAnsi="Arial" w:cs="Arial"/>
          <w:b/>
          <w:bCs/>
          <w:sz w:val="22"/>
          <w:szCs w:val="22"/>
        </w:rPr>
        <w:t>About JLL</w:t>
      </w:r>
    </w:p>
    <w:p w14:paraId="413E0534" w14:textId="77777777" w:rsidR="00E77B81" w:rsidRPr="00E77B81" w:rsidRDefault="00E77B81" w:rsidP="00E77B81">
      <w:pPr>
        <w:tabs>
          <w:tab w:val="left" w:pos="11610"/>
        </w:tabs>
        <w:ind w:left="-567" w:right="-336"/>
        <w:rPr>
          <w:rFonts w:ascii="Arial" w:eastAsia="Arial" w:hAnsi="Arial" w:cs="Arial"/>
          <w:sz w:val="22"/>
          <w:szCs w:val="22"/>
        </w:rPr>
      </w:pPr>
      <w:r w:rsidRPr="00E77B81">
        <w:rPr>
          <w:rFonts w:ascii="Arial" w:eastAsia="Arial" w:hAnsi="Arial" w:cs="Arial"/>
          <w:sz w:val="22"/>
          <w:szCs w:val="22"/>
        </w:rPr>
        <w:t xml:space="preserve">JLL (NYSE: JLL) is a leading professional services firm that specializes in real estate and investment management. JLL shapes the future of real estate for a better world by using the most advanced technology to create rewarding opportunities, amazing spaces and sustainable real estate solutions for our clients, our people and our communities. JLL is a Fortune 500 company with annual revenue of $18.0 billion in 2019, operations in over 80 countries and a global workforce of over 92,000 as of September 30, 2020. JLL is the brand name, and a registered trademark, of Jones Lang LaSalle Incorporated. For further information, visit </w:t>
      </w:r>
      <w:hyperlink r:id="rId11" w:history="1">
        <w:r w:rsidRPr="00E77B81">
          <w:rPr>
            <w:rStyle w:val="Hipercze"/>
            <w:rFonts w:ascii="Arial" w:eastAsia="Arial" w:hAnsi="Arial" w:cs="Arial"/>
            <w:sz w:val="22"/>
            <w:szCs w:val="22"/>
          </w:rPr>
          <w:t>jll.com</w:t>
        </w:r>
      </w:hyperlink>
      <w:r w:rsidRPr="00E77B81">
        <w:rPr>
          <w:rFonts w:ascii="Arial" w:eastAsia="Arial" w:hAnsi="Arial" w:cs="Arial"/>
          <w:sz w:val="22"/>
          <w:szCs w:val="22"/>
        </w:rPr>
        <w:t>.</w:t>
      </w:r>
    </w:p>
    <w:p w14:paraId="57D1BF31" w14:textId="77777777" w:rsidR="00C26672" w:rsidRPr="00917332" w:rsidRDefault="00C26672" w:rsidP="00F01B31">
      <w:pPr>
        <w:ind w:left="-567" w:right="-619"/>
        <w:rPr>
          <w:rFonts w:ascii="Arial" w:eastAsia="Times New Roman" w:hAnsi="Arial" w:cs="Arial"/>
          <w:color w:val="BC141A"/>
          <w:sz w:val="22"/>
          <w:szCs w:val="22"/>
          <w:u w:val="single"/>
          <w:lang w:val="en-GB"/>
        </w:rPr>
      </w:pPr>
    </w:p>
    <w:p w14:paraId="15073483" w14:textId="77777777" w:rsidR="00F01B31" w:rsidRPr="00917332" w:rsidRDefault="00F01B31" w:rsidP="00F01B31">
      <w:pPr>
        <w:spacing w:before="120"/>
        <w:ind w:right="-618"/>
        <w:rPr>
          <w:rFonts w:ascii="Source Sans Pro Light" w:hAnsi="Source Sans Pro Light"/>
          <w:sz w:val="28"/>
          <w:lang w:val="en-GB"/>
        </w:rPr>
      </w:pPr>
    </w:p>
    <w:p w14:paraId="41E5CFCE" w14:textId="53A76FBF" w:rsidR="00E77B81" w:rsidRPr="00917332" w:rsidRDefault="00E77B81" w:rsidP="00E77B81">
      <w:pPr>
        <w:ind w:left="-567" w:right="-618"/>
        <w:rPr>
          <w:rFonts w:ascii="Arial" w:hAnsi="Arial" w:cs="Arial"/>
          <w:sz w:val="22"/>
          <w:lang w:val="en-GB"/>
        </w:rPr>
      </w:pPr>
      <w:r w:rsidRPr="00917332">
        <w:rPr>
          <w:rFonts w:ascii="Arial" w:hAnsi="Arial" w:cs="Arial"/>
          <w:b/>
          <w:bCs/>
          <w:sz w:val="22"/>
          <w:lang w:val="en-GB"/>
        </w:rPr>
        <w:t>Contact:</w:t>
      </w:r>
      <w:r w:rsidRPr="00917332">
        <w:rPr>
          <w:rFonts w:ascii="Arial" w:hAnsi="Arial" w:cs="Arial"/>
          <w:sz w:val="22"/>
          <w:lang w:val="en-GB"/>
        </w:rPr>
        <w:t xml:space="preserve"> </w:t>
      </w:r>
      <w:r w:rsidRPr="00917332">
        <w:rPr>
          <w:rFonts w:ascii="Arial" w:hAnsi="Arial" w:cs="Arial"/>
          <w:sz w:val="22"/>
          <w:szCs w:val="22"/>
          <w:lang w:val="en-GB"/>
        </w:rPr>
        <w:t>Anna Podolak</w:t>
      </w:r>
    </w:p>
    <w:p w14:paraId="2861EDC6" w14:textId="32B8EE50" w:rsidR="00E77B81" w:rsidRPr="00917332" w:rsidRDefault="00E77B81" w:rsidP="00E77B81">
      <w:pPr>
        <w:ind w:left="-567" w:right="-618"/>
        <w:rPr>
          <w:rFonts w:ascii="Arial" w:hAnsi="Arial" w:cs="Arial"/>
          <w:sz w:val="22"/>
          <w:lang w:val="en-GB"/>
        </w:rPr>
      </w:pPr>
      <w:r w:rsidRPr="00917332">
        <w:rPr>
          <w:rFonts w:ascii="Arial" w:hAnsi="Arial" w:cs="Arial"/>
          <w:b/>
          <w:bCs/>
          <w:sz w:val="22"/>
          <w:lang w:val="en-GB"/>
        </w:rPr>
        <w:t>Phone:</w:t>
      </w:r>
      <w:r w:rsidRPr="00917332">
        <w:rPr>
          <w:rFonts w:ascii="Arial" w:hAnsi="Arial" w:cs="Arial"/>
          <w:sz w:val="22"/>
          <w:lang w:val="en-GB"/>
        </w:rPr>
        <w:t xml:space="preserve"> </w:t>
      </w:r>
      <w:r w:rsidRPr="00917332">
        <w:rPr>
          <w:rFonts w:ascii="Arial" w:hAnsi="Arial" w:cs="Arial"/>
          <w:sz w:val="22"/>
          <w:szCs w:val="22"/>
          <w:lang w:val="en-GB"/>
        </w:rPr>
        <w:t>+48 </w:t>
      </w:r>
      <w:r w:rsidRPr="00917332">
        <w:rPr>
          <w:rFonts w:ascii="Arial" w:hAnsi="Arial" w:cs="Arial"/>
          <w:noProof/>
          <w:color w:val="000000"/>
          <w:sz w:val="22"/>
          <w:szCs w:val="22"/>
          <w:lang w:val="en-GB" w:eastAsia="pl-PL"/>
        </w:rPr>
        <w:t>502 220 557</w:t>
      </w:r>
    </w:p>
    <w:p w14:paraId="4FEB99E6" w14:textId="77777777" w:rsidR="00E77B81" w:rsidRPr="00917332" w:rsidRDefault="00E77B81" w:rsidP="00E77B81">
      <w:pPr>
        <w:ind w:left="-567" w:right="-618"/>
        <w:rPr>
          <w:rFonts w:ascii="Arial" w:hAnsi="Arial" w:cs="Arial"/>
          <w:sz w:val="22"/>
          <w:szCs w:val="22"/>
          <w:lang w:val="en-GB"/>
        </w:rPr>
      </w:pPr>
      <w:r w:rsidRPr="00917332">
        <w:rPr>
          <w:rFonts w:ascii="Arial" w:hAnsi="Arial" w:cs="Arial"/>
          <w:b/>
          <w:bCs/>
          <w:sz w:val="22"/>
          <w:lang w:val="en-GB"/>
        </w:rPr>
        <w:t>Email:</w:t>
      </w:r>
      <w:r w:rsidRPr="00917332">
        <w:rPr>
          <w:rFonts w:ascii="Arial" w:hAnsi="Arial" w:cs="Arial"/>
          <w:sz w:val="22"/>
          <w:lang w:val="en-GB"/>
        </w:rPr>
        <w:t xml:space="preserve"> </w:t>
      </w:r>
      <w:hyperlink r:id="rId12" w:history="1">
        <w:r w:rsidRPr="00917332">
          <w:rPr>
            <w:rStyle w:val="Hipercze"/>
            <w:rFonts w:ascii="Arial" w:hAnsi="Arial" w:cs="Arial"/>
            <w:sz w:val="22"/>
            <w:szCs w:val="22"/>
            <w:lang w:val="en-GB"/>
          </w:rPr>
          <w:t>anna.podolak@eu.jll.com</w:t>
        </w:r>
      </w:hyperlink>
    </w:p>
    <w:p w14:paraId="1C7BE5A6" w14:textId="77777777" w:rsidR="00E77B81" w:rsidRPr="00917332" w:rsidRDefault="00E77B81" w:rsidP="00E77B81">
      <w:pPr>
        <w:ind w:left="-567" w:right="-618"/>
        <w:rPr>
          <w:rFonts w:ascii="Arial" w:hAnsi="Arial" w:cs="Arial"/>
          <w:b/>
          <w:bCs/>
          <w:sz w:val="22"/>
          <w:lang w:val="en-GB"/>
        </w:rPr>
      </w:pPr>
    </w:p>
    <w:p w14:paraId="5825C3A8" w14:textId="77777777" w:rsidR="00E77B81" w:rsidRPr="00917332" w:rsidRDefault="00E77B81" w:rsidP="00E77B81">
      <w:pPr>
        <w:ind w:left="-567" w:right="-618"/>
        <w:rPr>
          <w:rFonts w:ascii="Arial" w:hAnsi="Arial" w:cs="Arial"/>
          <w:b/>
          <w:bCs/>
          <w:sz w:val="22"/>
          <w:lang w:val="en-GB"/>
        </w:rPr>
      </w:pPr>
    </w:p>
    <w:p w14:paraId="3BCFE045" w14:textId="4A8C5249" w:rsidR="00E77B81" w:rsidRPr="00D5237E" w:rsidRDefault="00E77B81" w:rsidP="00E77B81">
      <w:pPr>
        <w:ind w:left="-567" w:right="-618"/>
        <w:rPr>
          <w:rFonts w:ascii="Arial" w:hAnsi="Arial" w:cs="Arial"/>
          <w:sz w:val="22"/>
          <w:lang w:val="pl-PL"/>
        </w:rPr>
      </w:pPr>
      <w:proofErr w:type="spellStart"/>
      <w:r>
        <w:rPr>
          <w:rFonts w:ascii="Arial" w:hAnsi="Arial" w:cs="Arial"/>
          <w:b/>
          <w:bCs/>
          <w:sz w:val="22"/>
          <w:lang w:val="pl-PL"/>
        </w:rPr>
        <w:t>Contact</w:t>
      </w:r>
      <w:proofErr w:type="spellEnd"/>
      <w:r w:rsidRPr="00D5237E">
        <w:rPr>
          <w:rFonts w:ascii="Arial" w:hAnsi="Arial" w:cs="Arial"/>
          <w:b/>
          <w:bCs/>
          <w:sz w:val="22"/>
          <w:lang w:val="pl-PL"/>
        </w:rPr>
        <w:t>:</w:t>
      </w:r>
      <w:r w:rsidRPr="00D5237E">
        <w:rPr>
          <w:rFonts w:ascii="Arial" w:hAnsi="Arial" w:cs="Arial"/>
          <w:sz w:val="22"/>
          <w:lang w:val="pl-PL"/>
        </w:rPr>
        <w:t xml:space="preserve"> </w:t>
      </w:r>
      <w:r>
        <w:rPr>
          <w:rFonts w:ascii="Arial" w:hAnsi="Arial" w:cs="Arial"/>
          <w:sz w:val="22"/>
          <w:lang w:val="pl-PL"/>
        </w:rPr>
        <w:t xml:space="preserve">Agnieszka Ratajczyk </w:t>
      </w:r>
    </w:p>
    <w:p w14:paraId="30DB818C" w14:textId="7FBB5A7D" w:rsidR="00E77B81" w:rsidRPr="00D5237E" w:rsidRDefault="00E77B81" w:rsidP="00E77B81">
      <w:pPr>
        <w:ind w:left="-567" w:right="-618"/>
        <w:rPr>
          <w:rFonts w:ascii="Arial" w:hAnsi="Arial" w:cs="Arial"/>
          <w:sz w:val="22"/>
          <w:lang w:val="pl-PL"/>
        </w:rPr>
      </w:pPr>
      <w:r>
        <w:rPr>
          <w:rFonts w:ascii="Arial" w:hAnsi="Arial" w:cs="Arial"/>
          <w:b/>
          <w:bCs/>
          <w:sz w:val="22"/>
          <w:lang w:val="pl-PL"/>
        </w:rPr>
        <w:t>Phone</w:t>
      </w:r>
      <w:r w:rsidRPr="00D5237E">
        <w:rPr>
          <w:rFonts w:ascii="Arial" w:hAnsi="Arial" w:cs="Arial"/>
          <w:b/>
          <w:bCs/>
          <w:sz w:val="22"/>
          <w:lang w:val="pl-PL"/>
        </w:rPr>
        <w:t>:</w:t>
      </w:r>
      <w:r w:rsidRPr="00D5237E">
        <w:rPr>
          <w:rFonts w:ascii="Arial" w:hAnsi="Arial" w:cs="Arial"/>
          <w:sz w:val="22"/>
          <w:lang w:val="pl-PL"/>
        </w:rPr>
        <w:t xml:space="preserve"> +48</w:t>
      </w:r>
      <w:r>
        <w:rPr>
          <w:rFonts w:ascii="Arial" w:hAnsi="Arial" w:cs="Arial"/>
          <w:sz w:val="22"/>
          <w:lang w:val="pl-PL"/>
        </w:rPr>
        <w:t> </w:t>
      </w:r>
      <w:r w:rsidRPr="00D5237E">
        <w:rPr>
          <w:rFonts w:ascii="Arial" w:hAnsi="Arial" w:cs="Arial"/>
          <w:sz w:val="22"/>
          <w:lang w:val="pl-PL"/>
        </w:rPr>
        <w:t>50</w:t>
      </w:r>
      <w:r>
        <w:rPr>
          <w:rFonts w:ascii="Arial" w:hAnsi="Arial" w:cs="Arial"/>
          <w:sz w:val="22"/>
          <w:lang w:val="pl-PL"/>
        </w:rPr>
        <w:t>4 020 522</w:t>
      </w:r>
    </w:p>
    <w:p w14:paraId="7005A076" w14:textId="77777777" w:rsidR="00E77B81" w:rsidRPr="009C0EB4" w:rsidRDefault="00E77B81" w:rsidP="00E77B81">
      <w:pPr>
        <w:ind w:left="-567" w:right="-618"/>
        <w:rPr>
          <w:rFonts w:ascii="Arial" w:hAnsi="Arial" w:cs="Arial"/>
          <w:sz w:val="22"/>
          <w:lang w:val="pl-PL"/>
        </w:rPr>
      </w:pPr>
      <w:r w:rsidRPr="009C0EB4">
        <w:rPr>
          <w:rFonts w:ascii="Arial" w:hAnsi="Arial" w:cs="Arial"/>
          <w:b/>
          <w:bCs/>
          <w:sz w:val="22"/>
          <w:lang w:val="pl-PL"/>
        </w:rPr>
        <w:t>Email:</w:t>
      </w:r>
      <w:r w:rsidRPr="009C0EB4">
        <w:rPr>
          <w:rFonts w:ascii="Arial" w:hAnsi="Arial" w:cs="Arial"/>
          <w:sz w:val="22"/>
          <w:lang w:val="pl-PL"/>
        </w:rPr>
        <w:t xml:space="preserve"> </w:t>
      </w:r>
      <w:hyperlink r:id="rId13" w:history="1">
        <w:r w:rsidRPr="009C0EB4">
          <w:rPr>
            <w:rStyle w:val="Hipercze"/>
            <w:rFonts w:ascii="Arial" w:hAnsi="Arial" w:cs="Arial"/>
            <w:sz w:val="22"/>
            <w:szCs w:val="22"/>
            <w:lang w:val="pl-PL"/>
          </w:rPr>
          <w:t>agnieszka.ratajczyk@linkleaders.pl</w:t>
        </w:r>
      </w:hyperlink>
      <w:r w:rsidRPr="009C0EB4">
        <w:rPr>
          <w:lang w:val="pl-PL"/>
        </w:rPr>
        <w:t xml:space="preserve"> </w:t>
      </w:r>
    </w:p>
    <w:p w14:paraId="2BD2A1C3" w14:textId="172649D1" w:rsidR="00AB37E9" w:rsidRPr="00E77B81" w:rsidRDefault="00AB37E9" w:rsidP="0032555B">
      <w:pPr>
        <w:ind w:left="-567" w:right="-618"/>
        <w:rPr>
          <w:rFonts w:ascii="Arial" w:hAnsi="Arial" w:cs="Arial"/>
          <w:sz w:val="22"/>
          <w:lang w:val="pl-PL"/>
        </w:rPr>
      </w:pPr>
    </w:p>
    <w:sectPr w:rsidR="00AB37E9" w:rsidRPr="00E77B81" w:rsidSect="00EB06EE">
      <w:headerReference w:type="default" r:id="rId14"/>
      <w:headerReference w:type="first" r:id="rId15"/>
      <w:pgSz w:w="11900" w:h="16840"/>
      <w:pgMar w:top="1440" w:right="1440" w:bottom="1440" w:left="1440" w:header="330" w:footer="708" w:gutter="0"/>
      <w:cols w:space="708"/>
      <w:titlePg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399BA3" w14:textId="77777777" w:rsidR="00E51843" w:rsidRDefault="00E51843" w:rsidP="0045426F">
      <w:r>
        <w:separator/>
      </w:r>
    </w:p>
  </w:endnote>
  <w:endnote w:type="continuationSeparator" w:id="0">
    <w:p w14:paraId="7182D7A1" w14:textId="77777777" w:rsidR="00E51843" w:rsidRDefault="00E51843" w:rsidP="00454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ource Sans Pro Light">
    <w:altName w:val="Source Sans Pro Light"/>
    <w:charset w:val="00"/>
    <w:family w:val="swiss"/>
    <w:pitch w:val="variable"/>
    <w:sig w:usb0="600002F7" w:usb1="02000001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2F1E09" w14:textId="77777777" w:rsidR="00E51843" w:rsidRDefault="00E51843" w:rsidP="0045426F">
      <w:r>
        <w:separator/>
      </w:r>
    </w:p>
  </w:footnote>
  <w:footnote w:type="continuationSeparator" w:id="0">
    <w:p w14:paraId="60BBD8A4" w14:textId="77777777" w:rsidR="00E51843" w:rsidRDefault="00E51843" w:rsidP="004542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B89AA7" w14:textId="77777777" w:rsidR="007B7881" w:rsidRDefault="007B7881" w:rsidP="00F12B14">
    <w:pPr>
      <w:pStyle w:val="Nagwek"/>
      <w:tabs>
        <w:tab w:val="clear" w:pos="9026"/>
      </w:tabs>
      <w:ind w:left="-851" w:right="-1045"/>
    </w:pPr>
    <w:r w:rsidRPr="00293E5E">
      <w:rPr>
        <w:noProof/>
        <w:lang w:val="en-GB" w:eastAsia="en-GB"/>
      </w:rPr>
      <w:drawing>
        <wp:inline distT="0" distB="0" distL="0" distR="0" wp14:anchorId="28CF3969" wp14:editId="30DA2931">
          <wp:extent cx="7200900" cy="914400"/>
          <wp:effectExtent l="0" t="0" r="0" b="0"/>
          <wp:docPr id="13" name="Picture 9" descr="/Users/karakeough/Box Sync/2016/Brand/New Materials/Press Release/PressRelease-Header-02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/Users/karakeough/Box Sync/2016/Brand/New Materials/Press Release/PressRelease-Header-02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3150"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F5F22C" w14:textId="77777777" w:rsidR="007B7881" w:rsidRDefault="007B7881" w:rsidP="00F30A2E">
    <w:pPr>
      <w:pStyle w:val="Nagwek"/>
      <w:ind w:left="-851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C6B118C" wp14:editId="728CEC0B">
              <wp:simplePos x="0" y="0"/>
              <wp:positionH relativeFrom="column">
                <wp:posOffset>-441960</wp:posOffset>
              </wp:positionH>
              <wp:positionV relativeFrom="paragraph">
                <wp:posOffset>544195</wp:posOffset>
              </wp:positionV>
              <wp:extent cx="3788410" cy="632460"/>
              <wp:effectExtent l="0" t="0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88410" cy="632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DA7715E" w14:textId="67E4D942" w:rsidR="007B7881" w:rsidRPr="00D5237E" w:rsidRDefault="007B1B1E">
                          <w:pPr>
                            <w:rPr>
                              <w:rFonts w:ascii="Arial" w:hAnsi="Arial" w:cs="Arial"/>
                              <w:sz w:val="60"/>
                              <w:szCs w:val="60"/>
                              <w:lang w:val="pl-PL"/>
                            </w:rPr>
                          </w:pPr>
                          <w:r>
                            <w:rPr>
                              <w:rFonts w:ascii="Arial" w:hAnsi="Arial" w:cs="Arial"/>
                              <w:sz w:val="60"/>
                              <w:szCs w:val="60"/>
                              <w:lang w:val="pl-PL"/>
                            </w:rPr>
                            <w:t>News release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6B118C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-34.8pt;margin-top:42.85pt;width:298.3pt;height:49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" filled="f" stroked="f">
              <v:textbox>
                <w:txbxContent>
                  <w:p w14:paraId="4DA7715E" w14:textId="67E4D942" w:rsidR="007B7881" w:rsidRPr="00D5237E" w:rsidRDefault="007B1B1E">
                    <w:pPr>
                      <w:rPr>
                        <w:rFonts w:ascii="Arial" w:hAnsi="Arial" w:cs="Arial"/>
                        <w:sz w:val="60"/>
                        <w:szCs w:val="60"/>
                        <w:lang w:val="pl-PL"/>
                      </w:rPr>
                    </w:pPr>
                    <w:r>
                      <w:rPr>
                        <w:rFonts w:ascii="Arial" w:hAnsi="Arial" w:cs="Arial"/>
                        <w:sz w:val="60"/>
                        <w:szCs w:val="60"/>
                        <w:lang w:val="pl-PL"/>
                      </w:rPr>
                      <w:t>News release</w:t>
                    </w:r>
                  </w:p>
                </w:txbxContent>
              </v:textbox>
            </v:shape>
          </w:pict>
        </mc:Fallback>
      </mc:AlternateContent>
    </w:r>
    <w:r w:rsidRPr="00293E5E">
      <w:rPr>
        <w:noProof/>
        <w:lang w:val="en-GB" w:eastAsia="en-GB"/>
      </w:rPr>
      <w:drawing>
        <wp:inline distT="0" distB="0" distL="0" distR="0" wp14:anchorId="23484714" wp14:editId="26DB7F18">
          <wp:extent cx="6832600" cy="1143000"/>
          <wp:effectExtent l="0" t="0" r="0" b="0"/>
          <wp:docPr id="15" name="Picture 13" descr="/Users/karakeough/Box Sync/2016/Brand/New Materials/Press Release/PR-Header-FINAL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/Users/karakeough/Box Sync/2016/Brand/New Materials/Press Release/PR-Header-FINAL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26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A401CD"/>
    <w:multiLevelType w:val="hybridMultilevel"/>
    <w:tmpl w:val="053C2168"/>
    <w:lvl w:ilvl="0" w:tplc="A2EA7CBE">
      <w:start w:val="1"/>
      <w:numFmt w:val="bullet"/>
      <w:lvlText w:val="-"/>
      <w:lvlJc w:val="left"/>
      <w:pPr>
        <w:ind w:left="-207" w:hanging="360"/>
      </w:pPr>
      <w:rPr>
        <w:rFonts w:ascii="Source Sans Pro Light" w:eastAsia="DengXian" w:hAnsi="Source Sans Pro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 w15:restartNumberingAfterBreak="0">
    <w:nsid w:val="29A97656"/>
    <w:multiLevelType w:val="hybridMultilevel"/>
    <w:tmpl w:val="32F8A838"/>
    <w:lvl w:ilvl="0" w:tplc="414A35B8">
      <w:start w:val="1"/>
      <w:numFmt w:val="bullet"/>
      <w:lvlText w:val="-"/>
      <w:lvlJc w:val="left"/>
      <w:pPr>
        <w:ind w:left="420" w:hanging="360"/>
      </w:pPr>
      <w:rPr>
        <w:rFonts w:ascii="Source Sans Pro Light" w:eastAsia="DengXian" w:hAnsi="Source Sans Pro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708D330D"/>
    <w:multiLevelType w:val="hybridMultilevel"/>
    <w:tmpl w:val="224E6456"/>
    <w:lvl w:ilvl="0" w:tplc="2056DE34">
      <w:start w:val="1"/>
      <w:numFmt w:val="bullet"/>
      <w:lvlText w:val="-"/>
      <w:lvlJc w:val="left"/>
      <w:pPr>
        <w:ind w:left="780" w:hanging="360"/>
      </w:pPr>
      <w:rPr>
        <w:rFonts w:ascii="Source Sans Pro Light" w:eastAsia="DengXian" w:hAnsi="Source Sans Pro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20"/>
  <w:hyphenationZone w:val="425"/>
  <w:drawingGridHorizontalSpacing w:val="120"/>
  <w:drawingGridVerticalSpacing w:val="2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677"/>
    <w:rsid w:val="00000D47"/>
    <w:rsid w:val="0000251D"/>
    <w:rsid w:val="00012270"/>
    <w:rsid w:val="00015592"/>
    <w:rsid w:val="00024C2A"/>
    <w:rsid w:val="00025CD2"/>
    <w:rsid w:val="000308FD"/>
    <w:rsid w:val="000344FF"/>
    <w:rsid w:val="00050339"/>
    <w:rsid w:val="000564CE"/>
    <w:rsid w:val="0006533E"/>
    <w:rsid w:val="0007162E"/>
    <w:rsid w:val="00091829"/>
    <w:rsid w:val="0009239A"/>
    <w:rsid w:val="000B4184"/>
    <w:rsid w:val="000C0472"/>
    <w:rsid w:val="000C10E5"/>
    <w:rsid w:val="000D0DD1"/>
    <w:rsid w:val="000D0E54"/>
    <w:rsid w:val="000D3E2D"/>
    <w:rsid w:val="00133629"/>
    <w:rsid w:val="001459D5"/>
    <w:rsid w:val="00147D3A"/>
    <w:rsid w:val="00167340"/>
    <w:rsid w:val="001849D9"/>
    <w:rsid w:val="00190FC7"/>
    <w:rsid w:val="00197936"/>
    <w:rsid w:val="001A1FEC"/>
    <w:rsid w:val="001A3B70"/>
    <w:rsid w:val="001D0391"/>
    <w:rsid w:val="001D2051"/>
    <w:rsid w:val="001D3A6C"/>
    <w:rsid w:val="001F503F"/>
    <w:rsid w:val="00200C55"/>
    <w:rsid w:val="002057F2"/>
    <w:rsid w:val="0021394C"/>
    <w:rsid w:val="00220BE9"/>
    <w:rsid w:val="002266C5"/>
    <w:rsid w:val="002338A0"/>
    <w:rsid w:val="0023404A"/>
    <w:rsid w:val="00235C40"/>
    <w:rsid w:val="00236DE7"/>
    <w:rsid w:val="00254E3B"/>
    <w:rsid w:val="00260D09"/>
    <w:rsid w:val="00262153"/>
    <w:rsid w:val="0026745A"/>
    <w:rsid w:val="0027237B"/>
    <w:rsid w:val="0027627C"/>
    <w:rsid w:val="00297FB5"/>
    <w:rsid w:val="002B34DB"/>
    <w:rsid w:val="002C262B"/>
    <w:rsid w:val="002C5639"/>
    <w:rsid w:val="002D1584"/>
    <w:rsid w:val="002D2589"/>
    <w:rsid w:val="002D45D3"/>
    <w:rsid w:val="002E3D86"/>
    <w:rsid w:val="002E7A29"/>
    <w:rsid w:val="002F5585"/>
    <w:rsid w:val="00306DC9"/>
    <w:rsid w:val="003176FB"/>
    <w:rsid w:val="00322AFA"/>
    <w:rsid w:val="0032555B"/>
    <w:rsid w:val="00343889"/>
    <w:rsid w:val="003511B8"/>
    <w:rsid w:val="003513B4"/>
    <w:rsid w:val="00357013"/>
    <w:rsid w:val="00357434"/>
    <w:rsid w:val="003652D5"/>
    <w:rsid w:val="00372A5F"/>
    <w:rsid w:val="00376D46"/>
    <w:rsid w:val="00380732"/>
    <w:rsid w:val="00381292"/>
    <w:rsid w:val="003C7D5C"/>
    <w:rsid w:val="003D2359"/>
    <w:rsid w:val="003D439B"/>
    <w:rsid w:val="003D4E2F"/>
    <w:rsid w:val="003D736B"/>
    <w:rsid w:val="003D7680"/>
    <w:rsid w:val="003E19D9"/>
    <w:rsid w:val="003E60CB"/>
    <w:rsid w:val="003F08C7"/>
    <w:rsid w:val="003F26A4"/>
    <w:rsid w:val="0040529A"/>
    <w:rsid w:val="004104DD"/>
    <w:rsid w:val="00411242"/>
    <w:rsid w:val="00424E07"/>
    <w:rsid w:val="00435760"/>
    <w:rsid w:val="0043657C"/>
    <w:rsid w:val="00440C4B"/>
    <w:rsid w:val="00441B94"/>
    <w:rsid w:val="00444F24"/>
    <w:rsid w:val="00446229"/>
    <w:rsid w:val="0045426F"/>
    <w:rsid w:val="00470BCB"/>
    <w:rsid w:val="0047414E"/>
    <w:rsid w:val="00474AA1"/>
    <w:rsid w:val="0049163F"/>
    <w:rsid w:val="00491CD5"/>
    <w:rsid w:val="004921CA"/>
    <w:rsid w:val="00494CF2"/>
    <w:rsid w:val="004A18CB"/>
    <w:rsid w:val="004A1C1B"/>
    <w:rsid w:val="004A5E59"/>
    <w:rsid w:val="004D55C3"/>
    <w:rsid w:val="004D5A28"/>
    <w:rsid w:val="004E2923"/>
    <w:rsid w:val="004E67D7"/>
    <w:rsid w:val="004F2755"/>
    <w:rsid w:val="00527539"/>
    <w:rsid w:val="00530DDC"/>
    <w:rsid w:val="00531F81"/>
    <w:rsid w:val="0053633B"/>
    <w:rsid w:val="00540A13"/>
    <w:rsid w:val="0055528B"/>
    <w:rsid w:val="005674C6"/>
    <w:rsid w:val="0057012F"/>
    <w:rsid w:val="00576FAA"/>
    <w:rsid w:val="00587FD9"/>
    <w:rsid w:val="00594D96"/>
    <w:rsid w:val="005B5677"/>
    <w:rsid w:val="005B67A1"/>
    <w:rsid w:val="005B6E25"/>
    <w:rsid w:val="005D4B87"/>
    <w:rsid w:val="005E126D"/>
    <w:rsid w:val="005E459E"/>
    <w:rsid w:val="00621CCA"/>
    <w:rsid w:val="0063438F"/>
    <w:rsid w:val="00641D78"/>
    <w:rsid w:val="00643C3A"/>
    <w:rsid w:val="00645FAF"/>
    <w:rsid w:val="0065252C"/>
    <w:rsid w:val="00656027"/>
    <w:rsid w:val="00664D5F"/>
    <w:rsid w:val="0067327A"/>
    <w:rsid w:val="00675F94"/>
    <w:rsid w:val="00684933"/>
    <w:rsid w:val="00691ACF"/>
    <w:rsid w:val="006B740F"/>
    <w:rsid w:val="006C3FF6"/>
    <w:rsid w:val="006C7B43"/>
    <w:rsid w:val="006D5A66"/>
    <w:rsid w:val="006E65E6"/>
    <w:rsid w:val="00704A7D"/>
    <w:rsid w:val="0070516A"/>
    <w:rsid w:val="00705D5E"/>
    <w:rsid w:val="00711ED1"/>
    <w:rsid w:val="007149B5"/>
    <w:rsid w:val="00716F27"/>
    <w:rsid w:val="0072519C"/>
    <w:rsid w:val="0072618F"/>
    <w:rsid w:val="007333F6"/>
    <w:rsid w:val="00734525"/>
    <w:rsid w:val="007647BF"/>
    <w:rsid w:val="00764856"/>
    <w:rsid w:val="007659A8"/>
    <w:rsid w:val="00772C53"/>
    <w:rsid w:val="007740A7"/>
    <w:rsid w:val="00776950"/>
    <w:rsid w:val="007B116F"/>
    <w:rsid w:val="007B1B1E"/>
    <w:rsid w:val="007B7881"/>
    <w:rsid w:val="007E0154"/>
    <w:rsid w:val="007F43C6"/>
    <w:rsid w:val="00804B7A"/>
    <w:rsid w:val="0081657F"/>
    <w:rsid w:val="008274AD"/>
    <w:rsid w:val="0084082C"/>
    <w:rsid w:val="008656D6"/>
    <w:rsid w:val="00870285"/>
    <w:rsid w:val="00891FAD"/>
    <w:rsid w:val="008937A2"/>
    <w:rsid w:val="008A224C"/>
    <w:rsid w:val="008A530F"/>
    <w:rsid w:val="008B3AF6"/>
    <w:rsid w:val="008D6883"/>
    <w:rsid w:val="008D7F14"/>
    <w:rsid w:val="008E0FD2"/>
    <w:rsid w:val="008E64D3"/>
    <w:rsid w:val="008E7BF9"/>
    <w:rsid w:val="009005C6"/>
    <w:rsid w:val="009011CD"/>
    <w:rsid w:val="00906F87"/>
    <w:rsid w:val="00911B91"/>
    <w:rsid w:val="00917332"/>
    <w:rsid w:val="00924730"/>
    <w:rsid w:val="00947B7F"/>
    <w:rsid w:val="009561BF"/>
    <w:rsid w:val="00966D93"/>
    <w:rsid w:val="00972494"/>
    <w:rsid w:val="00974E65"/>
    <w:rsid w:val="00975180"/>
    <w:rsid w:val="0097664B"/>
    <w:rsid w:val="00977264"/>
    <w:rsid w:val="0099772C"/>
    <w:rsid w:val="009A1051"/>
    <w:rsid w:val="009A1507"/>
    <w:rsid w:val="009A2469"/>
    <w:rsid w:val="009B306D"/>
    <w:rsid w:val="009B77CD"/>
    <w:rsid w:val="009D0B71"/>
    <w:rsid w:val="009D33FF"/>
    <w:rsid w:val="009E0CA6"/>
    <w:rsid w:val="009E6A30"/>
    <w:rsid w:val="009F229D"/>
    <w:rsid w:val="00A00ED1"/>
    <w:rsid w:val="00A14363"/>
    <w:rsid w:val="00A155E9"/>
    <w:rsid w:val="00A30C25"/>
    <w:rsid w:val="00A35437"/>
    <w:rsid w:val="00A45591"/>
    <w:rsid w:val="00A658F6"/>
    <w:rsid w:val="00A80D19"/>
    <w:rsid w:val="00A9047D"/>
    <w:rsid w:val="00A93436"/>
    <w:rsid w:val="00AA26F8"/>
    <w:rsid w:val="00AA6FE9"/>
    <w:rsid w:val="00AB37E9"/>
    <w:rsid w:val="00AD0D5D"/>
    <w:rsid w:val="00AD1C04"/>
    <w:rsid w:val="00AE2524"/>
    <w:rsid w:val="00AE3E1D"/>
    <w:rsid w:val="00AF5D76"/>
    <w:rsid w:val="00B00171"/>
    <w:rsid w:val="00B04A5A"/>
    <w:rsid w:val="00B12CB3"/>
    <w:rsid w:val="00B16799"/>
    <w:rsid w:val="00B305A2"/>
    <w:rsid w:val="00B32431"/>
    <w:rsid w:val="00B42228"/>
    <w:rsid w:val="00B43683"/>
    <w:rsid w:val="00B47322"/>
    <w:rsid w:val="00B612EF"/>
    <w:rsid w:val="00B61CEA"/>
    <w:rsid w:val="00B72A6D"/>
    <w:rsid w:val="00B74112"/>
    <w:rsid w:val="00B744AA"/>
    <w:rsid w:val="00B84733"/>
    <w:rsid w:val="00B9500E"/>
    <w:rsid w:val="00B95548"/>
    <w:rsid w:val="00B96035"/>
    <w:rsid w:val="00BA0AD6"/>
    <w:rsid w:val="00BB4796"/>
    <w:rsid w:val="00BC08E0"/>
    <w:rsid w:val="00BC15FE"/>
    <w:rsid w:val="00BF41AF"/>
    <w:rsid w:val="00BF4F81"/>
    <w:rsid w:val="00BF7FF7"/>
    <w:rsid w:val="00C0535F"/>
    <w:rsid w:val="00C101A2"/>
    <w:rsid w:val="00C21EC1"/>
    <w:rsid w:val="00C26672"/>
    <w:rsid w:val="00C3411A"/>
    <w:rsid w:val="00C34B36"/>
    <w:rsid w:val="00C40EC8"/>
    <w:rsid w:val="00C41095"/>
    <w:rsid w:val="00C42E4C"/>
    <w:rsid w:val="00C50C0F"/>
    <w:rsid w:val="00C56C79"/>
    <w:rsid w:val="00C57B81"/>
    <w:rsid w:val="00C63D43"/>
    <w:rsid w:val="00C75AEE"/>
    <w:rsid w:val="00C775BB"/>
    <w:rsid w:val="00C8131A"/>
    <w:rsid w:val="00C81EBC"/>
    <w:rsid w:val="00C828D3"/>
    <w:rsid w:val="00CB4B12"/>
    <w:rsid w:val="00CC64C6"/>
    <w:rsid w:val="00CC7E45"/>
    <w:rsid w:val="00CD0979"/>
    <w:rsid w:val="00CD2144"/>
    <w:rsid w:val="00CD56AB"/>
    <w:rsid w:val="00CE2B51"/>
    <w:rsid w:val="00CE5499"/>
    <w:rsid w:val="00CE670A"/>
    <w:rsid w:val="00CF03DD"/>
    <w:rsid w:val="00CF2B77"/>
    <w:rsid w:val="00D01BE1"/>
    <w:rsid w:val="00D03841"/>
    <w:rsid w:val="00D1116E"/>
    <w:rsid w:val="00D15181"/>
    <w:rsid w:val="00D335E9"/>
    <w:rsid w:val="00D463D2"/>
    <w:rsid w:val="00D5237E"/>
    <w:rsid w:val="00D52950"/>
    <w:rsid w:val="00D810BC"/>
    <w:rsid w:val="00D94774"/>
    <w:rsid w:val="00DA26A7"/>
    <w:rsid w:val="00DA3B35"/>
    <w:rsid w:val="00DA42C9"/>
    <w:rsid w:val="00DA477A"/>
    <w:rsid w:val="00DA5AFA"/>
    <w:rsid w:val="00DB33CD"/>
    <w:rsid w:val="00DB36F7"/>
    <w:rsid w:val="00DC3002"/>
    <w:rsid w:val="00DD6674"/>
    <w:rsid w:val="00DE0C73"/>
    <w:rsid w:val="00DF3204"/>
    <w:rsid w:val="00DF44A7"/>
    <w:rsid w:val="00E009C5"/>
    <w:rsid w:val="00E02EB2"/>
    <w:rsid w:val="00E12598"/>
    <w:rsid w:val="00E14999"/>
    <w:rsid w:val="00E26D22"/>
    <w:rsid w:val="00E31071"/>
    <w:rsid w:val="00E35E75"/>
    <w:rsid w:val="00E40E8C"/>
    <w:rsid w:val="00E50A6B"/>
    <w:rsid w:val="00E51843"/>
    <w:rsid w:val="00E5579C"/>
    <w:rsid w:val="00E64853"/>
    <w:rsid w:val="00E66E16"/>
    <w:rsid w:val="00E77B81"/>
    <w:rsid w:val="00E847A1"/>
    <w:rsid w:val="00E94025"/>
    <w:rsid w:val="00E9567A"/>
    <w:rsid w:val="00EA0C62"/>
    <w:rsid w:val="00EA269F"/>
    <w:rsid w:val="00EA5D90"/>
    <w:rsid w:val="00EB06EE"/>
    <w:rsid w:val="00EB0ECB"/>
    <w:rsid w:val="00EB1992"/>
    <w:rsid w:val="00EC73E4"/>
    <w:rsid w:val="00F01B31"/>
    <w:rsid w:val="00F03C9B"/>
    <w:rsid w:val="00F06964"/>
    <w:rsid w:val="00F104B7"/>
    <w:rsid w:val="00F12B14"/>
    <w:rsid w:val="00F1698D"/>
    <w:rsid w:val="00F22218"/>
    <w:rsid w:val="00F30A2E"/>
    <w:rsid w:val="00F4382B"/>
    <w:rsid w:val="00F53893"/>
    <w:rsid w:val="00F54295"/>
    <w:rsid w:val="00F54C7A"/>
    <w:rsid w:val="00F653BE"/>
    <w:rsid w:val="00F826DC"/>
    <w:rsid w:val="00F85A95"/>
    <w:rsid w:val="00F97188"/>
    <w:rsid w:val="00F97B9C"/>
    <w:rsid w:val="00FA5C59"/>
    <w:rsid w:val="00FA7F6E"/>
    <w:rsid w:val="00FB1783"/>
    <w:rsid w:val="00FB42F9"/>
    <w:rsid w:val="00FC3FA8"/>
    <w:rsid w:val="00FE5C6E"/>
    <w:rsid w:val="00FF4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3B9A38"/>
  <w15:docId w15:val="{E8AC0ECF-D5B3-4F59-B6FD-B71D0E469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DengXia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5D9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426F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426F"/>
  </w:style>
  <w:style w:type="paragraph" w:styleId="Stopka">
    <w:name w:val="footer"/>
    <w:basedOn w:val="Normalny"/>
    <w:link w:val="StopkaZnak"/>
    <w:uiPriority w:val="99"/>
    <w:unhideWhenUsed/>
    <w:rsid w:val="0045426F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426F"/>
  </w:style>
  <w:style w:type="paragraph" w:customStyle="1" w:styleId="PressRelease-Heading">
    <w:name w:val="Press Release-Heading"/>
    <w:basedOn w:val="Normalny"/>
    <w:qFormat/>
    <w:rsid w:val="00AB37E9"/>
    <w:pPr>
      <w:ind w:left="-567" w:right="-619"/>
    </w:pPr>
    <w:rPr>
      <w:rFonts w:ascii="Source Sans Pro SemiBold" w:hAnsi="Source Sans Pro SemiBold"/>
      <w:b/>
      <w:bCs/>
      <w:sz w:val="32"/>
    </w:rPr>
  </w:style>
  <w:style w:type="paragraph" w:customStyle="1" w:styleId="PressRelease-Subhead">
    <w:name w:val="Press Release-Subhead"/>
    <w:basedOn w:val="Normalny"/>
    <w:qFormat/>
    <w:rsid w:val="0045426F"/>
    <w:pPr>
      <w:spacing w:before="120"/>
      <w:ind w:left="-567" w:right="-618"/>
    </w:pPr>
    <w:rPr>
      <w:rFonts w:ascii="Times New Roman" w:hAnsi="Times New Roman"/>
      <w:i/>
      <w:iCs/>
      <w:sz w:val="28"/>
    </w:rPr>
  </w:style>
  <w:style w:type="paragraph" w:customStyle="1" w:styleId="City">
    <w:name w:val="City"/>
    <w:basedOn w:val="Normalny"/>
    <w:qFormat/>
    <w:rsid w:val="0063438F"/>
    <w:pPr>
      <w:spacing w:before="120"/>
      <w:ind w:left="-567" w:right="-618"/>
    </w:pPr>
    <w:rPr>
      <w:rFonts w:ascii="Source Sans Pro" w:hAnsi="Source Sans Pro"/>
      <w:sz w:val="28"/>
    </w:rPr>
  </w:style>
  <w:style w:type="paragraph" w:customStyle="1" w:styleId="BodyCopy">
    <w:name w:val="Body Copy"/>
    <w:basedOn w:val="Normalny"/>
    <w:qFormat/>
    <w:rsid w:val="0063438F"/>
    <w:pPr>
      <w:spacing w:before="120"/>
      <w:ind w:left="-567" w:right="-618"/>
    </w:pPr>
    <w:rPr>
      <w:rFonts w:ascii="Source Sans Pro Light" w:hAnsi="Source Sans Pro Light"/>
      <w:sz w:val="28"/>
    </w:rPr>
  </w:style>
  <w:style w:type="paragraph" w:customStyle="1" w:styleId="PressRelease-Body">
    <w:name w:val="Press Release-Body"/>
    <w:basedOn w:val="Normalny"/>
    <w:qFormat/>
    <w:rsid w:val="00AB37E9"/>
    <w:pPr>
      <w:spacing w:before="120"/>
      <w:ind w:left="-567" w:right="-618"/>
    </w:pPr>
    <w:rPr>
      <w:rFonts w:ascii="Source Sans Pro Light" w:hAnsi="Source Sans Pro Light"/>
      <w:sz w:val="22"/>
    </w:rPr>
  </w:style>
  <w:style w:type="paragraph" w:customStyle="1" w:styleId="PressRelease-City">
    <w:name w:val="Press Release-City"/>
    <w:basedOn w:val="Normalny"/>
    <w:qFormat/>
    <w:rsid w:val="002C262B"/>
    <w:pPr>
      <w:spacing w:before="120"/>
      <w:ind w:left="-567" w:right="-618"/>
    </w:pPr>
    <w:rPr>
      <w:rFonts w:ascii="Source Sans Pro" w:hAnsi="Source Sans Pro"/>
      <w:sz w:val="28"/>
    </w:rPr>
  </w:style>
  <w:style w:type="character" w:styleId="Hipercze">
    <w:name w:val="Hyperlink"/>
    <w:uiPriority w:val="99"/>
    <w:unhideWhenUsed/>
    <w:rsid w:val="00AB37E9"/>
    <w:rPr>
      <w:color w:val="0000FF"/>
      <w:u w:val="single"/>
    </w:rPr>
  </w:style>
  <w:style w:type="paragraph" w:customStyle="1" w:styleId="PressRelease-Boilerplate">
    <w:name w:val="Press Release-Boilerplate"/>
    <w:basedOn w:val="Normalny"/>
    <w:qFormat/>
    <w:rsid w:val="00AB37E9"/>
    <w:pPr>
      <w:ind w:left="-567" w:right="-619"/>
    </w:pPr>
    <w:rPr>
      <w:rFonts w:ascii="Source Sans Pro Light" w:eastAsia="Times New Roman" w:hAnsi="Source Sans Pro Light" w:cs="Arial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AB37E9"/>
    <w:pPr>
      <w:ind w:left="720"/>
      <w:contextualSpacing/>
    </w:pPr>
  </w:style>
  <w:style w:type="table" w:styleId="Tabela-Siatka">
    <w:name w:val="Table Grid"/>
    <w:basedOn w:val="Standardowy"/>
    <w:uiPriority w:val="39"/>
    <w:rsid w:val="00734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D33FF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33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D33F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D33F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33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33F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33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33FF"/>
    <w:rPr>
      <w:rFonts w:ascii="Segoe UI" w:hAnsi="Segoe UI" w:cs="Segoe UI"/>
      <w:sz w:val="18"/>
      <w:szCs w:val="18"/>
    </w:rPr>
  </w:style>
  <w:style w:type="table" w:customStyle="1" w:styleId="ListTable4-Accent11">
    <w:name w:val="List Table 4 - Accent 11"/>
    <w:basedOn w:val="Standardowy"/>
    <w:uiPriority w:val="49"/>
    <w:rsid w:val="00B04A5A"/>
    <w:rPr>
      <w:rFonts w:ascii="Times New Roman" w:eastAsia="Times New Roman" w:hAnsi="Times New Roman"/>
      <w:lang w:eastAsia="en-US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0613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D9D9" w:themeFill="background1" w:themeFillShade="D9"/>
      </w:tcPr>
    </w:tblStylePr>
    <w:tblStylePr w:type="band2Horz">
      <w:tblPr/>
      <w:tcPr>
        <w:shd w:val="clear" w:color="auto" w:fill="FFFFFF" w:themeFill="background1"/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745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745A"/>
  </w:style>
  <w:style w:type="character" w:styleId="Odwoanieprzypisudolnego">
    <w:name w:val="footnote reference"/>
    <w:basedOn w:val="Domylnaczcionkaakapitu"/>
    <w:uiPriority w:val="99"/>
    <w:semiHidden/>
    <w:unhideWhenUsed/>
    <w:rsid w:val="0026745A"/>
    <w:rPr>
      <w:vertAlign w:val="superscript"/>
    </w:rPr>
  </w:style>
  <w:style w:type="paragraph" w:customStyle="1" w:styleId="REPORTTEXT">
    <w:name w:val="REPORT TEXT"/>
    <w:basedOn w:val="Normalny"/>
    <w:link w:val="REPORTTEXTChar"/>
    <w:uiPriority w:val="1"/>
    <w:qFormat/>
    <w:rsid w:val="005E126D"/>
    <w:pPr>
      <w:widowControl w:val="0"/>
      <w:autoSpaceDE w:val="0"/>
      <w:autoSpaceDN w:val="0"/>
    </w:pPr>
    <w:rPr>
      <w:rFonts w:ascii="Source Sans Pro Light" w:eastAsia="Source Sans Pro Light" w:hAnsi="Source Sans Pro Light" w:cs="Source Sans Pro Light"/>
      <w:color w:val="231F20"/>
      <w:spacing w:val="-2"/>
      <w:sz w:val="18"/>
      <w:szCs w:val="22"/>
      <w:lang w:eastAsia="en-US"/>
    </w:rPr>
  </w:style>
  <w:style w:type="character" w:customStyle="1" w:styleId="REPORTTEXTChar">
    <w:name w:val="REPORT TEXT Char"/>
    <w:basedOn w:val="Domylnaczcionkaakapitu"/>
    <w:link w:val="REPORTTEXT"/>
    <w:uiPriority w:val="1"/>
    <w:rsid w:val="005E126D"/>
    <w:rPr>
      <w:rFonts w:ascii="Source Sans Pro Light" w:eastAsia="Source Sans Pro Light" w:hAnsi="Source Sans Pro Light" w:cs="Source Sans Pro Light"/>
      <w:color w:val="231F20"/>
      <w:spacing w:val="-2"/>
      <w:sz w:val="18"/>
      <w:szCs w:val="22"/>
      <w:lang w:eastAsia="en-US"/>
    </w:rPr>
  </w:style>
  <w:style w:type="paragraph" w:customStyle="1" w:styleId="Default">
    <w:name w:val="Default"/>
    <w:rsid w:val="00587FD9"/>
    <w:pPr>
      <w:autoSpaceDE w:val="0"/>
      <w:autoSpaceDN w:val="0"/>
      <w:adjustRightInd w:val="0"/>
    </w:pPr>
    <w:rPr>
      <w:rFonts w:ascii="Source Sans Pro" w:hAnsi="Source Sans Pro" w:cs="Source Sans Pro"/>
      <w:color w:val="000000"/>
      <w:sz w:val="24"/>
      <w:szCs w:val="24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1B9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1B94"/>
  </w:style>
  <w:style w:type="character" w:styleId="Odwoanieprzypisukocowego">
    <w:name w:val="endnote reference"/>
    <w:basedOn w:val="Domylnaczcionkaakapitu"/>
    <w:uiPriority w:val="99"/>
    <w:semiHidden/>
    <w:unhideWhenUsed/>
    <w:rsid w:val="00441B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gnieszka.ratajczyk@linkleaders.p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nna.podolak@eu.jll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jll.com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sa.bustos\AppData\Local\Temp\wz6bec\JLL-Global-NewsReleas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28FD4AF5002B43A21702C2338CB095" ma:contentTypeVersion="13" ma:contentTypeDescription="Create a new document." ma:contentTypeScope="" ma:versionID="2a3fc2f2d5397e96ce74e7276619cb31">
  <xsd:schema xmlns:xsd="http://www.w3.org/2001/XMLSchema" xmlns:xs="http://www.w3.org/2001/XMLSchema" xmlns:p="http://schemas.microsoft.com/office/2006/metadata/properties" xmlns:ns3="c007fd3d-931a-4b53-a78d-9d1ad45c6c6d" xmlns:ns4="18a10087-571d-4794-850a-3a7377fcaf1b" targetNamespace="http://schemas.microsoft.com/office/2006/metadata/properties" ma:root="true" ma:fieldsID="5d40e90990ecb1dff88604a0cf4ab558" ns3:_="" ns4:_="">
    <xsd:import namespace="c007fd3d-931a-4b53-a78d-9d1ad45c6c6d"/>
    <xsd:import namespace="18a10087-571d-4794-850a-3a7377fcaf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07fd3d-931a-4b53-a78d-9d1ad45c6c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a10087-571d-4794-850a-3a7377fcaf1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F4FC32-5242-4ABF-93E2-76EEAF271A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858F6A-5E4B-4F68-A0BC-B048198AE65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B1C412E-B490-4D9B-A802-5AED210C45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07fd3d-931a-4b53-a78d-9d1ad45c6c6d"/>
    <ds:schemaRef ds:uri="18a10087-571d-4794-850a-3a7377fca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E8D6135-95A7-43BA-95EC-59E98012C72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JLL-Global-NewsRelease</Template>
  <TotalTime>17</TotalTime>
  <Pages>2</Pages>
  <Words>762</Words>
  <Characters>4577</Characters>
  <Application>Microsoft Office Word</Application>
  <DocSecurity>0</DocSecurity>
  <Lines>38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JLL</Company>
  <LinksUpToDate>false</LinksUpToDate>
  <CharactersWithSpaces>5329</CharactersWithSpaces>
  <SharedDoc>false</SharedDoc>
  <HLinks>
    <vt:vector size="12" baseType="variant">
      <vt:variant>
        <vt:i4>2097256</vt:i4>
      </vt:variant>
      <vt:variant>
        <vt:i4>3</vt:i4>
      </vt:variant>
      <vt:variant>
        <vt:i4>0</vt:i4>
      </vt:variant>
      <vt:variant>
        <vt:i4>5</vt:i4>
      </vt:variant>
      <vt:variant>
        <vt:lpwstr>mailto:Full.Name@ap.jll.com</vt:lpwstr>
      </vt:variant>
      <vt:variant>
        <vt:lpwstr/>
      </vt:variant>
      <vt:variant>
        <vt:i4>2293842</vt:i4>
      </vt:variant>
      <vt:variant>
        <vt:i4>0</vt:i4>
      </vt:variant>
      <vt:variant>
        <vt:i4>0</vt:i4>
      </vt:variant>
      <vt:variant>
        <vt:i4>5</vt:i4>
      </vt:variant>
      <vt:variant>
        <vt:lpwstr>http://www.jll.com/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 Bustos</dc:creator>
  <cp:lastModifiedBy>LL-005@linkleader.onmicrosoft.com</cp:lastModifiedBy>
  <cp:revision>5</cp:revision>
  <cp:lastPrinted>2019-05-13T09:33:00Z</cp:lastPrinted>
  <dcterms:created xsi:type="dcterms:W3CDTF">2020-11-20T10:09:00Z</dcterms:created>
  <dcterms:modified xsi:type="dcterms:W3CDTF">2020-11-20T12:18:00Z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0x0101005528FD4AF5002B43A21702C2338CB095</vt:lpwstr>
  </property>
</Properties>
</file>