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B1C03" w14:textId="77777777" w:rsidR="00B25174" w:rsidRPr="00B25174" w:rsidRDefault="00B25174" w:rsidP="00B25174">
      <w:pPr>
        <w:spacing w:line="240" w:lineRule="auto"/>
        <w:ind w:leftChars="0" w:left="0"/>
        <w:contextualSpacing/>
        <w:jc w:val="center"/>
        <w:rPr>
          <w:rFonts w:ascii="Tahoma" w:eastAsia="STXihei" w:hAnsi="Tahoma" w:cs="Tahoma"/>
          <w:b/>
          <w:bCs/>
          <w:sz w:val="24"/>
          <w:szCs w:val="24"/>
          <w:lang w:val="pl-PL"/>
        </w:rPr>
      </w:pPr>
    </w:p>
    <w:p w14:paraId="43AF82BA" w14:textId="77777777" w:rsidR="00DA55F3" w:rsidRDefault="00DA55F3" w:rsidP="00DE0B5B">
      <w:pPr>
        <w:spacing w:line="240" w:lineRule="auto"/>
        <w:ind w:leftChars="0" w:left="0"/>
        <w:jc w:val="center"/>
        <w:rPr>
          <w:rFonts w:ascii="Tahoma" w:eastAsia="STXihei" w:hAnsi="Tahoma" w:cs="Tahoma"/>
          <w:b/>
          <w:sz w:val="28"/>
          <w:szCs w:val="22"/>
          <w:lang w:val="pl-PL"/>
        </w:rPr>
      </w:pPr>
    </w:p>
    <w:p w14:paraId="729CCAED" w14:textId="2F1E97BA" w:rsidR="00DE0B5B" w:rsidRPr="004556CF" w:rsidRDefault="00DE0B5B" w:rsidP="00DE0B5B">
      <w:pPr>
        <w:spacing w:line="240" w:lineRule="auto"/>
        <w:ind w:leftChars="0" w:left="0"/>
        <w:jc w:val="center"/>
        <w:rPr>
          <w:rFonts w:ascii="Tahoma" w:eastAsia="STXihei" w:hAnsi="Tahoma" w:cs="Tahoma"/>
          <w:b/>
          <w:sz w:val="28"/>
          <w:szCs w:val="22"/>
          <w:lang w:val="pl-PL"/>
        </w:rPr>
      </w:pPr>
      <w:r w:rsidRPr="004556CF">
        <w:rPr>
          <w:rFonts w:ascii="Tahoma" w:eastAsia="STXihei" w:hAnsi="Tahoma" w:cs="Tahoma"/>
          <w:b/>
          <w:sz w:val="28"/>
          <w:szCs w:val="22"/>
          <w:lang w:val="pl-PL"/>
        </w:rPr>
        <w:t>Wykluczenie Huawei z 5G to niemal 44 mld zł strat dla polskiej gospodarki</w:t>
      </w:r>
    </w:p>
    <w:p w14:paraId="17299890" w14:textId="77777777" w:rsidR="00DE0B5B" w:rsidRDefault="00DE0B5B" w:rsidP="00B25174">
      <w:pPr>
        <w:spacing w:line="240" w:lineRule="auto"/>
        <w:ind w:leftChars="0" w:left="0"/>
        <w:jc w:val="both"/>
        <w:rPr>
          <w:rFonts w:ascii="Tahoma" w:eastAsia="STXihei" w:hAnsi="Tahoma" w:cs="Tahoma"/>
          <w:b/>
          <w:sz w:val="22"/>
          <w:szCs w:val="22"/>
          <w:lang w:val="pl-PL"/>
        </w:rPr>
      </w:pPr>
    </w:p>
    <w:p w14:paraId="5A38FB14" w14:textId="1F2630C4" w:rsidR="00B25174" w:rsidRPr="00B25174" w:rsidRDefault="00B25174" w:rsidP="00B25174">
      <w:pPr>
        <w:spacing w:line="240" w:lineRule="auto"/>
        <w:ind w:leftChars="0" w:left="0"/>
        <w:jc w:val="both"/>
        <w:rPr>
          <w:rFonts w:ascii="Tahoma" w:eastAsia="STXihei" w:hAnsi="Tahoma" w:cs="Tahoma"/>
          <w:b/>
          <w:sz w:val="22"/>
          <w:szCs w:val="22"/>
          <w:lang w:val="pl-PL"/>
        </w:rPr>
      </w:pPr>
      <w:r w:rsidRPr="00B25174">
        <w:rPr>
          <w:rFonts w:ascii="Tahoma" w:eastAsia="STXihei" w:hAnsi="Tahoma" w:cs="Tahoma"/>
          <w:b/>
          <w:sz w:val="22"/>
          <w:szCs w:val="22"/>
          <w:lang w:val="pl-PL"/>
        </w:rPr>
        <w:t xml:space="preserve">Wzrost cen na rynku telekomunikacyjnym, opóźnienia, spadek innowacyjności oraz możliwe spory prawne – takie mogą być skutki wykluczenia Huawei z budowy 5G w Polsce. Jak pokazuje raport przygotowany przez firmę </w:t>
      </w:r>
      <w:proofErr w:type="spellStart"/>
      <w:r w:rsidRPr="00B25174">
        <w:rPr>
          <w:rFonts w:ascii="Tahoma" w:eastAsia="STXihei" w:hAnsi="Tahoma" w:cs="Tahoma"/>
          <w:b/>
          <w:sz w:val="22"/>
          <w:szCs w:val="22"/>
          <w:lang w:val="pl-PL"/>
        </w:rPr>
        <w:t>Audytel</w:t>
      </w:r>
      <w:proofErr w:type="spellEnd"/>
      <w:r w:rsidRPr="00B25174">
        <w:rPr>
          <w:rFonts w:ascii="Tahoma" w:eastAsia="STXihei" w:hAnsi="Tahoma" w:cs="Tahoma"/>
          <w:b/>
          <w:sz w:val="22"/>
          <w:szCs w:val="22"/>
          <w:lang w:val="pl-PL"/>
        </w:rPr>
        <w:t xml:space="preserve"> i kancelarię </w:t>
      </w:r>
      <w:proofErr w:type="spellStart"/>
      <w:r w:rsidRPr="00B25174">
        <w:rPr>
          <w:rFonts w:ascii="Tahoma" w:eastAsia="STXihei" w:hAnsi="Tahoma" w:cs="Tahoma"/>
          <w:b/>
          <w:sz w:val="22"/>
          <w:szCs w:val="22"/>
          <w:lang w:val="pl-PL"/>
        </w:rPr>
        <w:t>Dentons</w:t>
      </w:r>
      <w:proofErr w:type="spellEnd"/>
      <w:r w:rsidRPr="00B25174">
        <w:rPr>
          <w:rFonts w:ascii="Tahoma" w:eastAsia="STXihei" w:hAnsi="Tahoma" w:cs="Tahoma"/>
          <w:b/>
          <w:sz w:val="22"/>
          <w:szCs w:val="22"/>
          <w:lang w:val="pl-PL"/>
        </w:rPr>
        <w:t xml:space="preserve">, łączna strata dla polskiej branży telekomunikacyjnej wyniesie niemal 15 mld zł w ciągu 5 lat. Dla całej polskiej gospodarki będą to straty sięgające ponad 40 mld złotych. </w:t>
      </w:r>
    </w:p>
    <w:p w14:paraId="54C24191" w14:textId="66750241" w:rsidR="008A7551" w:rsidRDefault="008A7551" w:rsidP="007E549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472A2CCB" w14:textId="4315BC84" w:rsidR="00B25174" w:rsidRDefault="00B25174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>
        <w:rPr>
          <w:rFonts w:ascii="Tahoma" w:eastAsia="STXihei" w:hAnsi="Tahoma" w:cs="Tahoma"/>
          <w:sz w:val="22"/>
          <w:szCs w:val="22"/>
          <w:lang w:val="pl-PL"/>
        </w:rPr>
        <w:t>P</w:t>
      </w:r>
      <w:r w:rsidRPr="00B25174">
        <w:rPr>
          <w:rFonts w:ascii="Tahoma" w:eastAsia="STXihei" w:hAnsi="Tahoma" w:cs="Tahoma"/>
          <w:sz w:val="22"/>
          <w:szCs w:val="22"/>
          <w:lang w:val="pl-PL"/>
        </w:rPr>
        <w:t xml:space="preserve">olskie </w:t>
      </w:r>
      <w:r w:rsidR="00E51556" w:rsidRPr="00B25174">
        <w:rPr>
          <w:rFonts w:ascii="Tahoma" w:eastAsia="STXihei" w:hAnsi="Tahoma" w:cs="Tahoma"/>
          <w:sz w:val="22"/>
          <w:szCs w:val="22"/>
          <w:lang w:val="pl-PL"/>
        </w:rPr>
        <w:t>władz</w:t>
      </w:r>
      <w:r w:rsidR="00E51556">
        <w:rPr>
          <w:rFonts w:ascii="Tahoma" w:eastAsia="STXihei" w:hAnsi="Tahoma" w:cs="Tahoma"/>
          <w:sz w:val="22"/>
          <w:szCs w:val="22"/>
          <w:lang w:val="pl-PL"/>
        </w:rPr>
        <w:t>e</w:t>
      </w:r>
      <w:r w:rsidR="00E51556" w:rsidRPr="00B25174">
        <w:rPr>
          <w:rFonts w:ascii="Tahoma" w:eastAsia="STXihei" w:hAnsi="Tahoma" w:cs="Tahoma"/>
          <w:sz w:val="22"/>
          <w:szCs w:val="22"/>
          <w:lang w:val="pl-PL"/>
        </w:rPr>
        <w:t xml:space="preserve"> </w:t>
      </w:r>
      <w:r w:rsidRPr="00B25174">
        <w:rPr>
          <w:rFonts w:ascii="Tahoma" w:eastAsia="STXihei" w:hAnsi="Tahoma" w:cs="Tahoma"/>
          <w:sz w:val="22"/>
          <w:szCs w:val="22"/>
          <w:lang w:val="pl-PL"/>
        </w:rPr>
        <w:t xml:space="preserve">opublikowały 20 stycznia 2021 r. poprawiony projekt Ustawy o Krajowym Systemie </w:t>
      </w:r>
      <w:proofErr w:type="spellStart"/>
      <w:r w:rsidRPr="00B25174">
        <w:rPr>
          <w:rFonts w:ascii="Tahoma" w:eastAsia="STXihei" w:hAnsi="Tahoma" w:cs="Tahoma"/>
          <w:sz w:val="22"/>
          <w:szCs w:val="22"/>
          <w:lang w:val="pl-PL"/>
        </w:rPr>
        <w:t>Cyberbezpieczeństwa</w:t>
      </w:r>
      <w:proofErr w:type="spellEnd"/>
      <w:r w:rsidR="00E51556">
        <w:rPr>
          <w:rFonts w:ascii="Tahoma" w:eastAsia="STXihei" w:hAnsi="Tahoma" w:cs="Tahoma"/>
          <w:sz w:val="22"/>
          <w:szCs w:val="22"/>
          <w:lang w:val="pl-PL"/>
        </w:rPr>
        <w:t xml:space="preserve"> (KSC)</w:t>
      </w:r>
      <w:r w:rsidRPr="00B25174">
        <w:rPr>
          <w:rFonts w:ascii="Tahoma" w:eastAsia="STXihei" w:hAnsi="Tahoma" w:cs="Tahoma"/>
          <w:sz w:val="22"/>
          <w:szCs w:val="22"/>
          <w:lang w:val="pl-PL"/>
        </w:rPr>
        <w:t xml:space="preserve">. Mimo uwag ze strony przedstawicieli rynku telekomunikacyjnego obecna wersja ustawy nie uwzględniła szeregu propozycji rynkowych. Jednym z kluczowych rozwiązań, które zostało utrzymane, jest mocno arbitralna procedura oceny ryzyka dostawców sprzętu sieciowego. </w:t>
      </w:r>
    </w:p>
    <w:p w14:paraId="4A4EF986" w14:textId="77777777" w:rsidR="00B25174" w:rsidRPr="00B25174" w:rsidRDefault="00B25174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38053E37" w14:textId="33EDEFF7" w:rsidR="00B25174" w:rsidRDefault="00B25174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B25174">
        <w:rPr>
          <w:rFonts w:ascii="Tahoma" w:eastAsia="STXihei" w:hAnsi="Tahoma" w:cs="Tahoma"/>
          <w:sz w:val="22"/>
          <w:szCs w:val="22"/>
          <w:lang w:val="pl-PL"/>
        </w:rPr>
        <w:t xml:space="preserve">Jak wynika z najnowszego raportu „Prawne i ekonomiczne skutki ograniczenia konkurencji wśród dostawców sprzętu sieciowego 5G w Polsce”, przygotowanego przez firmy </w:t>
      </w:r>
      <w:proofErr w:type="spellStart"/>
      <w:r w:rsidRPr="00B25174">
        <w:rPr>
          <w:rFonts w:ascii="Tahoma" w:eastAsia="STXihei" w:hAnsi="Tahoma" w:cs="Tahoma"/>
          <w:sz w:val="22"/>
          <w:szCs w:val="22"/>
          <w:lang w:val="pl-PL"/>
        </w:rPr>
        <w:t>Audytel</w:t>
      </w:r>
      <w:proofErr w:type="spellEnd"/>
      <w:r w:rsidRPr="00B25174">
        <w:rPr>
          <w:rFonts w:ascii="Tahoma" w:eastAsia="STXihei" w:hAnsi="Tahoma" w:cs="Tahoma"/>
          <w:sz w:val="22"/>
          <w:szCs w:val="22"/>
          <w:lang w:val="pl-PL"/>
        </w:rPr>
        <w:t xml:space="preserve"> i </w:t>
      </w:r>
      <w:proofErr w:type="spellStart"/>
      <w:r w:rsidRPr="00B25174">
        <w:rPr>
          <w:rFonts w:ascii="Tahoma" w:eastAsia="STXihei" w:hAnsi="Tahoma" w:cs="Tahoma"/>
          <w:sz w:val="22"/>
          <w:szCs w:val="22"/>
          <w:lang w:val="pl-PL"/>
        </w:rPr>
        <w:t>Dentons</w:t>
      </w:r>
      <w:proofErr w:type="spellEnd"/>
      <w:r w:rsidRPr="00B25174">
        <w:rPr>
          <w:rFonts w:ascii="Tahoma" w:eastAsia="STXihei" w:hAnsi="Tahoma" w:cs="Tahoma"/>
          <w:sz w:val="22"/>
          <w:szCs w:val="22"/>
          <w:lang w:val="pl-PL"/>
        </w:rPr>
        <w:t xml:space="preserve"> na zlecenie Huawei, ustawa w obecnym kształcie może przynieść szereg strat finansowych dla rynku telekomunikacyjnego, konsumentów oraz całej polskiej gospodarki.  </w:t>
      </w:r>
    </w:p>
    <w:p w14:paraId="0A30005C" w14:textId="77777777" w:rsidR="00B25174" w:rsidRPr="00B25174" w:rsidRDefault="00B25174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3C308EFC" w14:textId="77777777" w:rsidR="00B25174" w:rsidRPr="00B25174" w:rsidRDefault="00B25174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/>
          <w:sz w:val="22"/>
          <w:szCs w:val="22"/>
          <w:lang w:val="pl-PL"/>
        </w:rPr>
      </w:pPr>
      <w:r w:rsidRPr="00B25174">
        <w:rPr>
          <w:rFonts w:ascii="Tahoma" w:eastAsia="STXihei" w:hAnsi="Tahoma" w:cs="Tahoma"/>
          <w:b/>
          <w:sz w:val="22"/>
          <w:szCs w:val="22"/>
          <w:lang w:val="pl-PL"/>
        </w:rPr>
        <w:t xml:space="preserve">Opóźnienie i wzrost cen </w:t>
      </w:r>
    </w:p>
    <w:p w14:paraId="6D500033" w14:textId="77777777" w:rsidR="00B25174" w:rsidRDefault="00B25174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2DEA2C92" w14:textId="27588422" w:rsidR="00B25174" w:rsidRDefault="00E51556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>
        <w:rPr>
          <w:rFonts w:ascii="Tahoma" w:eastAsia="STXihei" w:hAnsi="Tahoma" w:cs="Tahoma"/>
          <w:sz w:val="22"/>
          <w:szCs w:val="22"/>
          <w:lang w:val="pl-PL"/>
        </w:rPr>
        <w:t>Raport wskazuje</w:t>
      </w:r>
      <w:r w:rsidR="00B25174" w:rsidRPr="00B25174">
        <w:rPr>
          <w:rFonts w:ascii="Tahoma" w:eastAsia="STXihei" w:hAnsi="Tahoma" w:cs="Tahoma"/>
          <w:sz w:val="22"/>
          <w:szCs w:val="22"/>
          <w:lang w:val="pl-PL"/>
        </w:rPr>
        <w:t xml:space="preserve">, że bezpośrednim skutkiem potencjalnie arbitralnej decyzji na podstawie przepisów zaktualizowanej wersji KSC będzie wymuszona wymiana sprzętu sieciowego wykorzystywanego w sieciach telekomunikacyjnych. W przypadku sprzętu Huawei taka decyzja może kosztować polskich operatorów 14,9 mld zł. To bezpośredni skutek </w:t>
      </w:r>
      <w:r w:rsidR="00B25174" w:rsidRPr="00B25174">
        <w:rPr>
          <w:rFonts w:ascii="Tahoma" w:eastAsia="STXihei" w:hAnsi="Tahoma" w:cs="Tahoma"/>
          <w:bCs/>
          <w:sz w:val="22"/>
          <w:szCs w:val="22"/>
          <w:lang w:val="pl-PL"/>
        </w:rPr>
        <w:t xml:space="preserve">zwiększonych kosztów utrzymania, większego zużycia energii oraz kosztów potencjalnych sporów prawnych. </w:t>
      </w:r>
      <w:r w:rsidR="00B25174" w:rsidRPr="00B25174">
        <w:rPr>
          <w:rFonts w:ascii="Tahoma" w:eastAsia="STXihei" w:hAnsi="Tahoma" w:cs="Tahoma"/>
          <w:sz w:val="22"/>
          <w:szCs w:val="22"/>
          <w:lang w:val="pl-PL"/>
        </w:rPr>
        <w:t>Przy założeniu, że z rynku zostanie wykluczonych dwóch chińskich dostawców (w tym Huawei), sam koszt wymiany urządzeń sieciowych przez operatorów przekroczyłby 6,8 mld zł w pespektywie 10 lat.</w:t>
      </w:r>
    </w:p>
    <w:p w14:paraId="783F0AE4" w14:textId="77777777" w:rsidR="00B25174" w:rsidRPr="00B25174" w:rsidRDefault="00B25174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0BBC9A69" w14:textId="09D1C23B" w:rsidR="00B25174" w:rsidRDefault="00B25174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B25174">
        <w:rPr>
          <w:rFonts w:ascii="Tahoma" w:eastAsia="STXihei" w:hAnsi="Tahoma" w:cs="Tahoma"/>
          <w:bCs/>
          <w:i/>
          <w:sz w:val="22"/>
          <w:szCs w:val="22"/>
          <w:lang w:val="pl-PL"/>
        </w:rPr>
        <w:t xml:space="preserve">Z naszych analiz wynika, że wzrosnąć mogą także ceny </w:t>
      </w:r>
      <w:r w:rsidRPr="00B25174">
        <w:rPr>
          <w:rFonts w:ascii="Tahoma" w:eastAsia="STXihei" w:hAnsi="Tahoma" w:cs="Tahoma"/>
          <w:i/>
          <w:sz w:val="22"/>
          <w:szCs w:val="22"/>
          <w:lang w:val="pl-PL"/>
        </w:rPr>
        <w:t>sprzętu dostarczanego przez pozostałych dostawców sprzętu sieciowego. Szczególnie odczuwalne byłoby to w kontekście zaawansowanych technologii do budowy sieci 5G. Tutaj wzrost cen mógłby zamknąć się nawet w przedziale od 17% do 23%</w:t>
      </w:r>
      <w:r w:rsidRPr="00B25174">
        <w:rPr>
          <w:rFonts w:ascii="Tahoma" w:eastAsia="STXihei" w:hAnsi="Tahoma" w:cs="Tahoma"/>
          <w:sz w:val="22"/>
          <w:szCs w:val="22"/>
          <w:lang w:val="pl-PL"/>
        </w:rPr>
        <w:t xml:space="preserve"> - komentuje Emil Konarzewski, partner w firmie konsultingowej </w:t>
      </w:r>
      <w:proofErr w:type="spellStart"/>
      <w:r w:rsidRPr="00B25174">
        <w:rPr>
          <w:rFonts w:ascii="Tahoma" w:eastAsia="STXihei" w:hAnsi="Tahoma" w:cs="Tahoma"/>
          <w:sz w:val="22"/>
          <w:szCs w:val="22"/>
          <w:lang w:val="pl-PL"/>
        </w:rPr>
        <w:t>Audytel</w:t>
      </w:r>
      <w:proofErr w:type="spellEnd"/>
      <w:r w:rsidRPr="00B25174">
        <w:rPr>
          <w:rFonts w:ascii="Tahoma" w:eastAsia="STXihei" w:hAnsi="Tahoma" w:cs="Tahoma"/>
          <w:sz w:val="22"/>
          <w:szCs w:val="22"/>
          <w:lang w:val="pl-PL"/>
        </w:rPr>
        <w:t xml:space="preserve">. </w:t>
      </w:r>
      <w:r w:rsidRPr="00B25174">
        <w:rPr>
          <w:rFonts w:ascii="Tahoma" w:eastAsia="STXihei" w:hAnsi="Tahoma" w:cs="Tahoma"/>
          <w:i/>
          <w:sz w:val="22"/>
          <w:szCs w:val="22"/>
          <w:lang w:val="pl-PL"/>
        </w:rPr>
        <w:t xml:space="preserve">Taki wzrost cen sprzętu 5G przełożyłby się </w:t>
      </w:r>
      <w:r w:rsidRPr="00B25174">
        <w:rPr>
          <w:rFonts w:ascii="Tahoma" w:eastAsia="STXihei" w:hAnsi="Tahoma" w:cs="Tahoma"/>
          <w:i/>
          <w:sz w:val="22"/>
          <w:szCs w:val="22"/>
          <w:lang w:val="pl-PL"/>
        </w:rPr>
        <w:lastRenderedPageBreak/>
        <w:t>na dodatkowe koszty dla operatorów, które wyniosły by ponad 3,5 mld zł.</w:t>
      </w:r>
      <w:r w:rsidRPr="00B25174">
        <w:rPr>
          <w:rFonts w:ascii="Tahoma" w:eastAsia="STXihei" w:hAnsi="Tahoma" w:cs="Tahoma"/>
          <w:sz w:val="22"/>
          <w:szCs w:val="22"/>
          <w:lang w:val="pl-PL"/>
        </w:rPr>
        <w:t xml:space="preserve"> </w:t>
      </w:r>
    </w:p>
    <w:p w14:paraId="029C8833" w14:textId="77777777" w:rsidR="00B25174" w:rsidRPr="00B25174" w:rsidRDefault="00B25174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5D7C588D" w14:textId="4F14F58C" w:rsidR="00B25174" w:rsidRPr="00B25174" w:rsidRDefault="00B25174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Cs/>
          <w:sz w:val="22"/>
          <w:szCs w:val="22"/>
          <w:lang w:val="pl-PL"/>
        </w:rPr>
      </w:pPr>
      <w:r w:rsidRPr="00B25174">
        <w:rPr>
          <w:rFonts w:ascii="Tahoma" w:eastAsia="STXihei" w:hAnsi="Tahoma" w:cs="Tahoma"/>
          <w:sz w:val="22"/>
          <w:szCs w:val="22"/>
          <w:lang w:val="pl-PL"/>
        </w:rPr>
        <w:t xml:space="preserve">Z raportu wynika, że przez ekonomiczne skutki wejścia w życie ustawy o KSC operatorzy mogą rozłożyć inwestycje w rozwój sieci 5G na kilka dodatkowych lat. </w:t>
      </w:r>
      <w:r w:rsidRPr="00B25174">
        <w:rPr>
          <w:rFonts w:ascii="Tahoma" w:eastAsia="STXihei" w:hAnsi="Tahoma" w:cs="Tahoma"/>
          <w:i/>
          <w:sz w:val="22"/>
          <w:szCs w:val="22"/>
          <w:lang w:val="pl-PL"/>
        </w:rPr>
        <w:t xml:space="preserve">To w naturalny sposób sprawie, że budowa sieci 5G w Polsce przedłuży się o kolejne lata. W wariancie z wykluczeniem chińskich dostawców może to być 14 miesięcy. Jeśli pojawią się nowe ryzyka </w:t>
      </w:r>
      <w:r w:rsidRPr="00B25174">
        <w:rPr>
          <w:rFonts w:ascii="Tahoma" w:eastAsia="STXihei" w:hAnsi="Tahoma" w:cs="Tahoma"/>
          <w:bCs/>
          <w:i/>
          <w:sz w:val="22"/>
          <w:szCs w:val="22"/>
          <w:lang w:val="pl-PL"/>
        </w:rPr>
        <w:t>techniczne, strategiczne i logistyczne – czas ten może wynieść nawet 3 lata</w:t>
      </w:r>
      <w:r w:rsidRPr="00B25174">
        <w:rPr>
          <w:rFonts w:ascii="Tahoma" w:eastAsia="STXihei" w:hAnsi="Tahoma" w:cs="Tahoma"/>
          <w:bCs/>
          <w:sz w:val="22"/>
          <w:szCs w:val="22"/>
          <w:lang w:val="pl-PL"/>
        </w:rPr>
        <w:t xml:space="preserve"> – dodaje ekspert z </w:t>
      </w:r>
      <w:proofErr w:type="spellStart"/>
      <w:r w:rsidRPr="00B25174">
        <w:rPr>
          <w:rFonts w:ascii="Tahoma" w:eastAsia="STXihei" w:hAnsi="Tahoma" w:cs="Tahoma"/>
          <w:bCs/>
          <w:sz w:val="22"/>
          <w:szCs w:val="22"/>
          <w:lang w:val="pl-PL"/>
        </w:rPr>
        <w:t>Audytela</w:t>
      </w:r>
      <w:proofErr w:type="spellEnd"/>
      <w:r w:rsidRPr="00B25174">
        <w:rPr>
          <w:rFonts w:ascii="Tahoma" w:eastAsia="STXihei" w:hAnsi="Tahoma" w:cs="Tahoma"/>
          <w:bCs/>
          <w:sz w:val="22"/>
          <w:szCs w:val="22"/>
          <w:lang w:val="pl-PL"/>
        </w:rPr>
        <w:t xml:space="preserve">. </w:t>
      </w:r>
    </w:p>
    <w:p w14:paraId="655EAA62" w14:textId="77777777" w:rsidR="00B25174" w:rsidRDefault="00B25174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/>
          <w:bCs/>
          <w:sz w:val="22"/>
          <w:szCs w:val="22"/>
          <w:lang w:val="pl-PL"/>
        </w:rPr>
      </w:pPr>
    </w:p>
    <w:p w14:paraId="065E1216" w14:textId="48716967" w:rsidR="00B25174" w:rsidRDefault="00B25174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/>
          <w:bCs/>
          <w:sz w:val="22"/>
          <w:szCs w:val="22"/>
          <w:lang w:val="pl-PL"/>
        </w:rPr>
      </w:pPr>
      <w:r w:rsidRPr="00B25174">
        <w:rPr>
          <w:rFonts w:ascii="Tahoma" w:eastAsia="STXihei" w:hAnsi="Tahoma" w:cs="Tahoma"/>
          <w:b/>
          <w:bCs/>
          <w:sz w:val="22"/>
          <w:szCs w:val="22"/>
          <w:lang w:val="pl-PL"/>
        </w:rPr>
        <w:t>Polska gospodarka na hamulcu</w:t>
      </w:r>
    </w:p>
    <w:p w14:paraId="41E57B25" w14:textId="77777777" w:rsidR="00A01C58" w:rsidRPr="00B25174" w:rsidRDefault="00A01C58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Cs/>
          <w:i/>
          <w:sz w:val="22"/>
          <w:szCs w:val="22"/>
          <w:lang w:val="pl-PL"/>
        </w:rPr>
      </w:pPr>
    </w:p>
    <w:p w14:paraId="7DA0D07C" w14:textId="40097042" w:rsidR="00B25174" w:rsidRDefault="00B25174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Cs/>
          <w:sz w:val="22"/>
          <w:szCs w:val="22"/>
          <w:lang w:val="pl-PL"/>
        </w:rPr>
      </w:pPr>
      <w:r w:rsidRPr="00B25174">
        <w:rPr>
          <w:rFonts w:ascii="Tahoma" w:eastAsia="STXihei" w:hAnsi="Tahoma" w:cs="Tahoma"/>
          <w:bCs/>
          <w:sz w:val="22"/>
          <w:szCs w:val="22"/>
          <w:lang w:val="pl-PL"/>
        </w:rPr>
        <w:t xml:space="preserve">Jak podają analitycy </w:t>
      </w:r>
      <w:proofErr w:type="spellStart"/>
      <w:r w:rsidRPr="00B25174">
        <w:rPr>
          <w:rFonts w:ascii="Tahoma" w:eastAsia="STXihei" w:hAnsi="Tahoma" w:cs="Tahoma"/>
          <w:bCs/>
          <w:sz w:val="22"/>
          <w:szCs w:val="22"/>
          <w:lang w:val="pl-PL"/>
        </w:rPr>
        <w:t>Audytela</w:t>
      </w:r>
      <w:proofErr w:type="spellEnd"/>
      <w:r w:rsidRPr="00B25174">
        <w:rPr>
          <w:rFonts w:ascii="Tahoma" w:eastAsia="STXihei" w:hAnsi="Tahoma" w:cs="Tahoma"/>
          <w:bCs/>
          <w:sz w:val="22"/>
          <w:szCs w:val="22"/>
          <w:lang w:val="pl-PL"/>
        </w:rPr>
        <w:t>, jeśli dojdzie do dodatkowego opóźnienia w rozwoju sieci 5G straty finansowe dotkną nie tylko operatorów, ale także konsumentów i polską gospodarkę. Z szacunków wynika, że każde 6 miesięcy dodatkowego opóźnienia zwiększy i tak już ujemne saldo skutków ekonomicznych o dodatkowe 16-17 mld zł.</w:t>
      </w:r>
    </w:p>
    <w:p w14:paraId="45246965" w14:textId="77777777" w:rsidR="00B25174" w:rsidRDefault="00B25174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Cs/>
          <w:sz w:val="22"/>
          <w:szCs w:val="22"/>
          <w:lang w:val="pl-PL"/>
        </w:rPr>
      </w:pPr>
    </w:p>
    <w:p w14:paraId="5179EA4B" w14:textId="721CEAD3" w:rsidR="00B25174" w:rsidRDefault="00B25174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B25174">
        <w:rPr>
          <w:rFonts w:ascii="Tahoma" w:eastAsia="STXihei" w:hAnsi="Tahoma" w:cs="Tahoma"/>
          <w:i/>
          <w:sz w:val="22"/>
          <w:szCs w:val="22"/>
          <w:lang w:val="pl-PL"/>
        </w:rPr>
        <w:t>Niewątpliwe opóźnienie we wdrożeniu sieci i powolne upowszechnienie usług 5G, które są kluczowe dla budowy przemysłu 4.0 oraz dojrzałego społeczeństwa cyfrowego, może przełożyć się na obniżenie potencjału wzrostu polskiego PKB o prawie 21,6 mld zł. Stanowi to 12% całego potencjału wzrostu polskiego PKB do końca 2030</w:t>
      </w:r>
      <w:r w:rsidR="00E51556">
        <w:rPr>
          <w:rFonts w:ascii="Tahoma" w:eastAsia="STXihei" w:hAnsi="Tahoma" w:cs="Tahoma"/>
          <w:i/>
          <w:sz w:val="22"/>
          <w:szCs w:val="22"/>
          <w:lang w:val="pl-PL"/>
        </w:rPr>
        <w:t xml:space="preserve"> r. </w:t>
      </w:r>
      <w:r w:rsidRPr="00B25174">
        <w:rPr>
          <w:rFonts w:ascii="Tahoma" w:eastAsia="STXihei" w:hAnsi="Tahoma" w:cs="Tahoma"/>
          <w:sz w:val="22"/>
          <w:szCs w:val="22"/>
          <w:lang w:val="pl-PL"/>
        </w:rPr>
        <w:t xml:space="preserve">. </w:t>
      </w:r>
      <w:r w:rsidRPr="00B25174">
        <w:rPr>
          <w:rFonts w:ascii="Tahoma" w:eastAsia="STXihei" w:hAnsi="Tahoma" w:cs="Tahoma"/>
          <w:i/>
          <w:sz w:val="22"/>
          <w:szCs w:val="22"/>
          <w:lang w:val="pl-PL"/>
        </w:rPr>
        <w:t>Z czysto ekonomicznego punktu widzenia nie istnieje żadne uzasadnienie dla przyjęcia ustawy o KSC, która jak się wydaje może mieć destrukcyjny wpływ na gospodarkę</w:t>
      </w:r>
      <w:r w:rsidRPr="00B25174">
        <w:rPr>
          <w:rFonts w:ascii="Tahoma" w:eastAsia="STXihei" w:hAnsi="Tahoma" w:cs="Tahoma"/>
          <w:sz w:val="22"/>
          <w:szCs w:val="22"/>
          <w:lang w:val="pl-PL"/>
        </w:rPr>
        <w:t xml:space="preserve"> – mówi Emil Konarzewski z </w:t>
      </w:r>
      <w:proofErr w:type="spellStart"/>
      <w:r w:rsidRPr="00B25174">
        <w:rPr>
          <w:rFonts w:ascii="Tahoma" w:eastAsia="STXihei" w:hAnsi="Tahoma" w:cs="Tahoma"/>
          <w:sz w:val="22"/>
          <w:szCs w:val="22"/>
          <w:lang w:val="pl-PL"/>
        </w:rPr>
        <w:t>Audytela</w:t>
      </w:r>
      <w:proofErr w:type="spellEnd"/>
      <w:r w:rsidRPr="00B25174">
        <w:rPr>
          <w:rFonts w:ascii="Tahoma" w:eastAsia="STXihei" w:hAnsi="Tahoma" w:cs="Tahoma"/>
          <w:sz w:val="22"/>
          <w:szCs w:val="22"/>
          <w:lang w:val="pl-PL"/>
        </w:rPr>
        <w:t>.</w:t>
      </w:r>
    </w:p>
    <w:p w14:paraId="335B84C1" w14:textId="5793859E" w:rsidR="00B25174" w:rsidRPr="00B25174" w:rsidRDefault="00B25174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Cs/>
          <w:sz w:val="22"/>
          <w:szCs w:val="22"/>
          <w:lang w:val="pl-PL"/>
        </w:rPr>
      </w:pPr>
      <w:r w:rsidRPr="00B25174">
        <w:rPr>
          <w:rFonts w:ascii="Tahoma" w:eastAsia="STXihei" w:hAnsi="Tahoma" w:cs="Tahoma"/>
          <w:sz w:val="22"/>
          <w:szCs w:val="22"/>
          <w:lang w:val="pl-PL"/>
        </w:rPr>
        <w:t xml:space="preserve"> </w:t>
      </w:r>
    </w:p>
    <w:p w14:paraId="5900B3E2" w14:textId="346933A6" w:rsidR="00B25174" w:rsidRDefault="00B25174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B25174">
        <w:rPr>
          <w:rFonts w:ascii="Tahoma" w:eastAsia="STXihei" w:hAnsi="Tahoma" w:cs="Tahoma"/>
          <w:sz w:val="22"/>
          <w:szCs w:val="22"/>
          <w:lang w:val="pl-PL"/>
        </w:rPr>
        <w:t>W ciągu 10 lat (2021-2030) łączne szkody, spowodowane negatywnym oddziaływaniem KSC na rynek, mogą wynieść niemal 44 mld zł (w tym 21,5 mld zł obniżenia PKB</w:t>
      </w:r>
      <w:r w:rsidR="00E51556">
        <w:rPr>
          <w:rFonts w:ascii="Tahoma" w:eastAsia="STXihei" w:hAnsi="Tahoma" w:cs="Tahoma"/>
          <w:sz w:val="22"/>
          <w:szCs w:val="22"/>
          <w:lang w:val="pl-PL"/>
        </w:rPr>
        <w:t>;</w:t>
      </w:r>
      <w:r w:rsidR="00686416">
        <w:rPr>
          <w:rFonts w:ascii="Tahoma" w:eastAsia="STXihei" w:hAnsi="Tahoma" w:cs="Tahoma"/>
          <w:sz w:val="22"/>
          <w:szCs w:val="22"/>
          <w:lang w:val="pl-PL"/>
        </w:rPr>
        <w:t xml:space="preserve"> </w:t>
      </w:r>
      <w:r w:rsidRPr="00B25174">
        <w:rPr>
          <w:rFonts w:ascii="Tahoma" w:eastAsia="STXihei" w:hAnsi="Tahoma" w:cs="Tahoma"/>
          <w:sz w:val="22"/>
          <w:szCs w:val="22"/>
          <w:lang w:val="pl-PL"/>
        </w:rPr>
        <w:t>1,2 mld zł utraconej korzyści konsumentów</w:t>
      </w:r>
      <w:r w:rsidR="00E51556">
        <w:rPr>
          <w:rFonts w:ascii="Tahoma" w:eastAsia="STXihei" w:hAnsi="Tahoma" w:cs="Tahoma"/>
          <w:sz w:val="22"/>
          <w:szCs w:val="22"/>
          <w:lang w:val="pl-PL"/>
        </w:rPr>
        <w:t>;</w:t>
      </w:r>
      <w:r w:rsidRPr="00B25174">
        <w:rPr>
          <w:rFonts w:ascii="Tahoma" w:eastAsia="STXihei" w:hAnsi="Tahoma" w:cs="Tahoma"/>
          <w:sz w:val="22"/>
          <w:szCs w:val="22"/>
          <w:lang w:val="pl-PL"/>
        </w:rPr>
        <w:t xml:space="preserve"> 0,6 mld zł bezpośredniej straty dla Skarbu Państwa oraz 14,1 mld zł bezpośredniej straty dla operatorów telekomunikacyjnych). Długofalowe konsekwencje mogą przełożyć się ponadto na obniżenie konkurencyjności polskiej gospodarki na arenie międzynarodowej. </w:t>
      </w:r>
    </w:p>
    <w:p w14:paraId="38C62015" w14:textId="77777777" w:rsidR="00B25174" w:rsidRPr="00B25174" w:rsidRDefault="00B25174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54BDA8D9" w14:textId="77777777" w:rsidR="00B25174" w:rsidRDefault="00B25174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/>
          <w:sz w:val="22"/>
          <w:szCs w:val="22"/>
          <w:lang w:val="pl-PL"/>
        </w:rPr>
      </w:pPr>
      <w:r w:rsidRPr="00B25174">
        <w:rPr>
          <w:rFonts w:ascii="Tahoma" w:eastAsia="STXihei" w:hAnsi="Tahoma" w:cs="Tahoma"/>
          <w:b/>
          <w:sz w:val="22"/>
          <w:szCs w:val="22"/>
          <w:lang w:val="pl-PL"/>
        </w:rPr>
        <w:t xml:space="preserve">Niezgodność z Konstytucją i przepisami międzynarodowymi </w:t>
      </w:r>
    </w:p>
    <w:p w14:paraId="0B01C1CB" w14:textId="49B58BB6" w:rsidR="00B25174" w:rsidRPr="00B25174" w:rsidRDefault="00B25174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/>
          <w:sz w:val="22"/>
          <w:szCs w:val="22"/>
          <w:lang w:val="pl-PL"/>
        </w:rPr>
      </w:pPr>
      <w:r w:rsidRPr="00B25174">
        <w:rPr>
          <w:rFonts w:ascii="Tahoma" w:eastAsia="STXihei" w:hAnsi="Tahoma" w:cs="Tahoma"/>
          <w:b/>
          <w:sz w:val="22"/>
          <w:szCs w:val="22"/>
          <w:lang w:val="pl-PL"/>
        </w:rPr>
        <w:t xml:space="preserve"> </w:t>
      </w:r>
    </w:p>
    <w:p w14:paraId="60612E5B" w14:textId="2ADB30B9" w:rsidR="00B25174" w:rsidRDefault="00B25174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B25174">
        <w:rPr>
          <w:rFonts w:ascii="Tahoma" w:eastAsia="STXihei" w:hAnsi="Tahoma" w:cs="Tahoma"/>
          <w:sz w:val="22"/>
          <w:szCs w:val="22"/>
          <w:lang w:val="pl-PL"/>
        </w:rPr>
        <w:t xml:space="preserve">Raport </w:t>
      </w:r>
      <w:r w:rsidR="00E51556">
        <w:rPr>
          <w:rFonts w:ascii="Tahoma" w:eastAsia="STXihei" w:hAnsi="Tahoma" w:cs="Tahoma"/>
          <w:sz w:val="22"/>
          <w:szCs w:val="22"/>
          <w:lang w:val="pl-PL"/>
        </w:rPr>
        <w:t xml:space="preserve">kancelarii </w:t>
      </w:r>
      <w:proofErr w:type="spellStart"/>
      <w:r w:rsidR="00E51556">
        <w:rPr>
          <w:rFonts w:ascii="Tahoma" w:eastAsia="STXihei" w:hAnsi="Tahoma" w:cs="Tahoma"/>
          <w:sz w:val="22"/>
          <w:szCs w:val="22"/>
          <w:lang w:val="pl-PL"/>
        </w:rPr>
        <w:t>Dentons</w:t>
      </w:r>
      <w:proofErr w:type="spellEnd"/>
      <w:r w:rsidRPr="00B25174">
        <w:rPr>
          <w:rFonts w:ascii="Tahoma" w:eastAsia="STXihei" w:hAnsi="Tahoma" w:cs="Tahoma"/>
          <w:sz w:val="22"/>
          <w:szCs w:val="22"/>
          <w:lang w:val="pl-PL"/>
        </w:rPr>
        <w:t xml:space="preserve"> i </w:t>
      </w:r>
      <w:proofErr w:type="spellStart"/>
      <w:r w:rsidRPr="00B25174">
        <w:rPr>
          <w:rFonts w:ascii="Tahoma" w:eastAsia="STXihei" w:hAnsi="Tahoma" w:cs="Tahoma"/>
          <w:sz w:val="22"/>
          <w:szCs w:val="22"/>
          <w:lang w:val="pl-PL"/>
        </w:rPr>
        <w:t>Audytela</w:t>
      </w:r>
      <w:proofErr w:type="spellEnd"/>
      <w:r w:rsidRPr="00B25174">
        <w:rPr>
          <w:rFonts w:ascii="Tahoma" w:eastAsia="STXihei" w:hAnsi="Tahoma" w:cs="Tahoma"/>
          <w:sz w:val="22"/>
          <w:szCs w:val="22"/>
          <w:lang w:val="pl-PL"/>
        </w:rPr>
        <w:t xml:space="preserve"> pokazuje ponadto prawne </w:t>
      </w:r>
      <w:r w:rsidR="00E51556">
        <w:rPr>
          <w:rFonts w:ascii="Tahoma" w:eastAsia="STXihei" w:hAnsi="Tahoma" w:cs="Tahoma"/>
          <w:sz w:val="22"/>
          <w:szCs w:val="22"/>
          <w:lang w:val="pl-PL"/>
        </w:rPr>
        <w:t xml:space="preserve">skutki </w:t>
      </w:r>
      <w:r w:rsidRPr="00B25174">
        <w:rPr>
          <w:rFonts w:ascii="Tahoma" w:eastAsia="STXihei" w:hAnsi="Tahoma" w:cs="Tahoma"/>
          <w:sz w:val="22"/>
          <w:szCs w:val="22"/>
          <w:lang w:val="pl-PL"/>
        </w:rPr>
        <w:t xml:space="preserve">wejścia ustawy KSC w życie. </w:t>
      </w:r>
      <w:r w:rsidR="00E51556">
        <w:rPr>
          <w:rFonts w:ascii="Tahoma" w:eastAsia="STXihei" w:hAnsi="Tahoma" w:cs="Tahoma"/>
          <w:sz w:val="22"/>
          <w:szCs w:val="22"/>
          <w:lang w:val="pl-PL"/>
        </w:rPr>
        <w:t>Autorzy raportu</w:t>
      </w:r>
      <w:r w:rsidR="00E51556" w:rsidRPr="00B25174">
        <w:rPr>
          <w:rFonts w:ascii="Tahoma" w:eastAsia="STXihei" w:hAnsi="Tahoma" w:cs="Tahoma"/>
          <w:sz w:val="22"/>
          <w:szCs w:val="22"/>
          <w:lang w:val="pl-PL"/>
        </w:rPr>
        <w:t xml:space="preserve"> </w:t>
      </w:r>
      <w:r w:rsidRPr="00B25174">
        <w:rPr>
          <w:rFonts w:ascii="Tahoma" w:eastAsia="STXihei" w:hAnsi="Tahoma" w:cs="Tahoma"/>
          <w:sz w:val="22"/>
          <w:szCs w:val="22"/>
          <w:lang w:val="pl-PL"/>
        </w:rPr>
        <w:t xml:space="preserve">zwracają </w:t>
      </w:r>
      <w:r w:rsidR="00E51556">
        <w:rPr>
          <w:rFonts w:ascii="Tahoma" w:eastAsia="STXihei" w:hAnsi="Tahoma" w:cs="Tahoma"/>
          <w:sz w:val="22"/>
          <w:szCs w:val="22"/>
          <w:lang w:val="pl-PL"/>
        </w:rPr>
        <w:t xml:space="preserve">szczególną </w:t>
      </w:r>
      <w:r w:rsidR="00EC0485">
        <w:rPr>
          <w:rFonts w:ascii="Tahoma" w:eastAsia="STXihei" w:hAnsi="Tahoma" w:cs="Tahoma"/>
          <w:sz w:val="22"/>
          <w:szCs w:val="22"/>
          <w:lang w:val="pl-PL"/>
        </w:rPr>
        <w:t xml:space="preserve">uwagę </w:t>
      </w:r>
      <w:bookmarkStart w:id="0" w:name="_GoBack"/>
      <w:bookmarkEnd w:id="0"/>
      <w:r w:rsidRPr="00B25174">
        <w:rPr>
          <w:rFonts w:ascii="Tahoma" w:eastAsia="STXihei" w:hAnsi="Tahoma" w:cs="Tahoma"/>
          <w:sz w:val="22"/>
          <w:szCs w:val="22"/>
          <w:lang w:val="pl-PL"/>
        </w:rPr>
        <w:t xml:space="preserve">na fakt, że niejasne przesłanki oceny dostawców stwarzają </w:t>
      </w:r>
      <w:r w:rsidR="00E51556">
        <w:rPr>
          <w:rFonts w:ascii="Tahoma" w:eastAsia="STXihei" w:hAnsi="Tahoma" w:cs="Tahoma"/>
          <w:sz w:val="22"/>
          <w:szCs w:val="22"/>
          <w:lang w:val="pl-PL"/>
        </w:rPr>
        <w:t xml:space="preserve">sytuację, </w:t>
      </w:r>
      <w:r w:rsidRPr="00B25174">
        <w:rPr>
          <w:rFonts w:ascii="Tahoma" w:eastAsia="STXihei" w:hAnsi="Tahoma" w:cs="Tahoma"/>
          <w:sz w:val="22"/>
          <w:szCs w:val="22"/>
          <w:lang w:val="pl-PL"/>
        </w:rPr>
        <w:t>w której podmioty rynkowe nie będą znały kryteriów, jakimi może kierować się Minister przy rozstrzyganiu o ich sytuacji prawnej. Stanowi to wyraźne przeciwieństwo zasady określoności prawa i koliduje z art. 2 Konstytucji.</w:t>
      </w:r>
    </w:p>
    <w:p w14:paraId="5D74304F" w14:textId="3218116C" w:rsidR="00B25174" w:rsidRPr="00B25174" w:rsidRDefault="00B25174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B25174">
        <w:rPr>
          <w:rFonts w:ascii="Tahoma" w:eastAsia="STXihei" w:hAnsi="Tahoma" w:cs="Tahoma"/>
          <w:sz w:val="22"/>
          <w:szCs w:val="22"/>
          <w:lang w:val="pl-PL"/>
        </w:rPr>
        <w:t xml:space="preserve"> </w:t>
      </w:r>
    </w:p>
    <w:p w14:paraId="4D6E1CF1" w14:textId="6973287F" w:rsidR="00B25174" w:rsidRDefault="00B25174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B25174">
        <w:rPr>
          <w:rFonts w:ascii="Tahoma" w:eastAsia="STXihei" w:hAnsi="Tahoma" w:cs="Tahoma"/>
          <w:i/>
          <w:sz w:val="22"/>
          <w:szCs w:val="22"/>
          <w:lang w:val="pl-PL"/>
        </w:rPr>
        <w:t xml:space="preserve">Wykluczenie dostawców z rynku w oparciu o niejasne, nietechniczne przesłanki jest ponadto sprzeczne z regulacjami przewidzianymi unijnym prawem łączności elektronicznej (w tym EKŁE) i taki system może zostać uznany za dyskryminujący i </w:t>
      </w:r>
      <w:r w:rsidRPr="00B25174">
        <w:rPr>
          <w:rFonts w:ascii="Tahoma" w:eastAsia="STXihei" w:hAnsi="Tahoma" w:cs="Tahoma"/>
          <w:i/>
          <w:sz w:val="22"/>
          <w:szCs w:val="22"/>
          <w:lang w:val="pl-PL"/>
        </w:rPr>
        <w:lastRenderedPageBreak/>
        <w:t>nieadekwatny. Co więcej, prawdopodobne są roszczenia o odszkodowanie oparte o polsko-chiński traktat o wspieraniu i ochronie inwestycji</w:t>
      </w:r>
      <w:r w:rsidRPr="00B25174">
        <w:rPr>
          <w:rFonts w:ascii="Tahoma" w:eastAsia="STXihei" w:hAnsi="Tahoma" w:cs="Tahoma"/>
          <w:sz w:val="22"/>
          <w:szCs w:val="22"/>
          <w:lang w:val="pl-PL"/>
        </w:rPr>
        <w:t xml:space="preserve"> – tłumaczy Wojciech Kozłowski, partner w kancelarii </w:t>
      </w:r>
      <w:proofErr w:type="spellStart"/>
      <w:r w:rsidRPr="00B25174">
        <w:rPr>
          <w:rFonts w:ascii="Tahoma" w:eastAsia="STXihei" w:hAnsi="Tahoma" w:cs="Tahoma"/>
          <w:sz w:val="22"/>
          <w:szCs w:val="22"/>
          <w:lang w:val="pl-PL"/>
        </w:rPr>
        <w:t>Dentons</w:t>
      </w:r>
      <w:proofErr w:type="spellEnd"/>
      <w:r w:rsidRPr="00B25174">
        <w:rPr>
          <w:rFonts w:ascii="Tahoma" w:eastAsia="STXihei" w:hAnsi="Tahoma" w:cs="Tahoma"/>
          <w:sz w:val="22"/>
          <w:szCs w:val="22"/>
          <w:lang w:val="pl-PL"/>
        </w:rPr>
        <w:t xml:space="preserve">. </w:t>
      </w:r>
    </w:p>
    <w:p w14:paraId="01E5743F" w14:textId="77777777" w:rsidR="00B25174" w:rsidRPr="00B25174" w:rsidRDefault="00B25174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14592604" w14:textId="6BB4B9C4" w:rsidR="00B25174" w:rsidRPr="00B25174" w:rsidRDefault="00B25174" w:rsidP="00B25174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Cs/>
          <w:sz w:val="22"/>
          <w:szCs w:val="22"/>
          <w:lang w:val="pl-PL"/>
        </w:rPr>
      </w:pPr>
      <w:r w:rsidRPr="00B25174">
        <w:rPr>
          <w:rFonts w:ascii="Tahoma" w:eastAsia="STXihei" w:hAnsi="Tahoma" w:cs="Tahoma"/>
          <w:bCs/>
          <w:sz w:val="22"/>
          <w:szCs w:val="22"/>
          <w:lang w:val="pl-PL"/>
        </w:rPr>
        <w:t xml:space="preserve">Analiza </w:t>
      </w:r>
      <w:proofErr w:type="spellStart"/>
      <w:r w:rsidRPr="00B25174">
        <w:rPr>
          <w:rFonts w:ascii="Tahoma" w:eastAsia="STXihei" w:hAnsi="Tahoma" w:cs="Tahoma"/>
          <w:bCs/>
          <w:sz w:val="22"/>
          <w:szCs w:val="22"/>
          <w:lang w:val="pl-PL"/>
        </w:rPr>
        <w:t>Dentons</w:t>
      </w:r>
      <w:proofErr w:type="spellEnd"/>
      <w:r w:rsidRPr="00B25174">
        <w:rPr>
          <w:rFonts w:ascii="Tahoma" w:eastAsia="STXihei" w:hAnsi="Tahoma" w:cs="Tahoma"/>
          <w:bCs/>
          <w:sz w:val="22"/>
          <w:szCs w:val="22"/>
          <w:lang w:val="pl-PL"/>
        </w:rPr>
        <w:t xml:space="preserve"> i </w:t>
      </w:r>
      <w:proofErr w:type="spellStart"/>
      <w:r w:rsidRPr="00B25174">
        <w:rPr>
          <w:rFonts w:ascii="Tahoma" w:eastAsia="STXihei" w:hAnsi="Tahoma" w:cs="Tahoma"/>
          <w:bCs/>
          <w:sz w:val="22"/>
          <w:szCs w:val="22"/>
          <w:lang w:val="pl-PL"/>
        </w:rPr>
        <w:t>Audytel</w:t>
      </w:r>
      <w:proofErr w:type="spellEnd"/>
      <w:r w:rsidRPr="00B25174">
        <w:rPr>
          <w:rFonts w:ascii="Tahoma" w:eastAsia="STXihei" w:hAnsi="Tahoma" w:cs="Tahoma"/>
          <w:bCs/>
          <w:sz w:val="22"/>
          <w:szCs w:val="22"/>
          <w:lang w:val="pl-PL"/>
        </w:rPr>
        <w:t xml:space="preserve"> wyraźnie pokazuje, że podejście polskiego rządu znacznie różni się od tego przyjętego np. w Niemczech. Kraj ten nie dał organom publicznym kompetencji mogących skutkować wykluczeniem określonych dostawców sprzętu, oprogramowania lub usług z powodów związanych z </w:t>
      </w:r>
      <w:proofErr w:type="spellStart"/>
      <w:r w:rsidRPr="00B25174">
        <w:rPr>
          <w:rFonts w:ascii="Tahoma" w:eastAsia="STXihei" w:hAnsi="Tahoma" w:cs="Tahoma"/>
          <w:bCs/>
          <w:sz w:val="22"/>
          <w:szCs w:val="22"/>
          <w:lang w:val="pl-PL"/>
        </w:rPr>
        <w:t>cyberbezpieczeństwem</w:t>
      </w:r>
      <w:proofErr w:type="spellEnd"/>
      <w:r w:rsidRPr="00B25174">
        <w:rPr>
          <w:rFonts w:ascii="Tahoma" w:eastAsia="STXihei" w:hAnsi="Tahoma" w:cs="Tahoma"/>
          <w:sz w:val="22"/>
          <w:szCs w:val="22"/>
          <w:lang w:val="pl-PL"/>
        </w:rPr>
        <w:t xml:space="preserve">. </w:t>
      </w:r>
    </w:p>
    <w:p w14:paraId="63BCB55E" w14:textId="30655114" w:rsidR="00A120B4" w:rsidRPr="008C0103" w:rsidRDefault="00014D39" w:rsidP="00645366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  <w:r w:rsidRPr="007E549F">
        <w:rPr>
          <w:rFonts w:ascii="Arial" w:eastAsia="Arial Unicode MS" w:hAnsi="Arial" w:cs="Arial"/>
          <w:sz w:val="22"/>
          <w:szCs w:val="22"/>
          <w:lang w:val="pl-PL"/>
        </w:rPr>
        <w:br/>
      </w:r>
      <w:r w:rsidR="00A120B4" w:rsidRPr="008C0103">
        <w:rPr>
          <w:rFonts w:ascii="Arial" w:eastAsia="Arial Unicode MS" w:hAnsi="Arial" w:cs="Arial"/>
          <w:sz w:val="22"/>
          <w:szCs w:val="22"/>
          <w:lang w:val="pl-PL"/>
        </w:rPr>
        <w:t>----koniec---</w:t>
      </w:r>
    </w:p>
    <w:p w14:paraId="65189465" w14:textId="77777777" w:rsidR="002B79A6" w:rsidRPr="008C0103" w:rsidRDefault="002B79A6" w:rsidP="00645366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</w:p>
    <w:p w14:paraId="6DEC18FC" w14:textId="01DBAE5C" w:rsidR="00E03218" w:rsidRPr="00A12799" w:rsidRDefault="00E03218" w:rsidP="006453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A12799">
        <w:rPr>
          <w:rFonts w:ascii="Arial" w:hAnsi="Arial" w:cs="Arial"/>
          <w:sz w:val="22"/>
          <w:szCs w:val="22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 oraz </w:t>
      </w:r>
      <w:proofErr w:type="spellStart"/>
      <w:r w:rsidRPr="00A12799">
        <w:rPr>
          <w:rFonts w:ascii="Arial" w:hAnsi="Arial" w:cs="Arial"/>
          <w:sz w:val="22"/>
          <w:szCs w:val="22"/>
          <w:lang w:val="pl-PL"/>
        </w:rPr>
        <w:t>cloud</w:t>
      </w:r>
      <w:proofErr w:type="spellEnd"/>
      <w:r w:rsidRPr="00A12799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A12799">
        <w:rPr>
          <w:rFonts w:ascii="Arial" w:hAnsi="Arial" w:cs="Arial"/>
          <w:sz w:val="22"/>
          <w:szCs w:val="22"/>
          <w:lang w:val="pl-PL"/>
        </w:rPr>
        <w:t>computingu</w:t>
      </w:r>
      <w:proofErr w:type="spellEnd"/>
      <w:r w:rsidRPr="00A12799">
        <w:rPr>
          <w:rFonts w:ascii="Arial" w:hAnsi="Arial" w:cs="Arial"/>
          <w:sz w:val="22"/>
          <w:szCs w:val="22"/>
          <w:lang w:val="pl-PL"/>
        </w:rPr>
        <w:t xml:space="preserve">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178D048" w14:textId="1F99C84E" w:rsidR="00604F4D" w:rsidRPr="00A12799" w:rsidRDefault="00604F4D" w:rsidP="00645366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6E467B4" w14:textId="3080C391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Aby uzyskać więcej informacji odwiedź stronę </w:t>
      </w:r>
      <w:hyperlink r:id="rId8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www.huawei.com</w:t>
        </w:r>
      </w:hyperlink>
      <w:r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lub śledź nas na: </w:t>
      </w:r>
    </w:p>
    <w:p w14:paraId="036B26DB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40BE5775" w14:textId="77777777" w:rsidR="003F48D0" w:rsidRPr="00A12799" w:rsidRDefault="00571BA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9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http://www.linkedin.com/company/Huawei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612DEA4F" w14:textId="77777777" w:rsidR="003F48D0" w:rsidRPr="00A12799" w:rsidRDefault="00571BA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0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http://www.twitter.com/Huawei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3982CB7D" w14:textId="77777777" w:rsidR="003F48D0" w:rsidRPr="00A12799" w:rsidRDefault="00571BA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1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http://www.facebook.com/Huawei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69C55EBD" w14:textId="77777777" w:rsidR="003F48D0" w:rsidRPr="00A12799" w:rsidRDefault="00571BA0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2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http://www/youtube.com/Huawei</w:t>
        </w:r>
      </w:hyperlink>
    </w:p>
    <w:p w14:paraId="53D05AD1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7B38DBD0" w14:textId="6C302A8C" w:rsidR="003F48D0" w:rsidRDefault="003F48D0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Więcej informacji na temat działalności Huawei Polska (Carrier Network Business </w:t>
      </w:r>
      <w:proofErr w:type="spellStart"/>
      <w:r w:rsidRPr="00A12799">
        <w:rPr>
          <w:rFonts w:ascii="Arial" w:eastAsia="Tahoma" w:hAnsi="Arial" w:cs="Arial"/>
          <w:sz w:val="20"/>
          <w:szCs w:val="20"/>
          <w:lang w:val="pl-PL"/>
        </w:rPr>
        <w:t>Group</w:t>
      </w:r>
      <w:proofErr w:type="spellEnd"/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) można znaleźć na stronie </w:t>
      </w:r>
      <w:hyperlink r:id="rId13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Biura Prasowego.</w:t>
        </w:r>
      </w:hyperlink>
    </w:p>
    <w:p w14:paraId="0EDD2743" w14:textId="2B7D671A" w:rsidR="00E51556" w:rsidRDefault="00E51556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</w:p>
    <w:p w14:paraId="2BD8AA05" w14:textId="77777777" w:rsidR="00E51556" w:rsidRPr="00A53C87" w:rsidRDefault="00E51556" w:rsidP="00645366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pl-PL"/>
        </w:rPr>
      </w:pPr>
      <w:r w:rsidRPr="00A53C87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pl-PL"/>
        </w:rPr>
        <w:t xml:space="preserve">O kancelarii </w:t>
      </w:r>
      <w:proofErr w:type="spellStart"/>
      <w:r w:rsidRPr="00A53C87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pl-PL"/>
        </w:rPr>
        <w:t>Dentons</w:t>
      </w:r>
      <w:proofErr w:type="spellEnd"/>
    </w:p>
    <w:p w14:paraId="162B1D42" w14:textId="77777777" w:rsidR="00E51556" w:rsidRPr="00A53C87" w:rsidRDefault="00E51556" w:rsidP="00645366">
      <w:pPr>
        <w:spacing w:line="240" w:lineRule="auto"/>
        <w:ind w:leftChars="0" w:left="0"/>
        <w:contextualSpacing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</w:pPr>
    </w:p>
    <w:p w14:paraId="04E92977" w14:textId="152060B8" w:rsidR="00E51556" w:rsidRPr="00E51556" w:rsidRDefault="00E51556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proofErr w:type="spellStart"/>
      <w:r w:rsidRPr="00A53C87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>Dentons</w:t>
      </w:r>
      <w:proofErr w:type="spellEnd"/>
      <w:r w:rsidRPr="00A53C87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 jest największą globalną firmą prawniczą, której utalentowany zespół w ponad 75 krajach odpowiada na światowe wyzwania i szanse. Rozwiązania prawne i biznesowe, jakie oferuje </w:t>
      </w:r>
      <w:proofErr w:type="spellStart"/>
      <w:r w:rsidRPr="00A53C87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>Dentons</w:t>
      </w:r>
      <w:proofErr w:type="spellEnd"/>
      <w:r w:rsidRPr="00A53C87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>, czerpią z bogactwa i siły lokalnych społeczności, wykorzystując jednocześnie wielokrotnie nagradzane innowacje w zakresie obsługi klientów, takie jak platforma innowacji i doradztwa strategicznego </w:t>
      </w:r>
      <w:hyperlink r:id="rId14" w:tgtFrame="_blank" w:history="1">
        <w:r w:rsidRPr="00A53C87">
          <w:rPr>
            <w:rStyle w:val="Hipercze"/>
            <w:rFonts w:ascii="Arial" w:hAnsi="Arial" w:cs="Arial"/>
            <w:b/>
            <w:bCs/>
            <w:color w:val="662D90"/>
            <w:sz w:val="20"/>
            <w:szCs w:val="20"/>
            <w:bdr w:val="none" w:sz="0" w:space="0" w:color="auto" w:frame="1"/>
            <w:shd w:val="clear" w:color="auto" w:fill="FFFFFF"/>
            <w:lang w:val="pl-PL"/>
          </w:rPr>
          <w:t>Nextlaw</w:t>
        </w:r>
      </w:hyperlink>
      <w:r w:rsidRPr="00A53C87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. Dzięki swojej policentryczności i podejściu nastawionemu na realizację celów, zaangażowaniu w rozwój integracji i różnorodności, jak również </w:t>
      </w:r>
      <w:r w:rsidRPr="00A53C87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lastRenderedPageBreak/>
        <w:t xml:space="preserve">zapewnieniu klientom dostępu do najbardziej utalentowanych prawników z całego świata, </w:t>
      </w:r>
      <w:proofErr w:type="spellStart"/>
      <w:r w:rsidRPr="00A53C87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>Dentons</w:t>
      </w:r>
      <w:proofErr w:type="spellEnd"/>
      <w:r w:rsidRPr="00A53C87">
        <w:rPr>
          <w:rFonts w:ascii="Arial" w:hAnsi="Arial" w:cs="Arial"/>
          <w:color w:val="333333"/>
          <w:sz w:val="20"/>
          <w:szCs w:val="20"/>
          <w:shd w:val="clear" w:color="auto" w:fill="FFFFFF"/>
          <w:lang w:val="pl-PL"/>
        </w:rPr>
        <w:t xml:space="preserve"> zmienia status quo na rynku obsługi prawnej, wspierając działania klientów i społeczności w tzw. nowej dynamice. </w:t>
      </w:r>
      <w:hyperlink r:id="rId15" w:tgtFrame="_self" w:history="1">
        <w:r w:rsidRPr="00A01C58">
          <w:rPr>
            <w:rStyle w:val="Hipercze"/>
            <w:rFonts w:ascii="Arial" w:hAnsi="Arial" w:cs="Arial"/>
            <w:b/>
            <w:bCs/>
            <w:color w:val="662D90"/>
            <w:sz w:val="20"/>
            <w:szCs w:val="20"/>
            <w:bdr w:val="none" w:sz="0" w:space="0" w:color="auto" w:frame="1"/>
            <w:shd w:val="clear" w:color="auto" w:fill="FFFFFF"/>
            <w:lang w:val="pl-PL"/>
          </w:rPr>
          <w:t>www.dentons.com</w:t>
        </w:r>
      </w:hyperlink>
    </w:p>
    <w:p w14:paraId="4F55BD3D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  <w:lang w:val="pl-PL"/>
        </w:rPr>
      </w:pPr>
    </w:p>
    <w:p w14:paraId="27499E9C" w14:textId="77777777" w:rsidR="003F48D0" w:rsidRPr="00DE0B5B" w:rsidRDefault="003F48D0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</w:pPr>
      <w:r w:rsidRPr="00DE0B5B"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  <w:t>Kontakt dla mediów:</w:t>
      </w:r>
    </w:p>
    <w:p w14:paraId="40F40ABA" w14:textId="03D12C6D" w:rsidR="00C02737" w:rsidRPr="00DE0B5B" w:rsidRDefault="007E549F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val="pl-PL" w:eastAsia="pl-PL"/>
        </w:rPr>
      </w:pPr>
      <w:r w:rsidRPr="00DE0B5B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br/>
      </w:r>
      <w:r w:rsidR="00C02737" w:rsidRPr="00DE0B5B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t>Marcin Sałański</w:t>
      </w:r>
      <w:r w:rsidR="00C02737" w:rsidRPr="00DE0B5B">
        <w:rPr>
          <w:rFonts w:ascii="Arial" w:hAnsi="Arial" w:cs="Arial"/>
          <w:sz w:val="22"/>
          <w:lang w:val="pl-PL"/>
        </w:rPr>
        <w:br/>
      </w:r>
      <w:r w:rsidR="00C02737" w:rsidRPr="00DE0B5B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t>Advisor</w:t>
      </w:r>
    </w:p>
    <w:p w14:paraId="6D4C514B" w14:textId="77777777" w:rsidR="00C02737" w:rsidRPr="00A01C58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val="pl-PL" w:eastAsia="pl-PL"/>
        </w:rPr>
      </w:pPr>
      <w:r w:rsidRPr="00A01C58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t xml:space="preserve">MSL </w:t>
      </w:r>
    </w:p>
    <w:p w14:paraId="23D78E47" w14:textId="77777777" w:rsidR="00C02737" w:rsidRPr="00A01C58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pl-PL"/>
        </w:rPr>
      </w:pPr>
      <w:r w:rsidRPr="00A01C58"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pl-PL"/>
        </w:rPr>
        <w:t>marcin.salanski@mslgroup.com</w:t>
      </w:r>
      <w:r w:rsidRPr="00A01C58">
        <w:rPr>
          <w:rFonts w:ascii="Arial" w:hAnsi="Arial" w:cs="Arial"/>
          <w:color w:val="555555"/>
          <w:sz w:val="20"/>
          <w:szCs w:val="20"/>
          <w:shd w:val="clear" w:color="auto" w:fill="FFFFFF"/>
          <w:lang w:val="pl-PL"/>
        </w:rPr>
        <w:tab/>
      </w:r>
    </w:p>
    <w:p w14:paraId="1F7A0027" w14:textId="2E9BBD1C" w:rsidR="00C02737" w:rsidRPr="00A12799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690 457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516</w:t>
      </w:r>
    </w:p>
    <w:p w14:paraId="0A47CEC3" w14:textId="77777777" w:rsidR="00C02737" w:rsidRDefault="00C02737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</w:p>
    <w:p w14:paraId="4E568B28" w14:textId="024D84AD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Mateusz Kaczor</w:t>
      </w:r>
      <w:r w:rsidRPr="00A12799">
        <w:rPr>
          <w:rFonts w:ascii="Arial" w:hAnsi="Arial" w:cs="Arial"/>
          <w:sz w:val="22"/>
        </w:rPr>
        <w:br/>
      </w: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Senior Account </w:t>
      </w:r>
      <w:r w:rsidR="00C02737">
        <w:rPr>
          <w:rFonts w:ascii="Arial" w:eastAsia="Tahoma" w:hAnsi="Arial" w:cs="Arial"/>
          <w:color w:val="414141"/>
          <w:sz w:val="20"/>
          <w:szCs w:val="20"/>
          <w:lang w:eastAsia="pl-PL"/>
        </w:rPr>
        <w:t>Manager</w:t>
      </w:r>
    </w:p>
    <w:p w14:paraId="6925581E" w14:textId="77777777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58B267E4" w14:textId="77777777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mateusz.kaczor@mslgroup.com</w:t>
      </w:r>
      <w:r w:rsidRPr="00A12799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450BACF8" w14:textId="5851EF5F" w:rsidR="00C02737" w:rsidRDefault="003F48D0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</w:t>
      </w:r>
      <w:r w:rsidR="00EC0485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441</w:t>
      </w:r>
    </w:p>
    <w:p w14:paraId="4950A530" w14:textId="5A58F111" w:rsidR="00EC0485" w:rsidRDefault="00EC0485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</w:p>
    <w:p w14:paraId="2125060C" w14:textId="63C7F507" w:rsidR="00EC0485" w:rsidRDefault="00EC0485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</w:p>
    <w:p w14:paraId="090FF9D1" w14:textId="4B8CBFA4" w:rsidR="00EC0485" w:rsidRPr="00EC0485" w:rsidRDefault="00EC0485" w:rsidP="00EC0485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pl-PL"/>
        </w:rPr>
      </w:pPr>
    </w:p>
    <w:sectPr w:rsidR="00EC0485" w:rsidRPr="00EC0485" w:rsidSect="00B15FF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8BB95" w14:textId="77777777" w:rsidR="00571BA0" w:rsidRDefault="00571BA0">
      <w:pPr>
        <w:ind w:left="420"/>
      </w:pPr>
      <w:r>
        <w:separator/>
      </w:r>
    </w:p>
  </w:endnote>
  <w:endnote w:type="continuationSeparator" w:id="0">
    <w:p w14:paraId="1529AC6D" w14:textId="77777777" w:rsidR="00571BA0" w:rsidRDefault="00571BA0">
      <w:pPr>
        <w:ind w:left="420"/>
      </w:pPr>
      <w:r>
        <w:continuationSeparator/>
      </w:r>
    </w:p>
  </w:endnote>
  <w:endnote w:type="continuationNotice" w:id="1">
    <w:p w14:paraId="78D704E2" w14:textId="77777777" w:rsidR="00571BA0" w:rsidRDefault="00571BA0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473C9C02" w:rsidR="00B15FFE" w:rsidRDefault="00B92448">
          <w:pPr>
            <w:pStyle w:val="Stopka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EC0485">
            <w:rPr>
              <w:noProof/>
            </w:rPr>
            <w:t>2021-02-01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Stopka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6FE1E65D" w:rsidR="00B15FFE" w:rsidRDefault="00E03218" w:rsidP="001B2A88">
          <w:pPr>
            <w:pStyle w:val="Stopka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EC0485">
            <w:rPr>
              <w:noProof/>
            </w:rPr>
            <w:t>4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EC0485">
            <w:rPr>
              <w:noProof/>
            </w:rPr>
            <w:t>4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6F9E8" w14:textId="77777777" w:rsidR="00571BA0" w:rsidRDefault="00571BA0">
      <w:pPr>
        <w:ind w:left="420"/>
      </w:pPr>
      <w:r>
        <w:separator/>
      </w:r>
    </w:p>
  </w:footnote>
  <w:footnote w:type="continuationSeparator" w:id="0">
    <w:p w14:paraId="470A42EC" w14:textId="77777777" w:rsidR="00571BA0" w:rsidRDefault="00571BA0">
      <w:pPr>
        <w:ind w:left="420"/>
      </w:pPr>
      <w:r>
        <w:continuationSeparator/>
      </w:r>
    </w:p>
  </w:footnote>
  <w:footnote w:type="continuationNotice" w:id="1">
    <w:p w14:paraId="3D61B183" w14:textId="77777777" w:rsidR="00571BA0" w:rsidRDefault="00571BA0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Nagwek"/>
          </w:pPr>
          <w:r>
            <w:rPr>
              <w:rFonts w:ascii="SimSun" w:hAnsi="SimSun" w:hint="eastAsia"/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Nagwek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Nagwek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val="pl-PL" w:eastAsia="pl-PL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Informacja</w:t>
          </w:r>
          <w:proofErr w:type="spellEnd"/>
          <w:r w:rsidR="5A2F91FF" w:rsidRPr="1A54B7C2">
            <w:rPr>
              <w:rFonts w:eastAsiaTheme="minorEastAsia" w:cs="Arial"/>
              <w:sz w:val="22"/>
              <w:szCs w:val="22"/>
            </w:rPr>
            <w:t xml:space="preserve">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prasowa</w:t>
          </w:r>
          <w:proofErr w:type="spellEnd"/>
        </w:p>
      </w:tc>
    </w:tr>
  </w:tbl>
  <w:p w14:paraId="7EE871C8" w14:textId="77777777" w:rsidR="00B15FFE" w:rsidRDefault="00B15FFE" w:rsidP="00EE51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1" w15:restartNumberingAfterBreak="0">
    <w:nsid w:val="63546429"/>
    <w:multiLevelType w:val="multilevel"/>
    <w:tmpl w:val="FE4653A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7"/>
  </w:num>
  <w:num w:numId="5">
    <w:abstractNumId w:val="7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9"/>
  </w:num>
  <w:num w:numId="26">
    <w:abstractNumId w:val="14"/>
  </w:num>
  <w:num w:numId="27">
    <w:abstractNumId w:val="14"/>
  </w:num>
  <w:num w:numId="28">
    <w:abstractNumId w:val="14"/>
  </w:num>
  <w:num w:numId="29">
    <w:abstractNumId w:val="1"/>
  </w:num>
  <w:num w:numId="30">
    <w:abstractNumId w:val="9"/>
  </w:num>
  <w:num w:numId="31">
    <w:abstractNumId w:val="9"/>
  </w:num>
  <w:num w:numId="32">
    <w:abstractNumId w:val="14"/>
  </w:num>
  <w:num w:numId="33">
    <w:abstractNumId w:val="11"/>
  </w:num>
  <w:num w:numId="34">
    <w:abstractNumId w:val="11"/>
  </w:num>
  <w:num w:numId="35">
    <w:abstractNumId w:val="11"/>
  </w:num>
  <w:num w:numId="36">
    <w:abstractNumId w:val="3"/>
  </w:num>
  <w:num w:numId="37">
    <w:abstractNumId w:val="10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05C82"/>
    <w:rsid w:val="000132C9"/>
    <w:rsid w:val="00014D39"/>
    <w:rsid w:val="000167BA"/>
    <w:rsid w:val="0002065C"/>
    <w:rsid w:val="000220DD"/>
    <w:rsid w:val="00025F20"/>
    <w:rsid w:val="00034963"/>
    <w:rsid w:val="000355A1"/>
    <w:rsid w:val="00040703"/>
    <w:rsid w:val="00043BE7"/>
    <w:rsid w:val="0004569C"/>
    <w:rsid w:val="00050545"/>
    <w:rsid w:val="00051692"/>
    <w:rsid w:val="00052AFE"/>
    <w:rsid w:val="0006109B"/>
    <w:rsid w:val="00061EA2"/>
    <w:rsid w:val="00063F8F"/>
    <w:rsid w:val="0006652F"/>
    <w:rsid w:val="0007086D"/>
    <w:rsid w:val="00072CD8"/>
    <w:rsid w:val="00073AED"/>
    <w:rsid w:val="00095EB3"/>
    <w:rsid w:val="00096FBD"/>
    <w:rsid w:val="00097037"/>
    <w:rsid w:val="000A0E22"/>
    <w:rsid w:val="000A122E"/>
    <w:rsid w:val="000A1763"/>
    <w:rsid w:val="000A48EB"/>
    <w:rsid w:val="000B2B9D"/>
    <w:rsid w:val="000B36B0"/>
    <w:rsid w:val="000B5C6E"/>
    <w:rsid w:val="000C2FDF"/>
    <w:rsid w:val="000C4567"/>
    <w:rsid w:val="000D23BB"/>
    <w:rsid w:val="000D39BD"/>
    <w:rsid w:val="000D3EB2"/>
    <w:rsid w:val="000D6029"/>
    <w:rsid w:val="000E68C1"/>
    <w:rsid w:val="000F1C76"/>
    <w:rsid w:val="000F1DC9"/>
    <w:rsid w:val="000F64DE"/>
    <w:rsid w:val="000F7621"/>
    <w:rsid w:val="00100542"/>
    <w:rsid w:val="00103086"/>
    <w:rsid w:val="00104597"/>
    <w:rsid w:val="0011467D"/>
    <w:rsid w:val="00117C97"/>
    <w:rsid w:val="00124332"/>
    <w:rsid w:val="00133033"/>
    <w:rsid w:val="00133CF4"/>
    <w:rsid w:val="00140A6A"/>
    <w:rsid w:val="00140C93"/>
    <w:rsid w:val="00143B9A"/>
    <w:rsid w:val="0014701A"/>
    <w:rsid w:val="00156D52"/>
    <w:rsid w:val="0016416F"/>
    <w:rsid w:val="00170DCE"/>
    <w:rsid w:val="001826E9"/>
    <w:rsid w:val="00183CCC"/>
    <w:rsid w:val="00184889"/>
    <w:rsid w:val="001A5557"/>
    <w:rsid w:val="001B0326"/>
    <w:rsid w:val="001B10BB"/>
    <w:rsid w:val="001B14A3"/>
    <w:rsid w:val="001B28AD"/>
    <w:rsid w:val="001B2A88"/>
    <w:rsid w:val="001C2583"/>
    <w:rsid w:val="001D0F21"/>
    <w:rsid w:val="001D6CE9"/>
    <w:rsid w:val="001D75A2"/>
    <w:rsid w:val="001E0299"/>
    <w:rsid w:val="001E5FE3"/>
    <w:rsid w:val="001F61F3"/>
    <w:rsid w:val="001F65CE"/>
    <w:rsid w:val="00201BA2"/>
    <w:rsid w:val="002042F9"/>
    <w:rsid w:val="00214994"/>
    <w:rsid w:val="0022172F"/>
    <w:rsid w:val="002217F0"/>
    <w:rsid w:val="00231164"/>
    <w:rsid w:val="0023284D"/>
    <w:rsid w:val="00235C16"/>
    <w:rsid w:val="00242B6B"/>
    <w:rsid w:val="002455DA"/>
    <w:rsid w:val="002552DE"/>
    <w:rsid w:val="0026473B"/>
    <w:rsid w:val="00264871"/>
    <w:rsid w:val="002670F3"/>
    <w:rsid w:val="00270ECA"/>
    <w:rsid w:val="00281FC1"/>
    <w:rsid w:val="00285F0B"/>
    <w:rsid w:val="00290D81"/>
    <w:rsid w:val="0029227C"/>
    <w:rsid w:val="0029243F"/>
    <w:rsid w:val="00295DE2"/>
    <w:rsid w:val="002A362A"/>
    <w:rsid w:val="002A3E65"/>
    <w:rsid w:val="002A4F97"/>
    <w:rsid w:val="002B5CAE"/>
    <w:rsid w:val="002B79A6"/>
    <w:rsid w:val="002C02DE"/>
    <w:rsid w:val="002C2962"/>
    <w:rsid w:val="002C3830"/>
    <w:rsid w:val="002E2815"/>
    <w:rsid w:val="002E3B0D"/>
    <w:rsid w:val="002E4BD2"/>
    <w:rsid w:val="002F0052"/>
    <w:rsid w:val="002F0C4A"/>
    <w:rsid w:val="002F2984"/>
    <w:rsid w:val="003105F0"/>
    <w:rsid w:val="0031254C"/>
    <w:rsid w:val="00315AFC"/>
    <w:rsid w:val="003262DD"/>
    <w:rsid w:val="003305E8"/>
    <w:rsid w:val="003371BD"/>
    <w:rsid w:val="00337A0D"/>
    <w:rsid w:val="003401DA"/>
    <w:rsid w:val="00344720"/>
    <w:rsid w:val="00344894"/>
    <w:rsid w:val="00346424"/>
    <w:rsid w:val="003538E4"/>
    <w:rsid w:val="00353D0B"/>
    <w:rsid w:val="00355ECD"/>
    <w:rsid w:val="0035747F"/>
    <w:rsid w:val="003579B7"/>
    <w:rsid w:val="00360F54"/>
    <w:rsid w:val="00374EFC"/>
    <w:rsid w:val="0037721A"/>
    <w:rsid w:val="0038279F"/>
    <w:rsid w:val="00386A1C"/>
    <w:rsid w:val="003917F7"/>
    <w:rsid w:val="00392A6E"/>
    <w:rsid w:val="003A16EA"/>
    <w:rsid w:val="003A2DDD"/>
    <w:rsid w:val="003A3AE0"/>
    <w:rsid w:val="003B5B0A"/>
    <w:rsid w:val="003C7E1A"/>
    <w:rsid w:val="003D33E2"/>
    <w:rsid w:val="003D6ABE"/>
    <w:rsid w:val="003D703D"/>
    <w:rsid w:val="003E01D0"/>
    <w:rsid w:val="003F4435"/>
    <w:rsid w:val="003F48D0"/>
    <w:rsid w:val="00403301"/>
    <w:rsid w:val="0040417C"/>
    <w:rsid w:val="0041004A"/>
    <w:rsid w:val="00410B37"/>
    <w:rsid w:val="00436FA0"/>
    <w:rsid w:val="00443949"/>
    <w:rsid w:val="0044460E"/>
    <w:rsid w:val="00450755"/>
    <w:rsid w:val="004556CF"/>
    <w:rsid w:val="0045571B"/>
    <w:rsid w:val="004631CC"/>
    <w:rsid w:val="00463FBE"/>
    <w:rsid w:val="004706B4"/>
    <w:rsid w:val="004710F4"/>
    <w:rsid w:val="0047111D"/>
    <w:rsid w:val="004851D3"/>
    <w:rsid w:val="00486DD3"/>
    <w:rsid w:val="00490F84"/>
    <w:rsid w:val="00496D3F"/>
    <w:rsid w:val="004A1CFF"/>
    <w:rsid w:val="004A5061"/>
    <w:rsid w:val="004A5083"/>
    <w:rsid w:val="004B1E24"/>
    <w:rsid w:val="004B27AA"/>
    <w:rsid w:val="004B67E4"/>
    <w:rsid w:val="004C0EB6"/>
    <w:rsid w:val="004C2050"/>
    <w:rsid w:val="004F0DAF"/>
    <w:rsid w:val="004F256A"/>
    <w:rsid w:val="00504B3C"/>
    <w:rsid w:val="00505569"/>
    <w:rsid w:val="00510708"/>
    <w:rsid w:val="00513C8E"/>
    <w:rsid w:val="00516471"/>
    <w:rsid w:val="00527687"/>
    <w:rsid w:val="00527706"/>
    <w:rsid w:val="00543092"/>
    <w:rsid w:val="00544A41"/>
    <w:rsid w:val="005506A1"/>
    <w:rsid w:val="00551B49"/>
    <w:rsid w:val="00570DFD"/>
    <w:rsid w:val="00571BA0"/>
    <w:rsid w:val="00577B05"/>
    <w:rsid w:val="00585C93"/>
    <w:rsid w:val="005874E3"/>
    <w:rsid w:val="005B014A"/>
    <w:rsid w:val="005B66AE"/>
    <w:rsid w:val="005C2A9F"/>
    <w:rsid w:val="005C688C"/>
    <w:rsid w:val="005D128C"/>
    <w:rsid w:val="005D383F"/>
    <w:rsid w:val="005E4534"/>
    <w:rsid w:val="005E541B"/>
    <w:rsid w:val="005E5A60"/>
    <w:rsid w:val="005F3936"/>
    <w:rsid w:val="00601939"/>
    <w:rsid w:val="006019E5"/>
    <w:rsid w:val="00604F4D"/>
    <w:rsid w:val="00606A84"/>
    <w:rsid w:val="00622C6F"/>
    <w:rsid w:val="006301CA"/>
    <w:rsid w:val="00637224"/>
    <w:rsid w:val="00637294"/>
    <w:rsid w:val="00645366"/>
    <w:rsid w:val="0064717D"/>
    <w:rsid w:val="006502F9"/>
    <w:rsid w:val="00655561"/>
    <w:rsid w:val="00670135"/>
    <w:rsid w:val="00673EC7"/>
    <w:rsid w:val="00675AB0"/>
    <w:rsid w:val="006762BE"/>
    <w:rsid w:val="00677FA7"/>
    <w:rsid w:val="00680B3C"/>
    <w:rsid w:val="006848AE"/>
    <w:rsid w:val="00684F22"/>
    <w:rsid w:val="00685014"/>
    <w:rsid w:val="00686416"/>
    <w:rsid w:val="0069746D"/>
    <w:rsid w:val="006A05F7"/>
    <w:rsid w:val="006A43F5"/>
    <w:rsid w:val="006A6F32"/>
    <w:rsid w:val="006B46FF"/>
    <w:rsid w:val="006C07FD"/>
    <w:rsid w:val="006D3DE5"/>
    <w:rsid w:val="006E07E2"/>
    <w:rsid w:val="006E093B"/>
    <w:rsid w:val="006E228C"/>
    <w:rsid w:val="006E44CB"/>
    <w:rsid w:val="006E7A0B"/>
    <w:rsid w:val="006F509B"/>
    <w:rsid w:val="00702D70"/>
    <w:rsid w:val="00706C12"/>
    <w:rsid w:val="007070F5"/>
    <w:rsid w:val="00712420"/>
    <w:rsid w:val="00717B10"/>
    <w:rsid w:val="00721857"/>
    <w:rsid w:val="00740847"/>
    <w:rsid w:val="00740B7B"/>
    <w:rsid w:val="00743970"/>
    <w:rsid w:val="0074483D"/>
    <w:rsid w:val="007555E7"/>
    <w:rsid w:val="00755786"/>
    <w:rsid w:val="007646E6"/>
    <w:rsid w:val="00767E0E"/>
    <w:rsid w:val="00770920"/>
    <w:rsid w:val="007717F6"/>
    <w:rsid w:val="007735B5"/>
    <w:rsid w:val="00786E3A"/>
    <w:rsid w:val="00792DB0"/>
    <w:rsid w:val="007A03A7"/>
    <w:rsid w:val="007A0716"/>
    <w:rsid w:val="007A16E9"/>
    <w:rsid w:val="007B1144"/>
    <w:rsid w:val="007B4B07"/>
    <w:rsid w:val="007B7DE4"/>
    <w:rsid w:val="007C3EB3"/>
    <w:rsid w:val="007C654D"/>
    <w:rsid w:val="007D0CC4"/>
    <w:rsid w:val="007D203F"/>
    <w:rsid w:val="007D750F"/>
    <w:rsid w:val="007E0224"/>
    <w:rsid w:val="007E17EE"/>
    <w:rsid w:val="007E549F"/>
    <w:rsid w:val="007F2850"/>
    <w:rsid w:val="00810311"/>
    <w:rsid w:val="00810A24"/>
    <w:rsid w:val="0081639B"/>
    <w:rsid w:val="0082115C"/>
    <w:rsid w:val="008238F1"/>
    <w:rsid w:val="00824085"/>
    <w:rsid w:val="00824DAD"/>
    <w:rsid w:val="00832F38"/>
    <w:rsid w:val="0083385C"/>
    <w:rsid w:val="0084010B"/>
    <w:rsid w:val="008404E5"/>
    <w:rsid w:val="00842E72"/>
    <w:rsid w:val="008459C8"/>
    <w:rsid w:val="008469CC"/>
    <w:rsid w:val="00850C61"/>
    <w:rsid w:val="0085F5D1"/>
    <w:rsid w:val="00862BA7"/>
    <w:rsid w:val="00871389"/>
    <w:rsid w:val="008769EF"/>
    <w:rsid w:val="00882212"/>
    <w:rsid w:val="008865D7"/>
    <w:rsid w:val="008A4F14"/>
    <w:rsid w:val="008A7551"/>
    <w:rsid w:val="008B758B"/>
    <w:rsid w:val="008C0103"/>
    <w:rsid w:val="008C0A9C"/>
    <w:rsid w:val="008C3369"/>
    <w:rsid w:val="008C4A74"/>
    <w:rsid w:val="008D0277"/>
    <w:rsid w:val="008D1F02"/>
    <w:rsid w:val="008D1F48"/>
    <w:rsid w:val="008E1FAA"/>
    <w:rsid w:val="008E39C3"/>
    <w:rsid w:val="008E6742"/>
    <w:rsid w:val="008F0FD9"/>
    <w:rsid w:val="00907B2F"/>
    <w:rsid w:val="0091442C"/>
    <w:rsid w:val="00922F91"/>
    <w:rsid w:val="00924123"/>
    <w:rsid w:val="0092445F"/>
    <w:rsid w:val="009318F7"/>
    <w:rsid w:val="00933EEB"/>
    <w:rsid w:val="00943F13"/>
    <w:rsid w:val="009500FC"/>
    <w:rsid w:val="00963437"/>
    <w:rsid w:val="00964FD4"/>
    <w:rsid w:val="00973CEB"/>
    <w:rsid w:val="009765CD"/>
    <w:rsid w:val="00977D09"/>
    <w:rsid w:val="00984842"/>
    <w:rsid w:val="009917B4"/>
    <w:rsid w:val="009A5BA2"/>
    <w:rsid w:val="009B47EA"/>
    <w:rsid w:val="009C1167"/>
    <w:rsid w:val="009C1198"/>
    <w:rsid w:val="009C1767"/>
    <w:rsid w:val="009C5888"/>
    <w:rsid w:val="009C5932"/>
    <w:rsid w:val="009C5D9C"/>
    <w:rsid w:val="009D30FE"/>
    <w:rsid w:val="009E5A74"/>
    <w:rsid w:val="009F1227"/>
    <w:rsid w:val="00A01179"/>
    <w:rsid w:val="00A01C58"/>
    <w:rsid w:val="00A066BF"/>
    <w:rsid w:val="00A10F92"/>
    <w:rsid w:val="00A118F9"/>
    <w:rsid w:val="00A120B4"/>
    <w:rsid w:val="00A12799"/>
    <w:rsid w:val="00A13176"/>
    <w:rsid w:val="00A158A7"/>
    <w:rsid w:val="00A178F0"/>
    <w:rsid w:val="00A30014"/>
    <w:rsid w:val="00A3076B"/>
    <w:rsid w:val="00A3268F"/>
    <w:rsid w:val="00A37F2B"/>
    <w:rsid w:val="00A53C87"/>
    <w:rsid w:val="00A56418"/>
    <w:rsid w:val="00A56581"/>
    <w:rsid w:val="00A61813"/>
    <w:rsid w:val="00A61AB4"/>
    <w:rsid w:val="00A6345C"/>
    <w:rsid w:val="00A666CD"/>
    <w:rsid w:val="00A7362D"/>
    <w:rsid w:val="00A801FF"/>
    <w:rsid w:val="00A83291"/>
    <w:rsid w:val="00A872B4"/>
    <w:rsid w:val="00AA4AFC"/>
    <w:rsid w:val="00AA7259"/>
    <w:rsid w:val="00AB140B"/>
    <w:rsid w:val="00AB2FC4"/>
    <w:rsid w:val="00AB5C2E"/>
    <w:rsid w:val="00AC39C8"/>
    <w:rsid w:val="00AC4278"/>
    <w:rsid w:val="00AD2103"/>
    <w:rsid w:val="00AD5C39"/>
    <w:rsid w:val="00AE0684"/>
    <w:rsid w:val="00AF184C"/>
    <w:rsid w:val="00B006C2"/>
    <w:rsid w:val="00B15FFE"/>
    <w:rsid w:val="00B178C3"/>
    <w:rsid w:val="00B17F34"/>
    <w:rsid w:val="00B25174"/>
    <w:rsid w:val="00B26D82"/>
    <w:rsid w:val="00B41F1F"/>
    <w:rsid w:val="00B47B2E"/>
    <w:rsid w:val="00B555EE"/>
    <w:rsid w:val="00B60D49"/>
    <w:rsid w:val="00B61BEE"/>
    <w:rsid w:val="00B636ED"/>
    <w:rsid w:val="00B87899"/>
    <w:rsid w:val="00B92448"/>
    <w:rsid w:val="00BA4350"/>
    <w:rsid w:val="00BC013C"/>
    <w:rsid w:val="00BC17C3"/>
    <w:rsid w:val="00BC3620"/>
    <w:rsid w:val="00BC7343"/>
    <w:rsid w:val="00BD1B1A"/>
    <w:rsid w:val="00BD2D55"/>
    <w:rsid w:val="00BD4B0B"/>
    <w:rsid w:val="00BD72AD"/>
    <w:rsid w:val="00BD785E"/>
    <w:rsid w:val="00BE4D58"/>
    <w:rsid w:val="00BF4B7B"/>
    <w:rsid w:val="00BF66F1"/>
    <w:rsid w:val="00C01268"/>
    <w:rsid w:val="00C02737"/>
    <w:rsid w:val="00C05EE4"/>
    <w:rsid w:val="00C10654"/>
    <w:rsid w:val="00C22738"/>
    <w:rsid w:val="00C230AC"/>
    <w:rsid w:val="00C32435"/>
    <w:rsid w:val="00C341F2"/>
    <w:rsid w:val="00C34B82"/>
    <w:rsid w:val="00C461F6"/>
    <w:rsid w:val="00C46D0F"/>
    <w:rsid w:val="00C47EB9"/>
    <w:rsid w:val="00C5260E"/>
    <w:rsid w:val="00C53250"/>
    <w:rsid w:val="00C66D5E"/>
    <w:rsid w:val="00C73BE6"/>
    <w:rsid w:val="00C8361D"/>
    <w:rsid w:val="00C83B87"/>
    <w:rsid w:val="00C83C67"/>
    <w:rsid w:val="00CA1550"/>
    <w:rsid w:val="00CA248D"/>
    <w:rsid w:val="00CA6E12"/>
    <w:rsid w:val="00CB304F"/>
    <w:rsid w:val="00CB53D3"/>
    <w:rsid w:val="00CC2358"/>
    <w:rsid w:val="00CD5949"/>
    <w:rsid w:val="00CE1E4B"/>
    <w:rsid w:val="00CE7483"/>
    <w:rsid w:val="00CF2071"/>
    <w:rsid w:val="00CF6390"/>
    <w:rsid w:val="00D00418"/>
    <w:rsid w:val="00D02E65"/>
    <w:rsid w:val="00D02FE8"/>
    <w:rsid w:val="00D07F6E"/>
    <w:rsid w:val="00D1293C"/>
    <w:rsid w:val="00D25C55"/>
    <w:rsid w:val="00D272EE"/>
    <w:rsid w:val="00D45473"/>
    <w:rsid w:val="00D527DB"/>
    <w:rsid w:val="00D54A23"/>
    <w:rsid w:val="00D57EF2"/>
    <w:rsid w:val="00D606E2"/>
    <w:rsid w:val="00D60AFD"/>
    <w:rsid w:val="00D766E0"/>
    <w:rsid w:val="00D76E29"/>
    <w:rsid w:val="00D77FA9"/>
    <w:rsid w:val="00D82A67"/>
    <w:rsid w:val="00D84CED"/>
    <w:rsid w:val="00D90D3C"/>
    <w:rsid w:val="00D92DFA"/>
    <w:rsid w:val="00DA3EC4"/>
    <w:rsid w:val="00DA55F3"/>
    <w:rsid w:val="00DB771C"/>
    <w:rsid w:val="00DD42E1"/>
    <w:rsid w:val="00DD45F1"/>
    <w:rsid w:val="00DE0B5B"/>
    <w:rsid w:val="00DE205E"/>
    <w:rsid w:val="00DF5E3D"/>
    <w:rsid w:val="00DF737C"/>
    <w:rsid w:val="00E0319F"/>
    <w:rsid w:val="00E03218"/>
    <w:rsid w:val="00E05482"/>
    <w:rsid w:val="00E05F69"/>
    <w:rsid w:val="00E20ABD"/>
    <w:rsid w:val="00E20B67"/>
    <w:rsid w:val="00E242A3"/>
    <w:rsid w:val="00E25590"/>
    <w:rsid w:val="00E25B6B"/>
    <w:rsid w:val="00E341B5"/>
    <w:rsid w:val="00E34C37"/>
    <w:rsid w:val="00E37E93"/>
    <w:rsid w:val="00E45F28"/>
    <w:rsid w:val="00E51556"/>
    <w:rsid w:val="00E61D1B"/>
    <w:rsid w:val="00E640E4"/>
    <w:rsid w:val="00E70B34"/>
    <w:rsid w:val="00E760C9"/>
    <w:rsid w:val="00E762A6"/>
    <w:rsid w:val="00E77FD6"/>
    <w:rsid w:val="00E80634"/>
    <w:rsid w:val="00E82319"/>
    <w:rsid w:val="00E90248"/>
    <w:rsid w:val="00E93FBB"/>
    <w:rsid w:val="00E95EDD"/>
    <w:rsid w:val="00E97AE5"/>
    <w:rsid w:val="00EA1278"/>
    <w:rsid w:val="00EA2E2B"/>
    <w:rsid w:val="00EB0630"/>
    <w:rsid w:val="00EB42E9"/>
    <w:rsid w:val="00EB4497"/>
    <w:rsid w:val="00EB731E"/>
    <w:rsid w:val="00EC0149"/>
    <w:rsid w:val="00EC0485"/>
    <w:rsid w:val="00EC5261"/>
    <w:rsid w:val="00EC5E97"/>
    <w:rsid w:val="00ED0065"/>
    <w:rsid w:val="00ED3729"/>
    <w:rsid w:val="00ED5E16"/>
    <w:rsid w:val="00ED7389"/>
    <w:rsid w:val="00EE3D5B"/>
    <w:rsid w:val="00EE5130"/>
    <w:rsid w:val="00EE76D5"/>
    <w:rsid w:val="00EF283A"/>
    <w:rsid w:val="00F007DF"/>
    <w:rsid w:val="00F00A8F"/>
    <w:rsid w:val="00F03D4D"/>
    <w:rsid w:val="00F03E14"/>
    <w:rsid w:val="00F03F2B"/>
    <w:rsid w:val="00F04459"/>
    <w:rsid w:val="00F1377F"/>
    <w:rsid w:val="00F175A7"/>
    <w:rsid w:val="00F2506A"/>
    <w:rsid w:val="00F30E7E"/>
    <w:rsid w:val="00F31094"/>
    <w:rsid w:val="00F371DB"/>
    <w:rsid w:val="00F435DC"/>
    <w:rsid w:val="00F51D51"/>
    <w:rsid w:val="00F57AC3"/>
    <w:rsid w:val="00F622D1"/>
    <w:rsid w:val="00F63BB7"/>
    <w:rsid w:val="00F645BC"/>
    <w:rsid w:val="00F65B42"/>
    <w:rsid w:val="00F738B4"/>
    <w:rsid w:val="00F74273"/>
    <w:rsid w:val="00F83893"/>
    <w:rsid w:val="00F87B3F"/>
    <w:rsid w:val="00F90866"/>
    <w:rsid w:val="00F97821"/>
    <w:rsid w:val="00FA653B"/>
    <w:rsid w:val="00FB0B54"/>
    <w:rsid w:val="00FB6E12"/>
    <w:rsid w:val="00FC018C"/>
    <w:rsid w:val="00FC72E0"/>
    <w:rsid w:val="00FD507F"/>
    <w:rsid w:val="00FE6A2E"/>
    <w:rsid w:val="00FF3F5B"/>
    <w:rsid w:val="00FF4F84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Nagwek1">
    <w:name w:val="heading 1"/>
    <w:next w:val="Nagwek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Nagwek2">
    <w:name w:val="heading 2"/>
    <w:next w:val="Normalny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Nagwek3">
    <w:name w:val="heading 3"/>
    <w:basedOn w:val="Normalny"/>
    <w:next w:val="Normalny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next w:val="Normalny"/>
    <w:rsid w:val="00B15FFE"/>
    <w:pPr>
      <w:keepLines/>
      <w:numPr>
        <w:ilvl w:val="8"/>
        <w:numId w:val="5"/>
      </w:numPr>
      <w:tabs>
        <w:tab w:val="num" w:pos="360"/>
      </w:tabs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Standardowy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Tekstdymka">
    <w:name w:val="Balloon Text"/>
    <w:basedOn w:val="Normalny"/>
    <w:link w:val="TekstdymkaZnak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ny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ny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Stopka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Nagwek">
    <w:name w:val="header"/>
    <w:link w:val="NagwekZnak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ny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ny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ny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ny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NagwekZnak">
    <w:name w:val="Nagłówek Znak"/>
    <w:basedOn w:val="Domylnaczcionkaakapitu"/>
    <w:link w:val="Nagwek"/>
    <w:uiPriority w:val="99"/>
    <w:rsid w:val="0045571B"/>
    <w:rPr>
      <w:rFonts w:ascii="Arial" w:hAnsi="Arial"/>
      <w:sz w:val="18"/>
      <w:szCs w:val="18"/>
    </w:rPr>
  </w:style>
  <w:style w:type="character" w:styleId="Hipercze">
    <w:name w:val="Hyperlink"/>
    <w:basedOn w:val="Domylnaczcionkaakapitu"/>
    <w:uiPriority w:val="99"/>
    <w:rsid w:val="007717F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7F6"/>
  </w:style>
  <w:style w:type="paragraph" w:customStyle="1" w:styleId="ABC">
    <w:name w:val="样式ABC"/>
    <w:basedOn w:val="Normalny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FC72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C72E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UyteHipercze">
    <w:name w:val="FollowedHyperlink"/>
    <w:basedOn w:val="Domylnaczcionkaakapitu"/>
    <w:semiHidden/>
    <w:unhideWhenUsed/>
    <w:rsid w:val="00392A6E"/>
    <w:rPr>
      <w:color w:val="F0F8FE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42E7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42E72"/>
    <w:rPr>
      <w:rFonts w:eastAsia="Times New Roman"/>
    </w:rPr>
  </w:style>
  <w:style w:type="character" w:styleId="Odwoanieprzypisukocowego">
    <w:name w:val="endnote reference"/>
    <w:basedOn w:val="Domylnaczcionkaakapitu"/>
    <w:semiHidden/>
    <w:unhideWhenUsed/>
    <w:rsid w:val="00842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media-huawei.prowly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/youtube.com/Huawe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uaw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nton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witter.com/Huawe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yperlink" Target="https://www.nextlaw.com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D084F-86A5-4637-B32A-E64D8D6F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14</TotalTime>
  <Pages>4</Pages>
  <Words>1155</Words>
  <Characters>6931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8070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Marcin Salanski</cp:lastModifiedBy>
  <cp:revision>6</cp:revision>
  <dcterms:created xsi:type="dcterms:W3CDTF">2021-02-01T10:19:00Z</dcterms:created>
  <dcterms:modified xsi:type="dcterms:W3CDTF">2021-02-01T13:02:00Z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