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62F1" w14:textId="77777777" w:rsidR="00960038" w:rsidRDefault="00960038" w:rsidP="00960038">
      <w:pPr>
        <w:spacing w:line="240" w:lineRule="auto"/>
        <w:ind w:leftChars="0" w:left="0"/>
        <w:jc w:val="both"/>
        <w:rPr>
          <w:rFonts w:ascii="Tahoma" w:eastAsia="STXihei" w:hAnsi="Tahoma" w:cs="Tahoma"/>
          <w:b/>
          <w:bCs/>
          <w:sz w:val="24"/>
          <w:szCs w:val="24"/>
          <w:lang w:val="pl-PL"/>
        </w:rPr>
      </w:pPr>
    </w:p>
    <w:p w14:paraId="23AE3E9E" w14:textId="0CFD598E" w:rsidR="00960038" w:rsidRPr="00960038" w:rsidRDefault="00960038" w:rsidP="00960038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8"/>
          <w:szCs w:val="22"/>
          <w:lang w:val="pl-PL"/>
        </w:rPr>
      </w:pPr>
      <w:r w:rsidRPr="00960038">
        <w:rPr>
          <w:rFonts w:ascii="Tahoma" w:eastAsia="STXihei" w:hAnsi="Tahoma" w:cs="Tahoma"/>
          <w:b/>
          <w:sz w:val="28"/>
          <w:szCs w:val="22"/>
          <w:lang w:val="pl-PL"/>
        </w:rPr>
        <w:t xml:space="preserve">Global Connectivity Index 2020: cyfryzacja zmniejsza negatywny wpływ pandemii na PKB nawet o 50 proc. </w:t>
      </w:r>
    </w:p>
    <w:p w14:paraId="17299890" w14:textId="77777777" w:rsidR="00DE0B5B" w:rsidRDefault="00DE0B5B" w:rsidP="00B2517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</w:p>
    <w:p w14:paraId="6CA934C8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0"/>
          <w:szCs w:val="22"/>
          <w:lang w:val="pl-PL"/>
        </w:rPr>
      </w:pPr>
      <w:bookmarkStart w:id="0" w:name="OLE_LINK2"/>
      <w:bookmarkStart w:id="1" w:name="OLE_LINK1"/>
      <w:r w:rsidRPr="00960038">
        <w:rPr>
          <w:rFonts w:ascii="Tahoma" w:eastAsia="STXihei" w:hAnsi="Tahoma" w:cs="Tahoma"/>
          <w:b/>
          <w:sz w:val="20"/>
          <w:szCs w:val="22"/>
          <w:lang w:val="pl-PL"/>
        </w:rPr>
        <w:t xml:space="preserve">Globalne gospodarki, które postawią na cyfryzację w oparciu o inteligentną komunikację mogą liczyć na szybsze odbicie po pandemii oraz wzrost PKB na jednego mieszkańca – takie wnioski płyną z najnowszej edycji raportu Huawei Global Connectivity Index 2020 (CGI). </w:t>
      </w:r>
      <w:bookmarkEnd w:id="0"/>
      <w:bookmarkEnd w:id="1"/>
    </w:p>
    <w:p w14:paraId="54C24191" w14:textId="66750241" w:rsidR="008A7551" w:rsidRPr="00960038" w:rsidRDefault="008A7551" w:rsidP="007E549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0BAB2B2D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>Siódmy już raport Global Connectivity Index podkreśla przede wszystkim, że gospodarki cyfrowe są bardziej odporne na pandemię. Zdaniem autorów raportu gospodarki o wyższej dojrzałości cyfrowej złagodzić negatywny wpływ pandemii na PKB per capita nawet o 50%.</w:t>
      </w:r>
    </w:p>
    <w:p w14:paraId="5D79DCC7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64D58D66" w14:textId="77777777" w:rsidR="00FB46C0" w:rsidRDefault="00FB46C0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FB46C0">
        <w:rPr>
          <w:rFonts w:ascii="Tahoma" w:eastAsia="STXihei" w:hAnsi="Tahoma" w:cs="Tahoma"/>
          <w:sz w:val="20"/>
          <w:szCs w:val="22"/>
          <w:lang w:val="pl-PL"/>
        </w:rPr>
        <w:t xml:space="preserve">Rośnie również tempo inwestycji w nowe technologie w krajach rozwijających się z grupy tzw. </w:t>
      </w:r>
      <w:proofErr w:type="spellStart"/>
      <w:r w:rsidRPr="00FB46C0">
        <w:rPr>
          <w:rFonts w:ascii="Tahoma" w:eastAsia="STXihei" w:hAnsi="Tahoma" w:cs="Tahoma"/>
          <w:sz w:val="20"/>
          <w:szCs w:val="22"/>
          <w:lang w:val="pl-PL"/>
        </w:rPr>
        <w:t>Adopters</w:t>
      </w:r>
      <w:proofErr w:type="spellEnd"/>
      <w:r w:rsidRPr="00FB46C0">
        <w:rPr>
          <w:rFonts w:ascii="Tahoma" w:eastAsia="STXihei" w:hAnsi="Tahoma" w:cs="Tahoma"/>
          <w:sz w:val="20"/>
          <w:szCs w:val="22"/>
          <w:lang w:val="pl-PL"/>
        </w:rPr>
        <w:t xml:space="preserve">. Kraje te coraz mocniej niwelują lukę w obszarze cyfryzacji w porównaniu z krajami rozwiniętymi z grup </w:t>
      </w:r>
      <w:proofErr w:type="spellStart"/>
      <w:r w:rsidRPr="00FB46C0">
        <w:rPr>
          <w:rFonts w:ascii="Tahoma" w:eastAsia="STXihei" w:hAnsi="Tahoma" w:cs="Tahoma"/>
          <w:sz w:val="20"/>
          <w:szCs w:val="22"/>
          <w:lang w:val="pl-PL"/>
        </w:rPr>
        <w:t>Frontrunner</w:t>
      </w:r>
      <w:proofErr w:type="spellEnd"/>
      <w:r w:rsidRPr="00FB46C0">
        <w:rPr>
          <w:rFonts w:ascii="Tahoma" w:eastAsia="STXihei" w:hAnsi="Tahoma" w:cs="Tahoma"/>
          <w:sz w:val="20"/>
          <w:szCs w:val="22"/>
          <w:lang w:val="pl-PL"/>
        </w:rPr>
        <w:t xml:space="preserve"> i </w:t>
      </w:r>
      <w:proofErr w:type="spellStart"/>
      <w:r w:rsidRPr="00FB46C0">
        <w:rPr>
          <w:rFonts w:ascii="Tahoma" w:eastAsia="STXihei" w:hAnsi="Tahoma" w:cs="Tahoma"/>
          <w:sz w:val="20"/>
          <w:szCs w:val="22"/>
          <w:lang w:val="pl-PL"/>
        </w:rPr>
        <w:t>Adopter</w:t>
      </w:r>
      <w:proofErr w:type="spellEnd"/>
      <w:r w:rsidRPr="00FB46C0">
        <w:rPr>
          <w:rFonts w:ascii="Tahoma" w:eastAsia="STXihei" w:hAnsi="Tahoma" w:cs="Tahoma"/>
          <w:sz w:val="20"/>
          <w:szCs w:val="22"/>
          <w:lang w:val="pl-PL"/>
        </w:rPr>
        <w:t>. Polska utrzymała z kolei swój zeszłoroczny wyniki na poziomie 51 punktów i zajęła 39 miejsce.</w:t>
      </w:r>
    </w:p>
    <w:p w14:paraId="4BF7E2A5" w14:textId="4857A158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 </w:t>
      </w:r>
    </w:p>
    <w:p w14:paraId="7FBEB652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b/>
          <w:sz w:val="20"/>
          <w:szCs w:val="22"/>
          <w:lang w:val="pl-PL"/>
        </w:rPr>
        <w:t xml:space="preserve">Polska z potencjałem w obszarze SI </w:t>
      </w:r>
    </w:p>
    <w:p w14:paraId="452CEAD8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52655496" w14:textId="61A44B8B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Według najnowszego raportu Polska utrzymała swój zeszłoroczny wyniki na poziomie 51 punktów, co daje jej 39 miejsce na 79 badanych krajów. Kluczowe dla dalszego rozwoju cyfryzacji będą inwestycje w łącz szerokopasmowe, technologie chmurowe oraz rozwiązania z obszaru Internetu Rzeczy. Analitycy dostrzegają ponadto polski potencjał w zakresie wypracowania nowych modeli biznesowych, w obszarze programowania i rozwoju technologii sztucznej inteligencji. </w:t>
      </w:r>
    </w:p>
    <w:p w14:paraId="76F2EEFB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146ACE72" w14:textId="2C3EF059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Polska utrzymała najwyższy możliwy wynik w zakresie mobilnego </w:t>
      </w:r>
      <w:proofErr w:type="spellStart"/>
      <w:r w:rsidRPr="00960038">
        <w:rPr>
          <w:rFonts w:ascii="Tahoma" w:eastAsia="STXihei" w:hAnsi="Tahoma" w:cs="Tahoma"/>
          <w:sz w:val="20"/>
          <w:szCs w:val="22"/>
          <w:lang w:val="pl-PL"/>
        </w:rPr>
        <w:t>internetu</w:t>
      </w:r>
      <w:proofErr w:type="spellEnd"/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 szerokopasmowego i przez ostatni rok wykazała poprawę zarówno w obszarze nasycenia rynku smartfonami, jak i w dostępie do komputerów stacjonarnych i laptopów na gospodarstwo domowe. W innych kategoriach Polska plasuje się ze swoimi z wynikami powyżej średniej globalnej. </w:t>
      </w:r>
    </w:p>
    <w:p w14:paraId="05975C6E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607E979F" w14:textId="41C57730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b/>
          <w:sz w:val="20"/>
          <w:szCs w:val="22"/>
          <w:lang w:val="pl-PL"/>
        </w:rPr>
        <w:t xml:space="preserve">Malejący cyfrowy dystans </w:t>
      </w:r>
    </w:p>
    <w:p w14:paraId="0B151D9E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738B8F0B" w14:textId="39FE134A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>Kluczowym wnioskiem w najnowszej edycji raportu GCI jest, że kraje, które dopiero rozpoczynają proces cyfryzacji poczyniły w ostatnim znaczne postępy w zakresie łączności szerokopasmowej. Średnia penetracja mobilnych łączy szerokopasmowych wzrosła u nich ponad 2,5-krotnie, liczba abonamentów sieci 4G wzrosła z 1% do 19%, a mobilne łącza szerokopasmowe stały się o 25% bardziej przystępne cenowo.</w:t>
      </w:r>
    </w:p>
    <w:p w14:paraId="6336CE34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4BFB827F" w14:textId="332C5806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Tegoroczny raport pokazuje, że państwa, które przyspieszyły wydatki na cyfryzację zaliczyły </w:t>
      </w:r>
      <w:r w:rsidRPr="00960038">
        <w:rPr>
          <w:rFonts w:ascii="Tahoma" w:eastAsia="STXihei" w:hAnsi="Tahoma" w:cs="Tahoma"/>
          <w:sz w:val="20"/>
          <w:szCs w:val="22"/>
          <w:lang w:val="pl-PL"/>
        </w:rPr>
        <w:lastRenderedPageBreak/>
        <w:t xml:space="preserve">wzrost w innych obszarach gospodarki. Wydatki na e-commerce wzrosły prawie dwukrotnie od 2014 r. do ponad 2 000 USD na osobę. Wymuszone przez pandemie cyfrowe inwestycji sprawiły, że niektóre kraje zwiększyły swój wynik GCI nawet o 17% i zdołały podnieść PKB o 22% więcej niż inny uczestnicy raportu. </w:t>
      </w:r>
    </w:p>
    <w:p w14:paraId="47399D1F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0ACA1263" w14:textId="0430FA0E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Tegoroczny raport wykazał ponadto, że skłonność firm do inwestowania w IT różni się w zależności od ich pochodzenia. Organizacje w krajach z grup </w:t>
      </w:r>
      <w:proofErr w:type="spellStart"/>
      <w:r w:rsidRPr="00960038">
        <w:rPr>
          <w:rFonts w:ascii="Tahoma" w:eastAsia="STXihei" w:hAnsi="Tahoma" w:cs="Tahoma"/>
          <w:sz w:val="20"/>
          <w:szCs w:val="22"/>
          <w:lang w:val="pl-PL"/>
        </w:rPr>
        <w:t>Frontrunner</w:t>
      </w:r>
      <w:proofErr w:type="spellEnd"/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 i </w:t>
      </w:r>
      <w:proofErr w:type="spellStart"/>
      <w:r w:rsidRPr="00960038">
        <w:rPr>
          <w:rFonts w:ascii="Tahoma" w:eastAsia="STXihei" w:hAnsi="Tahoma" w:cs="Tahoma"/>
          <w:sz w:val="20"/>
          <w:szCs w:val="22"/>
          <w:lang w:val="pl-PL"/>
        </w:rPr>
        <w:t>Adopter</w:t>
      </w:r>
      <w:proofErr w:type="spellEnd"/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 uważają utrzymanie budżetów IT za ważniejsze niż finansowanie innych obszarów działania. Zmniejszyły one również swoje budżety IT średnio o 2,5 do 3,5 razy mniej niż organizacje w innych krajach. </w:t>
      </w:r>
    </w:p>
    <w:p w14:paraId="65F5A9B9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0530280D" w14:textId="328A9035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0"/>
          <w:szCs w:val="22"/>
          <w:lang w:val="pl-PL"/>
        </w:rPr>
      </w:pPr>
      <w:bookmarkStart w:id="2" w:name="_GoBack"/>
      <w:r w:rsidRPr="00960038">
        <w:rPr>
          <w:rFonts w:ascii="Tahoma" w:eastAsia="STXihei" w:hAnsi="Tahoma" w:cs="Tahoma"/>
          <w:b/>
          <w:sz w:val="20"/>
          <w:szCs w:val="22"/>
          <w:lang w:val="pl-PL"/>
        </w:rPr>
        <w:t xml:space="preserve">Cyfryzacja </w:t>
      </w:r>
      <w:r w:rsidR="009935F1">
        <w:rPr>
          <w:rFonts w:ascii="Tahoma" w:eastAsia="STXihei" w:hAnsi="Tahoma" w:cs="Tahoma"/>
          <w:b/>
          <w:sz w:val="20"/>
          <w:szCs w:val="22"/>
          <w:lang w:val="pl-PL"/>
        </w:rPr>
        <w:t xml:space="preserve">zgodnie z planem </w:t>
      </w:r>
    </w:p>
    <w:bookmarkEnd w:id="2"/>
    <w:p w14:paraId="7FB63A54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12E0FD88" w14:textId="3C6364CD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Aby uzyskać jak najlepszy efekt, kraje muszą dokonywać jednak inwestycji w ICT w oparciu o unikalny zestaw zasobów i czynników produkcyjnych dla konkretnych obszarów gospodarki. Po raz pierwszy w raporcie GCI autorzy zaproponowali również pięć kluczowych etapów cyfrowej transformacji: </w:t>
      </w:r>
    </w:p>
    <w:p w14:paraId="103115C7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5C6B0C91" w14:textId="3B597E5F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Etap 1: </w:t>
      </w:r>
      <w:r w:rsidRPr="00960038">
        <w:rPr>
          <w:rFonts w:ascii="Tahoma" w:eastAsia="STXihei" w:hAnsi="Tahoma" w:cs="Tahoma"/>
          <w:b/>
          <w:sz w:val="20"/>
          <w:szCs w:val="22"/>
          <w:lang w:val="pl-PL"/>
        </w:rPr>
        <w:t>Efektywność zadań</w:t>
      </w: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 – państwa i firmy muszą kłaść nacisk na śledzenie realizacji poszczególnych zadań poprzez bardziej efektywną komunikację.</w:t>
      </w:r>
    </w:p>
    <w:p w14:paraId="7351DB99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11CDFF6E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Etap 2: </w:t>
      </w:r>
      <w:r w:rsidRPr="00960038">
        <w:rPr>
          <w:rFonts w:ascii="Tahoma" w:eastAsia="STXihei" w:hAnsi="Tahoma" w:cs="Tahoma"/>
          <w:b/>
          <w:sz w:val="20"/>
          <w:szCs w:val="22"/>
          <w:lang w:val="pl-PL"/>
        </w:rPr>
        <w:t>Wydajność funkcji</w:t>
      </w: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 – automatyzacja funkcji ICT pozwalają na jednoczesną obsługę wielu zadań i bardziej efektywną wymianę informacji.</w:t>
      </w:r>
    </w:p>
    <w:p w14:paraId="0CC24A18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26CCCFE4" w14:textId="75D52390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Etap 3: </w:t>
      </w:r>
      <w:r w:rsidRPr="00960038">
        <w:rPr>
          <w:rFonts w:ascii="Tahoma" w:eastAsia="STXihei" w:hAnsi="Tahoma" w:cs="Tahoma"/>
          <w:b/>
          <w:sz w:val="20"/>
          <w:szCs w:val="22"/>
          <w:lang w:val="pl-PL"/>
        </w:rPr>
        <w:t>Wydajność systemu</w:t>
      </w: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 – większy nacisk powinien być kładziony na cyfryzację podstawowych funkcji systemowych w celu zapewnienia wydajnych operacji. Przedsiębiorstwa na tym etapie będą miały większe zapotrzebowanie usługi w chmurze.</w:t>
      </w:r>
    </w:p>
    <w:p w14:paraId="2B0A6800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1A5028C2" w14:textId="5ACDFA5B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Etap 4: </w:t>
      </w:r>
      <w:r w:rsidRPr="00960038">
        <w:rPr>
          <w:rFonts w:ascii="Tahoma" w:eastAsia="STXihei" w:hAnsi="Tahoma" w:cs="Tahoma"/>
          <w:b/>
          <w:sz w:val="20"/>
          <w:szCs w:val="22"/>
          <w:lang w:val="pl-PL"/>
        </w:rPr>
        <w:t xml:space="preserve">Efektywność i sprawność organizacyjna – </w:t>
      </w: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bardziej skomplikowane procesy firmowe są stopniowo </w:t>
      </w:r>
      <w:proofErr w:type="spellStart"/>
      <w:r w:rsidRPr="00960038">
        <w:rPr>
          <w:rFonts w:ascii="Tahoma" w:eastAsia="STXihei" w:hAnsi="Tahoma" w:cs="Tahoma"/>
          <w:sz w:val="20"/>
          <w:szCs w:val="22"/>
          <w:lang w:val="pl-PL"/>
        </w:rPr>
        <w:t>digitalizowane</w:t>
      </w:r>
      <w:proofErr w:type="spellEnd"/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, aplikacje migrują do chmury, a wszystkie systemy są skutecznie integrowane. Ponadto następuje szeroka adaptacja aplikacji opartych na chmurze oraz rozwiązań SI i </w:t>
      </w:r>
      <w:proofErr w:type="spellStart"/>
      <w:r w:rsidRPr="00960038">
        <w:rPr>
          <w:rFonts w:ascii="Tahoma" w:eastAsia="STXihei" w:hAnsi="Tahoma" w:cs="Tahoma"/>
          <w:sz w:val="20"/>
          <w:szCs w:val="22"/>
          <w:lang w:val="pl-PL"/>
        </w:rPr>
        <w:t>IoT</w:t>
      </w:r>
      <w:proofErr w:type="spellEnd"/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, które umożliwiają analizę danych w czasie rzeczywistym. </w:t>
      </w:r>
    </w:p>
    <w:p w14:paraId="6D3CC3F7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10386688" w14:textId="0FB35125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Etap 5: </w:t>
      </w:r>
      <w:r w:rsidRPr="00960038">
        <w:rPr>
          <w:rFonts w:ascii="Tahoma" w:eastAsia="STXihei" w:hAnsi="Tahoma" w:cs="Tahoma"/>
          <w:b/>
          <w:sz w:val="20"/>
          <w:szCs w:val="22"/>
          <w:lang w:val="pl-PL"/>
        </w:rPr>
        <w:t>Wydajność i odporność całego systemu</w:t>
      </w: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 – cały firmowy ekosystem jest </w:t>
      </w:r>
      <w:proofErr w:type="spellStart"/>
      <w:r w:rsidRPr="00960038">
        <w:rPr>
          <w:rFonts w:ascii="Tahoma" w:eastAsia="STXihei" w:hAnsi="Tahoma" w:cs="Tahoma"/>
          <w:sz w:val="20"/>
          <w:szCs w:val="22"/>
          <w:lang w:val="pl-PL"/>
        </w:rPr>
        <w:t>zdigitalizowany</w:t>
      </w:r>
      <w:proofErr w:type="spellEnd"/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, zdolny do szybkiego reagowania na zmiany rynkowe. Co więcej, technologie, takie jak 5G, </w:t>
      </w:r>
      <w:proofErr w:type="spellStart"/>
      <w:r w:rsidRPr="00960038">
        <w:rPr>
          <w:rFonts w:ascii="Tahoma" w:eastAsia="STXihei" w:hAnsi="Tahoma" w:cs="Tahoma"/>
          <w:sz w:val="20"/>
          <w:szCs w:val="22"/>
          <w:lang w:val="pl-PL"/>
        </w:rPr>
        <w:t>IoT</w:t>
      </w:r>
      <w:proofErr w:type="spellEnd"/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 i robotyka, stwarzają nowe możliwości dla powstawania nowych modeli biznesowych, metod pracy i produktów w całym procesie cyfryzacji.</w:t>
      </w:r>
    </w:p>
    <w:p w14:paraId="313AD3E0" w14:textId="77777777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</w:p>
    <w:p w14:paraId="5EC230E4" w14:textId="09D7A753" w:rsidR="00960038" w:rsidRPr="00960038" w:rsidRDefault="00960038" w:rsidP="00960038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0"/>
          <w:szCs w:val="22"/>
          <w:lang w:val="pl-PL"/>
        </w:rPr>
      </w:pPr>
      <w:r w:rsidRPr="00960038">
        <w:rPr>
          <w:rFonts w:ascii="Tahoma" w:eastAsia="STXihei" w:hAnsi="Tahoma" w:cs="Tahoma"/>
          <w:sz w:val="20"/>
          <w:szCs w:val="22"/>
          <w:lang w:val="pl-PL"/>
        </w:rPr>
        <w:t xml:space="preserve">Więcej informacji o raporcie GCI na stronie: </w:t>
      </w:r>
      <w:hyperlink r:id="rId8" w:history="1">
        <w:r w:rsidRPr="00960038">
          <w:rPr>
            <w:rStyle w:val="Hipercze"/>
            <w:rFonts w:ascii="Tahoma" w:eastAsia="STXihei" w:hAnsi="Tahoma" w:cs="Tahoma"/>
            <w:sz w:val="20"/>
            <w:szCs w:val="22"/>
            <w:lang w:val="pl-PL"/>
          </w:rPr>
          <w:t>https://www.huawei.com/minisite/gci/en/</w:t>
        </w:r>
      </w:hyperlink>
    </w:p>
    <w:p w14:paraId="20A7B6C6" w14:textId="7744EB68" w:rsidR="005F05A3" w:rsidRDefault="005F05A3" w:rsidP="00960038">
      <w:pPr>
        <w:spacing w:line="240" w:lineRule="auto"/>
        <w:ind w:leftChars="0" w:left="0"/>
        <w:contextualSpacing/>
        <w:rPr>
          <w:rFonts w:ascii="Arial" w:eastAsia="Arial Unicode MS" w:hAnsi="Arial" w:cs="Arial"/>
          <w:sz w:val="22"/>
          <w:szCs w:val="22"/>
          <w:lang w:val="pl-PL"/>
        </w:rPr>
      </w:pPr>
    </w:p>
    <w:p w14:paraId="63BCB55E" w14:textId="1A433DD4" w:rsidR="00A120B4" w:rsidRPr="008C0103" w:rsidRDefault="00A120B4" w:rsidP="00BF562F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</w:t>
      </w:r>
      <w:r w:rsidRPr="00A12799">
        <w:rPr>
          <w:rFonts w:ascii="Arial" w:hAnsi="Arial" w:cs="Arial"/>
          <w:sz w:val="22"/>
          <w:szCs w:val="22"/>
          <w:lang w:val="pl-PL"/>
        </w:rPr>
        <w:lastRenderedPageBreak/>
        <w:t xml:space="preserve">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9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F27AEA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12DEA4F" w14:textId="77777777" w:rsidR="003F48D0" w:rsidRPr="00A12799" w:rsidRDefault="00F27AEA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http://www.twitter.com/Huawei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3982CB7D" w14:textId="77777777" w:rsidR="003F48D0" w:rsidRPr="00A12799" w:rsidRDefault="00F27AEA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9C55EBD" w14:textId="77777777" w:rsidR="003F48D0" w:rsidRPr="00A12799" w:rsidRDefault="00F27AEA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3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4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0EDD2743" w14:textId="2B7D671A" w:rsidR="00E51556" w:rsidRDefault="00E51556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DE0B5B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40F40ABA" w14:textId="03D12C6D" w:rsidR="00C02737" w:rsidRPr="00DE0B5B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DE0B5B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br/>
      </w:r>
      <w:r w:rsidR="00C02737" w:rsidRPr="00DE0B5B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Marcin Sałański</w:t>
      </w:r>
      <w:r w:rsidR="00C02737" w:rsidRPr="00DE0B5B">
        <w:rPr>
          <w:rFonts w:ascii="Arial" w:hAnsi="Arial" w:cs="Arial"/>
          <w:sz w:val="22"/>
          <w:lang w:val="pl-PL"/>
        </w:rPr>
        <w:br/>
      </w:r>
      <w:r w:rsidR="00C02737" w:rsidRPr="00DE0B5B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1F7A0027" w14:textId="2E9BBD1C" w:rsidR="00C02737" w:rsidRPr="00A12799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p w14:paraId="0A47CEC3" w14:textId="77777777" w:rsidR="00C02737" w:rsidRDefault="00C0273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</w:p>
    <w:p w14:paraId="4E568B28" w14:textId="4EA4F40A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 w:rsidR="00C74A48"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 w:rsidR="00C02737"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6925581E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58B267E4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50BACF8" w14:textId="5851EF5F" w:rsidR="00C02737" w:rsidRDefault="003F48D0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 w:rsidR="00EC0485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950A530" w14:textId="5A58F111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2125060C" w14:textId="63C7F507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090FF9D1" w14:textId="4B8CBFA4" w:rsidR="00EC0485" w:rsidRPr="00EC0485" w:rsidRDefault="00EC0485" w:rsidP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</w:p>
    <w:sectPr w:rsidR="00EC0485" w:rsidRPr="00EC0485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7512" w14:textId="77777777" w:rsidR="00F27AEA" w:rsidRDefault="00F27AEA">
      <w:pPr>
        <w:ind w:left="420"/>
      </w:pPr>
      <w:r>
        <w:separator/>
      </w:r>
    </w:p>
  </w:endnote>
  <w:endnote w:type="continuationSeparator" w:id="0">
    <w:p w14:paraId="127E97B9" w14:textId="77777777" w:rsidR="00F27AEA" w:rsidRDefault="00F27AEA">
      <w:pPr>
        <w:ind w:left="420"/>
      </w:pPr>
      <w:r>
        <w:continuationSeparator/>
      </w:r>
    </w:p>
  </w:endnote>
  <w:endnote w:type="continuationNotice" w:id="1">
    <w:p w14:paraId="1D61AEE0" w14:textId="77777777" w:rsidR="00F27AEA" w:rsidRDefault="00F27AEA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3CEB0094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FB46C0">
            <w:rPr>
              <w:noProof/>
            </w:rPr>
            <w:t>2021-02-25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21776A83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9935F1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9935F1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FC6CC" w14:textId="77777777" w:rsidR="00F27AEA" w:rsidRDefault="00F27AEA">
      <w:pPr>
        <w:ind w:left="420"/>
      </w:pPr>
      <w:r>
        <w:separator/>
      </w:r>
    </w:p>
  </w:footnote>
  <w:footnote w:type="continuationSeparator" w:id="0">
    <w:p w14:paraId="15831EEB" w14:textId="77777777" w:rsidR="00F27AEA" w:rsidRDefault="00F27AEA">
      <w:pPr>
        <w:ind w:left="420"/>
      </w:pPr>
      <w:r>
        <w:continuationSeparator/>
      </w:r>
    </w:p>
  </w:footnote>
  <w:footnote w:type="continuationNotice" w:id="1">
    <w:p w14:paraId="2ECDFF73" w14:textId="77777777" w:rsidR="00F27AEA" w:rsidRDefault="00F27AEA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6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9"/>
  </w:num>
  <w:num w:numId="5">
    <w:abstractNumId w:val="9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6"/>
  </w:num>
  <w:num w:numId="27">
    <w:abstractNumId w:val="16"/>
  </w:num>
  <w:num w:numId="28">
    <w:abstractNumId w:val="16"/>
  </w:num>
  <w:num w:numId="29">
    <w:abstractNumId w:val="1"/>
  </w:num>
  <w:num w:numId="30">
    <w:abstractNumId w:val="11"/>
  </w:num>
  <w:num w:numId="31">
    <w:abstractNumId w:val="11"/>
  </w:num>
  <w:num w:numId="32">
    <w:abstractNumId w:val="16"/>
  </w:num>
  <w:num w:numId="33">
    <w:abstractNumId w:val="13"/>
  </w:num>
  <w:num w:numId="34">
    <w:abstractNumId w:val="13"/>
  </w:num>
  <w:num w:numId="35">
    <w:abstractNumId w:val="13"/>
  </w:num>
  <w:num w:numId="36">
    <w:abstractNumId w:val="5"/>
  </w:num>
  <w:num w:numId="37">
    <w:abstractNumId w:val="12"/>
  </w:num>
  <w:num w:numId="38">
    <w:abstractNumId w:val="14"/>
  </w:num>
  <w:num w:numId="39">
    <w:abstractNumId w:val="10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4D39"/>
    <w:rsid w:val="000167BA"/>
    <w:rsid w:val="0002065C"/>
    <w:rsid w:val="000220DD"/>
    <w:rsid w:val="00025F20"/>
    <w:rsid w:val="00034963"/>
    <w:rsid w:val="000355A1"/>
    <w:rsid w:val="00040703"/>
    <w:rsid w:val="00043BE7"/>
    <w:rsid w:val="0004569C"/>
    <w:rsid w:val="00050545"/>
    <w:rsid w:val="00051692"/>
    <w:rsid w:val="00052AFE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95EB3"/>
    <w:rsid w:val="00096FBD"/>
    <w:rsid w:val="00097037"/>
    <w:rsid w:val="000A0E22"/>
    <w:rsid w:val="000A122E"/>
    <w:rsid w:val="000A136E"/>
    <w:rsid w:val="000A1763"/>
    <w:rsid w:val="000A48EB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33033"/>
    <w:rsid w:val="00133CF4"/>
    <w:rsid w:val="00140A6A"/>
    <w:rsid w:val="00140C93"/>
    <w:rsid w:val="00143B9A"/>
    <w:rsid w:val="0014701A"/>
    <w:rsid w:val="00156D52"/>
    <w:rsid w:val="0016416F"/>
    <w:rsid w:val="00170DCE"/>
    <w:rsid w:val="00177865"/>
    <w:rsid w:val="001826E9"/>
    <w:rsid w:val="00183CCC"/>
    <w:rsid w:val="00184889"/>
    <w:rsid w:val="001A5557"/>
    <w:rsid w:val="001B0326"/>
    <w:rsid w:val="001B10BB"/>
    <w:rsid w:val="001B14A3"/>
    <w:rsid w:val="001B28AD"/>
    <w:rsid w:val="001B2A88"/>
    <w:rsid w:val="001C2583"/>
    <w:rsid w:val="001D0F21"/>
    <w:rsid w:val="001D3CBE"/>
    <w:rsid w:val="001D6CE9"/>
    <w:rsid w:val="001D75A2"/>
    <w:rsid w:val="001E0299"/>
    <w:rsid w:val="001E5FE3"/>
    <w:rsid w:val="001F61F3"/>
    <w:rsid w:val="001F65CE"/>
    <w:rsid w:val="00201BA2"/>
    <w:rsid w:val="002042F9"/>
    <w:rsid w:val="00214994"/>
    <w:rsid w:val="0022172F"/>
    <w:rsid w:val="002217F0"/>
    <w:rsid w:val="00231164"/>
    <w:rsid w:val="0023284D"/>
    <w:rsid w:val="00235C16"/>
    <w:rsid w:val="00242B6B"/>
    <w:rsid w:val="002455DA"/>
    <w:rsid w:val="002552DE"/>
    <w:rsid w:val="0026473B"/>
    <w:rsid w:val="00264871"/>
    <w:rsid w:val="002670F3"/>
    <w:rsid w:val="00270ECA"/>
    <w:rsid w:val="00281FC1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F0052"/>
    <w:rsid w:val="002F0C4A"/>
    <w:rsid w:val="002F2984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C7E1A"/>
    <w:rsid w:val="003D33E2"/>
    <w:rsid w:val="003D6ABE"/>
    <w:rsid w:val="003D703D"/>
    <w:rsid w:val="003E01D0"/>
    <w:rsid w:val="003E14AF"/>
    <w:rsid w:val="003F4435"/>
    <w:rsid w:val="003F48D0"/>
    <w:rsid w:val="003F6963"/>
    <w:rsid w:val="00403301"/>
    <w:rsid w:val="0040417C"/>
    <w:rsid w:val="0041004A"/>
    <w:rsid w:val="00410B37"/>
    <w:rsid w:val="00436FA0"/>
    <w:rsid w:val="00443949"/>
    <w:rsid w:val="0044460E"/>
    <w:rsid w:val="00450755"/>
    <w:rsid w:val="004556CF"/>
    <w:rsid w:val="0045571B"/>
    <w:rsid w:val="00456A29"/>
    <w:rsid w:val="004631CC"/>
    <w:rsid w:val="00463FBE"/>
    <w:rsid w:val="00470428"/>
    <w:rsid w:val="004706B4"/>
    <w:rsid w:val="004710F4"/>
    <w:rsid w:val="0047111D"/>
    <w:rsid w:val="004851D3"/>
    <w:rsid w:val="00486DD3"/>
    <w:rsid w:val="00490F84"/>
    <w:rsid w:val="00496D3F"/>
    <w:rsid w:val="004A1CFF"/>
    <w:rsid w:val="004A5061"/>
    <w:rsid w:val="004A5083"/>
    <w:rsid w:val="004B1E24"/>
    <w:rsid w:val="004B27AA"/>
    <w:rsid w:val="004B67E4"/>
    <w:rsid w:val="004C0EB6"/>
    <w:rsid w:val="004C2050"/>
    <w:rsid w:val="004E134A"/>
    <w:rsid w:val="004F0DAF"/>
    <w:rsid w:val="004F256A"/>
    <w:rsid w:val="004F6D41"/>
    <w:rsid w:val="00504B3C"/>
    <w:rsid w:val="00505569"/>
    <w:rsid w:val="00510708"/>
    <w:rsid w:val="00513C8E"/>
    <w:rsid w:val="00516471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B014A"/>
    <w:rsid w:val="005B66AE"/>
    <w:rsid w:val="005C2A9F"/>
    <w:rsid w:val="005C688C"/>
    <w:rsid w:val="005D128C"/>
    <w:rsid w:val="005D383F"/>
    <w:rsid w:val="005E28B5"/>
    <w:rsid w:val="005E4534"/>
    <w:rsid w:val="005E541B"/>
    <w:rsid w:val="005E5A60"/>
    <w:rsid w:val="005F05A3"/>
    <w:rsid w:val="005F3936"/>
    <w:rsid w:val="00601939"/>
    <w:rsid w:val="006019E5"/>
    <w:rsid w:val="00604F4D"/>
    <w:rsid w:val="00606A84"/>
    <w:rsid w:val="00622C6F"/>
    <w:rsid w:val="006261FE"/>
    <w:rsid w:val="006301CA"/>
    <w:rsid w:val="00637224"/>
    <w:rsid w:val="00637294"/>
    <w:rsid w:val="00643FA2"/>
    <w:rsid w:val="00645366"/>
    <w:rsid w:val="0064717D"/>
    <w:rsid w:val="006502F9"/>
    <w:rsid w:val="00655561"/>
    <w:rsid w:val="00670135"/>
    <w:rsid w:val="00673EC7"/>
    <w:rsid w:val="00675AB0"/>
    <w:rsid w:val="006762BE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D0819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C12"/>
    <w:rsid w:val="007070F5"/>
    <w:rsid w:val="00712420"/>
    <w:rsid w:val="00717B10"/>
    <w:rsid w:val="00720FB7"/>
    <w:rsid w:val="00721857"/>
    <w:rsid w:val="0074084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3A7"/>
    <w:rsid w:val="007A0716"/>
    <w:rsid w:val="007A16E9"/>
    <w:rsid w:val="007B1144"/>
    <w:rsid w:val="007B4B07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10311"/>
    <w:rsid w:val="00810A24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F5D1"/>
    <w:rsid w:val="00862BA7"/>
    <w:rsid w:val="00871389"/>
    <w:rsid w:val="008769EF"/>
    <w:rsid w:val="00882212"/>
    <w:rsid w:val="008865D7"/>
    <w:rsid w:val="00895715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6742"/>
    <w:rsid w:val="008F0FD9"/>
    <w:rsid w:val="00907B2F"/>
    <w:rsid w:val="0091442C"/>
    <w:rsid w:val="00922F91"/>
    <w:rsid w:val="00924123"/>
    <w:rsid w:val="0092445F"/>
    <w:rsid w:val="009318F7"/>
    <w:rsid w:val="00933EEB"/>
    <w:rsid w:val="00943F13"/>
    <w:rsid w:val="009500FC"/>
    <w:rsid w:val="00960038"/>
    <w:rsid w:val="00963437"/>
    <w:rsid w:val="00964FD4"/>
    <w:rsid w:val="00973CEB"/>
    <w:rsid w:val="009765CD"/>
    <w:rsid w:val="00977D09"/>
    <w:rsid w:val="00984842"/>
    <w:rsid w:val="009917B4"/>
    <w:rsid w:val="009935F1"/>
    <w:rsid w:val="009A1170"/>
    <w:rsid w:val="009A5BA2"/>
    <w:rsid w:val="009B47EA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E5A74"/>
    <w:rsid w:val="009F1227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30014"/>
    <w:rsid w:val="00A3076B"/>
    <w:rsid w:val="00A3268F"/>
    <w:rsid w:val="00A37F2B"/>
    <w:rsid w:val="00A53C87"/>
    <w:rsid w:val="00A56418"/>
    <w:rsid w:val="00A56581"/>
    <w:rsid w:val="00A61813"/>
    <w:rsid w:val="00A61AB4"/>
    <w:rsid w:val="00A6345C"/>
    <w:rsid w:val="00A666CD"/>
    <w:rsid w:val="00A7362D"/>
    <w:rsid w:val="00A801FF"/>
    <w:rsid w:val="00A83291"/>
    <w:rsid w:val="00A872B4"/>
    <w:rsid w:val="00AA4AFC"/>
    <w:rsid w:val="00AA7259"/>
    <w:rsid w:val="00AB140B"/>
    <w:rsid w:val="00AB2FC4"/>
    <w:rsid w:val="00AB5C2E"/>
    <w:rsid w:val="00AC1790"/>
    <w:rsid w:val="00AC39C8"/>
    <w:rsid w:val="00AC4278"/>
    <w:rsid w:val="00AD2103"/>
    <w:rsid w:val="00AD5C39"/>
    <w:rsid w:val="00AE0684"/>
    <w:rsid w:val="00AE5F7C"/>
    <w:rsid w:val="00AF184C"/>
    <w:rsid w:val="00AF248C"/>
    <w:rsid w:val="00B006C2"/>
    <w:rsid w:val="00B15FFE"/>
    <w:rsid w:val="00B178C3"/>
    <w:rsid w:val="00B17F34"/>
    <w:rsid w:val="00B25174"/>
    <w:rsid w:val="00B26D82"/>
    <w:rsid w:val="00B41F1F"/>
    <w:rsid w:val="00B47B2E"/>
    <w:rsid w:val="00B555EE"/>
    <w:rsid w:val="00B60D49"/>
    <w:rsid w:val="00B61BEE"/>
    <w:rsid w:val="00B636ED"/>
    <w:rsid w:val="00B86966"/>
    <w:rsid w:val="00B87899"/>
    <w:rsid w:val="00B92448"/>
    <w:rsid w:val="00BA129B"/>
    <w:rsid w:val="00BA4350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C01268"/>
    <w:rsid w:val="00C02737"/>
    <w:rsid w:val="00C05EE4"/>
    <w:rsid w:val="00C07C83"/>
    <w:rsid w:val="00C10654"/>
    <w:rsid w:val="00C22738"/>
    <w:rsid w:val="00C230AC"/>
    <w:rsid w:val="00C32435"/>
    <w:rsid w:val="00C341F2"/>
    <w:rsid w:val="00C34B82"/>
    <w:rsid w:val="00C461F6"/>
    <w:rsid w:val="00C46D0F"/>
    <w:rsid w:val="00C47EB9"/>
    <w:rsid w:val="00C5260E"/>
    <w:rsid w:val="00C53250"/>
    <w:rsid w:val="00C66D5E"/>
    <w:rsid w:val="00C73BE6"/>
    <w:rsid w:val="00C74A48"/>
    <w:rsid w:val="00C8361D"/>
    <w:rsid w:val="00C83B87"/>
    <w:rsid w:val="00C83C67"/>
    <w:rsid w:val="00C9274E"/>
    <w:rsid w:val="00CA1550"/>
    <w:rsid w:val="00CA248D"/>
    <w:rsid w:val="00CA6E12"/>
    <w:rsid w:val="00CB304F"/>
    <w:rsid w:val="00CB53D3"/>
    <w:rsid w:val="00CC2358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2EE"/>
    <w:rsid w:val="00D33A6F"/>
    <w:rsid w:val="00D45473"/>
    <w:rsid w:val="00D527DB"/>
    <w:rsid w:val="00D54A23"/>
    <w:rsid w:val="00D57EF2"/>
    <w:rsid w:val="00D606E2"/>
    <w:rsid w:val="00D60AFD"/>
    <w:rsid w:val="00D766E0"/>
    <w:rsid w:val="00D76E29"/>
    <w:rsid w:val="00D77FA9"/>
    <w:rsid w:val="00D82A67"/>
    <w:rsid w:val="00D84CED"/>
    <w:rsid w:val="00D90D3C"/>
    <w:rsid w:val="00D92DFA"/>
    <w:rsid w:val="00DA3EC4"/>
    <w:rsid w:val="00DA55F3"/>
    <w:rsid w:val="00DB771C"/>
    <w:rsid w:val="00DD42E1"/>
    <w:rsid w:val="00DD45F1"/>
    <w:rsid w:val="00DE0B5B"/>
    <w:rsid w:val="00DE205E"/>
    <w:rsid w:val="00DF5E3D"/>
    <w:rsid w:val="00DF737C"/>
    <w:rsid w:val="00E0319F"/>
    <w:rsid w:val="00E03218"/>
    <w:rsid w:val="00E05482"/>
    <w:rsid w:val="00E05F69"/>
    <w:rsid w:val="00E20ABD"/>
    <w:rsid w:val="00E20B67"/>
    <w:rsid w:val="00E242A3"/>
    <w:rsid w:val="00E25590"/>
    <w:rsid w:val="00E25B6B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A1278"/>
    <w:rsid w:val="00EA2E2B"/>
    <w:rsid w:val="00EA5705"/>
    <w:rsid w:val="00EB0630"/>
    <w:rsid w:val="00EB42E9"/>
    <w:rsid w:val="00EB4497"/>
    <w:rsid w:val="00EB731E"/>
    <w:rsid w:val="00EC0149"/>
    <w:rsid w:val="00EC0485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83A"/>
    <w:rsid w:val="00F007DF"/>
    <w:rsid w:val="00F00A8F"/>
    <w:rsid w:val="00F03D4D"/>
    <w:rsid w:val="00F03E14"/>
    <w:rsid w:val="00F03F2B"/>
    <w:rsid w:val="00F04459"/>
    <w:rsid w:val="00F1377F"/>
    <w:rsid w:val="00F175A7"/>
    <w:rsid w:val="00F2506A"/>
    <w:rsid w:val="00F27AEA"/>
    <w:rsid w:val="00F30E7E"/>
    <w:rsid w:val="00F31094"/>
    <w:rsid w:val="00F371DB"/>
    <w:rsid w:val="00F435DC"/>
    <w:rsid w:val="00F43A88"/>
    <w:rsid w:val="00F51D51"/>
    <w:rsid w:val="00F57AC3"/>
    <w:rsid w:val="00F622D1"/>
    <w:rsid w:val="00F63BB7"/>
    <w:rsid w:val="00F645BC"/>
    <w:rsid w:val="00F65B42"/>
    <w:rsid w:val="00F70BF4"/>
    <w:rsid w:val="00F738B4"/>
    <w:rsid w:val="00F74273"/>
    <w:rsid w:val="00F83893"/>
    <w:rsid w:val="00F87B3F"/>
    <w:rsid w:val="00F90866"/>
    <w:rsid w:val="00F97821"/>
    <w:rsid w:val="00FA653B"/>
    <w:rsid w:val="00FB0B54"/>
    <w:rsid w:val="00FB46C0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awei.com/minisite/gci/en/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A681-B67E-4227-A511-D75C210B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95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6445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38</cp:revision>
  <dcterms:created xsi:type="dcterms:W3CDTF">2021-02-01T10:19:00Z</dcterms:created>
  <dcterms:modified xsi:type="dcterms:W3CDTF">2021-02-25T15:31:00Z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