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6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EEE1D2"/>
        <w:tblLayout w:type="fixed"/>
        <w:tblLook w:val="04A0" w:firstRow="1" w:lastRow="0" w:firstColumn="1" w:lastColumn="0" w:noHBand="0" w:noVBand="1"/>
      </w:tblPr>
      <w:tblGrid>
        <w:gridCol w:w="2835"/>
        <w:gridCol w:w="2835"/>
      </w:tblGrid>
      <w:tr w:rsidR="00250C42" w14:paraId="4A2A3ECC" w14:textId="77777777">
        <w:trPr>
          <w:trHeight w:hRule="exact" w:val="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EC3EC" w14:textId="77777777" w:rsidR="00250C42" w:rsidRDefault="00BE27D5">
            <w:pPr>
              <w:pStyle w:val="Intitul"/>
              <w:jc w:val="both"/>
            </w:pPr>
            <w:r>
              <w:t>Press release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EF2EC" w14:textId="77777777" w:rsidR="00250C42" w:rsidRDefault="00250C42"/>
        </w:tc>
      </w:tr>
      <w:tr w:rsidR="00250C42" w14:paraId="49A5EA8D" w14:textId="77777777">
        <w:trPr>
          <w:trHeight w:hRule="exact" w:val="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7E3A3" w14:textId="77777777" w:rsidR="00250C42" w:rsidRDefault="00250C42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4C1A7" w14:textId="77777777" w:rsidR="00250C42" w:rsidRDefault="00250C42"/>
        </w:tc>
      </w:tr>
      <w:tr w:rsidR="00250C42" w14:paraId="640A82DD" w14:textId="77777777">
        <w:trPr>
          <w:trHeight w:hRule="exact" w:val="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3F69D" w14:textId="77777777" w:rsidR="00250C42" w:rsidRDefault="00BE27D5">
            <w:pPr>
              <w:pStyle w:val="Data"/>
              <w:jc w:val="both"/>
            </w:pPr>
            <w:r>
              <w:t>XX october 2020</w:t>
            </w:r>
          </w:p>
          <w:p w14:paraId="67B8EB9B" w14:textId="77777777" w:rsidR="00250C42" w:rsidRDefault="00250C42">
            <w:pPr>
              <w:jc w:val="both"/>
            </w:pPr>
          </w:p>
          <w:p w14:paraId="3C337BD7" w14:textId="77777777" w:rsidR="00250C42" w:rsidRDefault="00250C42">
            <w:pPr>
              <w:jc w:val="both"/>
            </w:pPr>
          </w:p>
          <w:p w14:paraId="1E22BB7A" w14:textId="77777777" w:rsidR="00250C42" w:rsidRDefault="00250C42">
            <w:pPr>
              <w:jc w:val="both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EFF07" w14:textId="77777777" w:rsidR="00250C42" w:rsidRDefault="00250C42"/>
        </w:tc>
      </w:tr>
    </w:tbl>
    <w:p w14:paraId="261A711E" w14:textId="3DDDD899" w:rsidR="00DA6209" w:rsidRPr="000A3B50" w:rsidRDefault="000A3B50" w:rsidP="00D45499">
      <w:pPr>
        <w:jc w:val="center"/>
        <w:rPr>
          <w:rFonts w:ascii="Times New Roman" w:hAnsi="Times New Roman"/>
          <w:b/>
          <w:bCs/>
          <w:i/>
          <w:iCs/>
          <w:color w:val="050033"/>
          <w:sz w:val="36"/>
          <w:szCs w:val="36"/>
          <w:u w:color="050033"/>
          <w:lang w:val="pl-PL"/>
        </w:rPr>
      </w:pPr>
      <w:r w:rsidRPr="000A3B50">
        <w:rPr>
          <w:rFonts w:ascii="Times New Roman" w:hAnsi="Times New Roman"/>
          <w:b/>
          <w:bCs/>
          <w:i/>
          <w:iCs/>
          <w:color w:val="050033"/>
          <w:sz w:val="36"/>
          <w:szCs w:val="36"/>
          <w:u w:color="050033"/>
          <w:lang w:val="pl-PL"/>
        </w:rPr>
        <w:t>Accor w partnerstwie z G</w:t>
      </w:r>
      <w:r>
        <w:rPr>
          <w:rFonts w:ascii="Times New Roman" w:hAnsi="Times New Roman"/>
          <w:b/>
          <w:bCs/>
          <w:i/>
          <w:iCs/>
          <w:color w:val="050033"/>
          <w:sz w:val="36"/>
          <w:szCs w:val="36"/>
          <w:u w:color="050033"/>
          <w:lang w:val="pl-PL"/>
        </w:rPr>
        <w:t>rupą B</w:t>
      </w:r>
      <w:r w:rsidR="00325C0E">
        <w:rPr>
          <w:rFonts w:ascii="Times New Roman" w:hAnsi="Times New Roman"/>
          <w:b/>
          <w:bCs/>
          <w:i/>
          <w:iCs/>
          <w:color w:val="050033"/>
          <w:sz w:val="36"/>
          <w:szCs w:val="36"/>
          <w:u w:color="050033"/>
          <w:lang w:val="pl-PL"/>
        </w:rPr>
        <w:t>ALFIN</w:t>
      </w:r>
      <w:r>
        <w:rPr>
          <w:rFonts w:ascii="Times New Roman" w:hAnsi="Times New Roman"/>
          <w:b/>
          <w:bCs/>
          <w:i/>
          <w:iCs/>
          <w:color w:val="050033"/>
          <w:sz w:val="36"/>
          <w:szCs w:val="36"/>
          <w:u w:color="050033"/>
          <w:lang w:val="pl-PL"/>
        </w:rPr>
        <w:t xml:space="preserve"> otworzy pierwszy </w:t>
      </w:r>
      <w:r w:rsidR="00325C0E">
        <w:rPr>
          <w:rFonts w:ascii="Times New Roman" w:hAnsi="Times New Roman"/>
          <w:b/>
          <w:bCs/>
          <w:i/>
          <w:iCs/>
          <w:color w:val="050033"/>
          <w:sz w:val="36"/>
          <w:szCs w:val="36"/>
          <w:u w:color="050033"/>
          <w:lang w:val="pl-PL"/>
        </w:rPr>
        <w:t>hotel</w:t>
      </w:r>
      <w:r>
        <w:rPr>
          <w:rFonts w:ascii="Times New Roman" w:hAnsi="Times New Roman"/>
          <w:b/>
          <w:bCs/>
          <w:i/>
          <w:iCs/>
          <w:color w:val="050033"/>
          <w:sz w:val="36"/>
          <w:szCs w:val="36"/>
          <w:u w:color="050033"/>
          <w:lang w:val="pl-PL"/>
        </w:rPr>
        <w:t xml:space="preserve"> MGallery w Albanii! </w:t>
      </w:r>
    </w:p>
    <w:p w14:paraId="3A8D38E0" w14:textId="77777777" w:rsidR="00711F28" w:rsidRPr="00325C0E" w:rsidRDefault="00711F28" w:rsidP="007552CB">
      <w:pPr>
        <w:jc w:val="both"/>
        <w:rPr>
          <w:b/>
          <w:bCs/>
          <w:i/>
          <w:iCs/>
          <w:color w:val="050033"/>
          <w:sz w:val="18"/>
          <w:szCs w:val="18"/>
          <w:u w:color="050033"/>
          <w:lang w:val="pl-PL"/>
        </w:rPr>
      </w:pPr>
    </w:p>
    <w:p w14:paraId="4DACF9FD" w14:textId="1008F693" w:rsidR="000A3B50" w:rsidRPr="0039166C" w:rsidRDefault="000A3B50" w:rsidP="007552CB">
      <w:pPr>
        <w:jc w:val="both"/>
        <w:rPr>
          <w:b/>
          <w:bCs/>
          <w:i/>
          <w:iCs/>
          <w:color w:val="050033"/>
          <w:sz w:val="18"/>
          <w:szCs w:val="18"/>
          <w:u w:color="050033"/>
          <w:lang w:val="pl-PL"/>
        </w:rPr>
      </w:pPr>
      <w:r w:rsidRPr="000A3B50">
        <w:rPr>
          <w:b/>
          <w:bCs/>
          <w:i/>
          <w:iCs/>
          <w:color w:val="050033"/>
          <w:sz w:val="18"/>
          <w:szCs w:val="18"/>
          <w:u w:color="050033"/>
          <w:lang w:val="pl-PL"/>
        </w:rPr>
        <w:t>Accor, światowy lider hotelarstwa rozbudowuje</w:t>
      </w:r>
      <w:r>
        <w:rPr>
          <w:b/>
          <w:bCs/>
          <w:i/>
          <w:iCs/>
          <w:color w:val="050033"/>
          <w:sz w:val="18"/>
          <w:szCs w:val="18"/>
          <w:u w:color="050033"/>
          <w:lang w:val="pl-PL"/>
        </w:rPr>
        <w:t xml:space="preserve"> portfolio w regionie Bałkanów. </w:t>
      </w:r>
      <w:r w:rsidRPr="0039166C">
        <w:rPr>
          <w:b/>
          <w:bCs/>
          <w:i/>
          <w:iCs/>
          <w:color w:val="050033"/>
          <w:sz w:val="18"/>
          <w:szCs w:val="18"/>
          <w:u w:color="050033"/>
          <w:lang w:val="pl-PL"/>
        </w:rPr>
        <w:t xml:space="preserve">Dzięki współpracy z </w:t>
      </w:r>
      <w:proofErr w:type="spellStart"/>
      <w:r w:rsidRPr="0039166C">
        <w:rPr>
          <w:b/>
          <w:bCs/>
          <w:i/>
          <w:iCs/>
          <w:color w:val="050033"/>
          <w:sz w:val="18"/>
          <w:szCs w:val="18"/>
          <w:u w:color="050033"/>
          <w:lang w:val="pl-PL"/>
        </w:rPr>
        <w:t>Balfin</w:t>
      </w:r>
      <w:proofErr w:type="spellEnd"/>
      <w:r w:rsidRPr="0039166C">
        <w:rPr>
          <w:b/>
          <w:bCs/>
          <w:i/>
          <w:iCs/>
          <w:color w:val="050033"/>
          <w:sz w:val="18"/>
          <w:szCs w:val="18"/>
          <w:u w:color="050033"/>
          <w:lang w:val="pl-PL"/>
        </w:rPr>
        <w:t xml:space="preserve">, na albańskiej riwierze </w:t>
      </w:r>
      <w:r w:rsidR="0039166C" w:rsidRPr="0039166C">
        <w:rPr>
          <w:b/>
          <w:bCs/>
          <w:i/>
          <w:iCs/>
          <w:color w:val="050033"/>
          <w:sz w:val="18"/>
          <w:szCs w:val="18"/>
          <w:u w:color="050033"/>
          <w:lang w:val="pl-PL"/>
        </w:rPr>
        <w:t>powstanie pierwszy w</w:t>
      </w:r>
      <w:r w:rsidR="0039166C">
        <w:rPr>
          <w:b/>
          <w:bCs/>
          <w:i/>
          <w:iCs/>
          <w:color w:val="050033"/>
          <w:sz w:val="18"/>
          <w:szCs w:val="18"/>
          <w:u w:color="050033"/>
          <w:lang w:val="pl-PL"/>
        </w:rPr>
        <w:t xml:space="preserve"> kraju butikowy </w:t>
      </w:r>
      <w:r w:rsidR="00325C0E">
        <w:rPr>
          <w:b/>
          <w:bCs/>
          <w:i/>
          <w:iCs/>
          <w:color w:val="050033"/>
          <w:sz w:val="18"/>
          <w:szCs w:val="18"/>
          <w:u w:color="050033"/>
          <w:lang w:val="pl-PL"/>
        </w:rPr>
        <w:t>ośrodek wypoczynkowy pod marką</w:t>
      </w:r>
      <w:r w:rsidR="0039166C">
        <w:rPr>
          <w:b/>
          <w:bCs/>
          <w:i/>
          <w:iCs/>
          <w:color w:val="050033"/>
          <w:sz w:val="18"/>
          <w:szCs w:val="18"/>
          <w:u w:color="050033"/>
          <w:lang w:val="pl-PL"/>
        </w:rPr>
        <w:t xml:space="preserve"> MGallery. </w:t>
      </w:r>
      <w:r w:rsidR="0039166C" w:rsidRPr="0039166C">
        <w:rPr>
          <w:b/>
          <w:bCs/>
          <w:i/>
          <w:iCs/>
          <w:color w:val="050033"/>
          <w:sz w:val="18"/>
          <w:szCs w:val="18"/>
          <w:u w:color="050033"/>
          <w:lang w:val="pl-PL"/>
        </w:rPr>
        <w:t xml:space="preserve">Zlokalizowany w </w:t>
      </w:r>
      <w:proofErr w:type="spellStart"/>
      <w:r w:rsidR="0039166C" w:rsidRPr="0039166C">
        <w:rPr>
          <w:b/>
          <w:bCs/>
          <w:i/>
          <w:iCs/>
          <w:color w:val="050033"/>
          <w:sz w:val="18"/>
          <w:szCs w:val="18"/>
          <w:u w:color="050033"/>
          <w:lang w:val="pl-PL"/>
        </w:rPr>
        <w:t>Palasa</w:t>
      </w:r>
      <w:proofErr w:type="spellEnd"/>
      <w:r w:rsidR="0039166C" w:rsidRPr="0039166C">
        <w:rPr>
          <w:b/>
          <w:bCs/>
          <w:i/>
          <w:iCs/>
          <w:color w:val="050033"/>
          <w:sz w:val="18"/>
          <w:szCs w:val="18"/>
          <w:u w:color="050033"/>
          <w:lang w:val="pl-PL"/>
        </w:rPr>
        <w:t xml:space="preserve"> hotel będzie liczył 112 luksusowych pokoi</w:t>
      </w:r>
      <w:r w:rsidR="00325C0E">
        <w:rPr>
          <w:b/>
          <w:bCs/>
          <w:i/>
          <w:iCs/>
          <w:color w:val="050033"/>
          <w:sz w:val="18"/>
          <w:szCs w:val="18"/>
          <w:u w:color="050033"/>
          <w:lang w:val="pl-PL"/>
        </w:rPr>
        <w:t>, a</w:t>
      </w:r>
      <w:r w:rsidR="0039166C" w:rsidRPr="0039166C">
        <w:rPr>
          <w:b/>
          <w:bCs/>
          <w:i/>
          <w:iCs/>
          <w:color w:val="050033"/>
          <w:sz w:val="18"/>
          <w:szCs w:val="18"/>
          <w:u w:color="050033"/>
          <w:lang w:val="pl-PL"/>
        </w:rPr>
        <w:t xml:space="preserve"> p</w:t>
      </w:r>
      <w:r w:rsidR="0039166C">
        <w:rPr>
          <w:b/>
          <w:bCs/>
          <w:i/>
          <w:iCs/>
          <w:color w:val="050033"/>
          <w:sz w:val="18"/>
          <w:szCs w:val="18"/>
          <w:u w:color="050033"/>
          <w:lang w:val="pl-PL"/>
        </w:rPr>
        <w:t xml:space="preserve">ierwszych gości przyjmie w kwietniu 2024 roku. </w:t>
      </w:r>
      <w:r w:rsidR="0039166C" w:rsidRPr="0039166C">
        <w:rPr>
          <w:b/>
          <w:bCs/>
          <w:i/>
          <w:iCs/>
          <w:color w:val="050033"/>
          <w:sz w:val="18"/>
          <w:szCs w:val="18"/>
          <w:u w:color="050033"/>
          <w:lang w:val="pl-PL"/>
        </w:rPr>
        <w:t>To ważny krok w umocnieniu pozycji grupy w regionie i</w:t>
      </w:r>
      <w:r w:rsidR="0039166C">
        <w:rPr>
          <w:b/>
          <w:bCs/>
          <w:i/>
          <w:iCs/>
          <w:color w:val="050033"/>
          <w:sz w:val="18"/>
          <w:szCs w:val="18"/>
          <w:u w:color="050033"/>
          <w:lang w:val="pl-PL"/>
        </w:rPr>
        <w:t xml:space="preserve"> rozwoju albańskiego przemysłu turystycznego. </w:t>
      </w:r>
    </w:p>
    <w:p w14:paraId="634ED82A" w14:textId="77777777" w:rsidR="00563C5E" w:rsidRDefault="00563C5E" w:rsidP="007552CB">
      <w:pPr>
        <w:jc w:val="both"/>
        <w:rPr>
          <w:b/>
          <w:bCs/>
          <w:i/>
          <w:iCs/>
          <w:color w:val="050033"/>
          <w:sz w:val="18"/>
          <w:szCs w:val="18"/>
          <w:u w:color="050033"/>
        </w:rPr>
      </w:pPr>
    </w:p>
    <w:p w14:paraId="11B67F40" w14:textId="3118FEF1" w:rsidR="0039166C" w:rsidRPr="00FF1EC4" w:rsidRDefault="0039166C" w:rsidP="007552CB">
      <w:pPr>
        <w:jc w:val="both"/>
        <w:rPr>
          <w:color w:val="74758C"/>
          <w:u w:color="74758C"/>
          <w:lang w:val="pl-PL"/>
        </w:rPr>
      </w:pPr>
      <w:r w:rsidRPr="0039166C">
        <w:rPr>
          <w:color w:val="74758C"/>
          <w:u w:color="74758C"/>
          <w:lang w:val="pl-PL"/>
        </w:rPr>
        <w:t>Zaangażowanie Grupy Accor w u</w:t>
      </w:r>
      <w:r>
        <w:rPr>
          <w:color w:val="74758C"/>
          <w:u w:color="74758C"/>
          <w:lang w:val="pl-PL"/>
        </w:rPr>
        <w:t>macnianiu portfolio w Południowo-Wschodniej Europie nie zwalnia tempa</w:t>
      </w:r>
      <w:r w:rsidR="00786646">
        <w:rPr>
          <w:color w:val="74758C"/>
          <w:u w:color="74758C"/>
          <w:lang w:val="pl-PL"/>
        </w:rPr>
        <w:t>,</w:t>
      </w:r>
      <w:r>
        <w:rPr>
          <w:color w:val="74758C"/>
          <w:u w:color="74758C"/>
          <w:lang w:val="pl-PL"/>
        </w:rPr>
        <w:t xml:space="preserve"> wraz z wprowadzaniem nowych marek na lokalnych rynkach. </w:t>
      </w:r>
      <w:r w:rsidR="00786646" w:rsidRPr="00786646">
        <w:rPr>
          <w:color w:val="74758C"/>
          <w:u w:color="74758C"/>
          <w:lang w:val="pl-PL"/>
        </w:rPr>
        <w:t xml:space="preserve">Grupa podpisała właśnie umowę franczyzową z Green </w:t>
      </w:r>
      <w:proofErr w:type="spellStart"/>
      <w:r w:rsidR="00786646" w:rsidRPr="00786646">
        <w:rPr>
          <w:color w:val="74758C"/>
          <w:u w:color="74758C"/>
          <w:lang w:val="pl-PL"/>
        </w:rPr>
        <w:t>Coast</w:t>
      </w:r>
      <w:proofErr w:type="spellEnd"/>
      <w:r w:rsidR="00786646" w:rsidRPr="00786646">
        <w:rPr>
          <w:color w:val="74758C"/>
          <w:u w:color="74758C"/>
          <w:lang w:val="pl-PL"/>
        </w:rPr>
        <w:t xml:space="preserve"> Hotel</w:t>
      </w:r>
      <w:r w:rsidR="00786646">
        <w:rPr>
          <w:color w:val="74758C"/>
          <w:u w:color="74758C"/>
          <w:lang w:val="pl-PL"/>
        </w:rPr>
        <w:t xml:space="preserve"> LLC, której częścią jest </w:t>
      </w:r>
      <w:r w:rsidR="00325C0E">
        <w:rPr>
          <w:color w:val="74758C"/>
          <w:u w:color="74758C"/>
          <w:lang w:val="pl-PL"/>
        </w:rPr>
        <w:t>BALFIN</w:t>
      </w:r>
      <w:r w:rsidR="00786646">
        <w:rPr>
          <w:color w:val="74758C"/>
          <w:u w:color="74758C"/>
          <w:lang w:val="pl-PL"/>
        </w:rPr>
        <w:t xml:space="preserve"> – jedna z najbardziej znaczących grup inwestycyjnych w Albanii i całym regionie. </w:t>
      </w:r>
      <w:r w:rsidR="00786646" w:rsidRPr="00786646">
        <w:rPr>
          <w:color w:val="74758C"/>
          <w:u w:color="74758C"/>
          <w:lang w:val="pl-PL"/>
        </w:rPr>
        <w:t>Dzięki zawartej współpracy na jońskim wybrzeżu Morza Śródziemnego powstanie p</w:t>
      </w:r>
      <w:r w:rsidR="00786646">
        <w:rPr>
          <w:color w:val="74758C"/>
          <w:u w:color="74758C"/>
          <w:lang w:val="pl-PL"/>
        </w:rPr>
        <w:t xml:space="preserve">ierwszy hotel MGallery, który zapewni Albanii mocną pozycję na międzynarodowej mapie turystycznej. </w:t>
      </w:r>
      <w:r w:rsidR="00FF1EC4" w:rsidRPr="00FF1EC4">
        <w:rPr>
          <w:color w:val="74758C"/>
          <w:u w:color="74758C"/>
          <w:lang w:val="pl-PL"/>
        </w:rPr>
        <w:t xml:space="preserve">Unikalny butikowy hotel zaoferuje gościom 112 luksusowych pokojów i apartamentów </w:t>
      </w:r>
      <w:r w:rsidR="00325C0E">
        <w:rPr>
          <w:color w:val="74758C"/>
          <w:u w:color="74758C"/>
          <w:lang w:val="pl-PL"/>
        </w:rPr>
        <w:t xml:space="preserve">pełnych </w:t>
      </w:r>
      <w:r w:rsidR="00FF1EC4">
        <w:rPr>
          <w:color w:val="74758C"/>
          <w:u w:color="74758C"/>
          <w:lang w:val="pl-PL"/>
        </w:rPr>
        <w:t>lokaln</w:t>
      </w:r>
      <w:r w:rsidR="00325C0E">
        <w:rPr>
          <w:color w:val="74758C"/>
          <w:u w:color="74758C"/>
          <w:lang w:val="pl-PL"/>
        </w:rPr>
        <w:t>ej</w:t>
      </w:r>
      <w:r w:rsidR="00FF1EC4">
        <w:rPr>
          <w:color w:val="74758C"/>
          <w:u w:color="74758C"/>
          <w:lang w:val="pl-PL"/>
        </w:rPr>
        <w:t xml:space="preserve"> kultur</w:t>
      </w:r>
      <w:r w:rsidR="00325C0E">
        <w:rPr>
          <w:color w:val="74758C"/>
          <w:u w:color="74758C"/>
          <w:lang w:val="pl-PL"/>
        </w:rPr>
        <w:t>y</w:t>
      </w:r>
      <w:r w:rsidR="00FF1EC4">
        <w:rPr>
          <w:color w:val="74758C"/>
          <w:u w:color="74758C"/>
          <w:lang w:val="pl-PL"/>
        </w:rPr>
        <w:t xml:space="preserve"> i tradycj</w:t>
      </w:r>
      <w:r w:rsidR="00325C0E">
        <w:rPr>
          <w:color w:val="74758C"/>
          <w:u w:color="74758C"/>
          <w:lang w:val="pl-PL"/>
        </w:rPr>
        <w:t>i</w:t>
      </w:r>
      <w:r w:rsidR="00FF1EC4">
        <w:rPr>
          <w:color w:val="74758C"/>
          <w:u w:color="74758C"/>
          <w:lang w:val="pl-PL"/>
        </w:rPr>
        <w:t xml:space="preserve">, która przeplata się z współczesnym i nowoczesnym wzornictwem. </w:t>
      </w:r>
      <w:r w:rsidR="00FF1EC4" w:rsidRPr="00FF1EC4">
        <w:rPr>
          <w:color w:val="74758C"/>
          <w:u w:color="74758C"/>
          <w:lang w:val="pl-PL"/>
        </w:rPr>
        <w:t xml:space="preserve">Bar i restauracja, strefa SPA </w:t>
      </w:r>
      <w:r w:rsidR="00325C0E">
        <w:rPr>
          <w:color w:val="74758C"/>
          <w:u w:color="74758C"/>
          <w:lang w:val="pl-PL"/>
        </w:rPr>
        <w:t>oraz</w:t>
      </w:r>
      <w:r w:rsidR="00FF1EC4" w:rsidRPr="00FF1EC4">
        <w:rPr>
          <w:color w:val="74758C"/>
          <w:u w:color="74758C"/>
          <w:lang w:val="pl-PL"/>
        </w:rPr>
        <w:t xml:space="preserve"> prywatna plaża zapewni wsz</w:t>
      </w:r>
      <w:r w:rsidR="00FF1EC4">
        <w:rPr>
          <w:color w:val="74758C"/>
          <w:u w:color="74758C"/>
          <w:lang w:val="pl-PL"/>
        </w:rPr>
        <w:t xml:space="preserve">ystkim ekskluzywną i butikową przestrzeń w klasie premium. </w:t>
      </w:r>
    </w:p>
    <w:p w14:paraId="24631A63" w14:textId="7DBBEF36" w:rsidR="00563C5E" w:rsidRPr="00325C0E" w:rsidRDefault="00563C5E" w:rsidP="007552CB">
      <w:pPr>
        <w:jc w:val="both"/>
        <w:rPr>
          <w:color w:val="74758C"/>
          <w:u w:color="74758C"/>
          <w:lang w:val="pl-PL"/>
        </w:rPr>
      </w:pPr>
    </w:p>
    <w:p w14:paraId="2DD4D923" w14:textId="75392605" w:rsidR="00FF1EC4" w:rsidRPr="00BF0E31" w:rsidRDefault="00FF1EC4" w:rsidP="007552CB">
      <w:pPr>
        <w:jc w:val="both"/>
        <w:rPr>
          <w:b/>
          <w:bCs/>
          <w:color w:val="74758C"/>
          <w:u w:color="74758C"/>
          <w:lang w:val="pl-PL"/>
        </w:rPr>
      </w:pPr>
      <w:r w:rsidRPr="00FF1EC4">
        <w:rPr>
          <w:i/>
          <w:iCs/>
          <w:color w:val="74758C"/>
          <w:u w:color="74758C"/>
          <w:lang w:val="pl-PL"/>
        </w:rPr>
        <w:t>Albania jest wciąż nieoszlifowany</w:t>
      </w:r>
      <w:r>
        <w:rPr>
          <w:i/>
          <w:iCs/>
          <w:color w:val="74758C"/>
          <w:u w:color="74758C"/>
          <w:lang w:val="pl-PL"/>
        </w:rPr>
        <w:t xml:space="preserve">m brylantem Bałkanów pełnym urokliwych destynacji sprawiających, że to miejsce, które trzeba </w:t>
      </w:r>
      <w:r w:rsidR="0039119B">
        <w:rPr>
          <w:i/>
          <w:iCs/>
          <w:color w:val="74758C"/>
          <w:u w:color="74758C"/>
          <w:lang w:val="pl-PL"/>
        </w:rPr>
        <w:t>odwiedzić</w:t>
      </w:r>
      <w:r>
        <w:rPr>
          <w:i/>
          <w:iCs/>
          <w:color w:val="74758C"/>
          <w:u w:color="74758C"/>
          <w:lang w:val="pl-PL"/>
        </w:rPr>
        <w:t xml:space="preserve">. Z tego powodu cieszymy się, że możemy wprowadzić </w:t>
      </w:r>
      <w:r w:rsidR="0039119B">
        <w:rPr>
          <w:i/>
          <w:iCs/>
          <w:color w:val="74758C"/>
          <w:u w:color="74758C"/>
          <w:lang w:val="pl-PL"/>
        </w:rPr>
        <w:t>do tego kraju kolejne marki</w:t>
      </w:r>
      <w:r>
        <w:rPr>
          <w:i/>
          <w:iCs/>
          <w:color w:val="74758C"/>
          <w:u w:color="74758C"/>
          <w:lang w:val="pl-PL"/>
        </w:rPr>
        <w:t xml:space="preserve"> z portfolio Accor, w nadziei, że więcej turystów z całego świata będzie mogło odkryć jego uroki. </w:t>
      </w:r>
      <w:r w:rsidR="00BF0E31">
        <w:rPr>
          <w:i/>
          <w:iCs/>
          <w:color w:val="74758C"/>
          <w:u w:color="74758C"/>
          <w:lang w:val="pl-PL"/>
        </w:rPr>
        <w:t xml:space="preserve">Kolekcja butikowych hoteli MGallery zapewnia niesamowity początek do przedstawienia lokalnej kultury, tradycji i historii w iście luksusowym otoczeniu. Wierzymy, że pierwszy hotel MGallery w Albanii zdobędzie serca gości, dzięki niepowtarzalnej atmosferze i lokalizacji zapewniającej wymarzone wakacje – </w:t>
      </w:r>
      <w:r w:rsidR="00BF0E31" w:rsidRPr="00BF0E31">
        <w:rPr>
          <w:color w:val="74758C"/>
          <w:u w:color="74758C"/>
          <w:lang w:val="pl-PL"/>
        </w:rPr>
        <w:t xml:space="preserve">mówi </w:t>
      </w:r>
      <w:proofErr w:type="spellStart"/>
      <w:r w:rsidR="00BF0E31" w:rsidRPr="00BF0E31">
        <w:rPr>
          <w:b/>
          <w:bCs/>
          <w:color w:val="74758C"/>
          <w:u w:color="74758C"/>
          <w:lang w:val="pl-PL"/>
        </w:rPr>
        <w:t>Dilek</w:t>
      </w:r>
      <w:proofErr w:type="spellEnd"/>
      <w:r w:rsidR="00BF0E31" w:rsidRPr="00BF0E31">
        <w:rPr>
          <w:b/>
          <w:bCs/>
          <w:color w:val="74758C"/>
          <w:u w:color="74758C"/>
          <w:lang w:val="pl-PL"/>
        </w:rPr>
        <w:t xml:space="preserve"> </w:t>
      </w:r>
      <w:proofErr w:type="spellStart"/>
      <w:r w:rsidR="00BF0E31" w:rsidRPr="00BF0E31">
        <w:rPr>
          <w:b/>
          <w:bCs/>
          <w:color w:val="74758C"/>
          <w:u w:color="74758C"/>
          <w:lang w:val="pl-PL"/>
        </w:rPr>
        <w:t>Sezer</w:t>
      </w:r>
      <w:proofErr w:type="spellEnd"/>
      <w:r w:rsidR="00BF0E31" w:rsidRPr="00BF0E31">
        <w:rPr>
          <w:b/>
          <w:bCs/>
          <w:color w:val="74758C"/>
          <w:u w:color="74758C"/>
          <w:lang w:val="pl-PL"/>
        </w:rPr>
        <w:t xml:space="preserve">, Development </w:t>
      </w:r>
      <w:proofErr w:type="spellStart"/>
      <w:r w:rsidR="00BF0E31" w:rsidRPr="00BF0E31">
        <w:rPr>
          <w:b/>
          <w:bCs/>
          <w:color w:val="74758C"/>
          <w:u w:color="74758C"/>
          <w:lang w:val="pl-PL"/>
        </w:rPr>
        <w:t>Director</w:t>
      </w:r>
      <w:proofErr w:type="spellEnd"/>
      <w:r w:rsidR="00BF0E31" w:rsidRPr="00BF0E31">
        <w:rPr>
          <w:b/>
          <w:bCs/>
          <w:color w:val="74758C"/>
          <w:u w:color="74758C"/>
          <w:lang w:val="pl-PL"/>
        </w:rPr>
        <w:t xml:space="preserve">, </w:t>
      </w:r>
      <w:proofErr w:type="spellStart"/>
      <w:r w:rsidR="00BF0E31" w:rsidRPr="00BF0E31">
        <w:rPr>
          <w:b/>
          <w:bCs/>
          <w:color w:val="74758C"/>
          <w:u w:color="74758C"/>
          <w:lang w:val="pl-PL"/>
        </w:rPr>
        <w:t>South-Eastern</w:t>
      </w:r>
      <w:proofErr w:type="spellEnd"/>
      <w:r w:rsidR="00BF0E31" w:rsidRPr="00BF0E31">
        <w:rPr>
          <w:b/>
          <w:bCs/>
          <w:color w:val="74758C"/>
          <w:u w:color="74758C"/>
          <w:lang w:val="pl-PL"/>
        </w:rPr>
        <w:t xml:space="preserve"> Europe, Accor. </w:t>
      </w:r>
    </w:p>
    <w:p w14:paraId="2725376F" w14:textId="77777777" w:rsidR="00FF1EC4" w:rsidRPr="00BF0E31" w:rsidRDefault="00FF1EC4" w:rsidP="007552CB">
      <w:pPr>
        <w:jc w:val="both"/>
        <w:rPr>
          <w:b/>
          <w:bCs/>
          <w:color w:val="74758C"/>
          <w:u w:color="74758C"/>
          <w:lang w:val="pl-PL"/>
        </w:rPr>
      </w:pPr>
    </w:p>
    <w:p w14:paraId="2E7B5872" w14:textId="133B14A9" w:rsidR="007552CB" w:rsidRDefault="00BF0E31" w:rsidP="007552CB">
      <w:pPr>
        <w:jc w:val="both"/>
        <w:rPr>
          <w:color w:val="74758C"/>
          <w:u w:color="74758C"/>
          <w:lang w:val="pl-PL"/>
        </w:rPr>
      </w:pPr>
      <w:r w:rsidRPr="00BF0E31">
        <w:rPr>
          <w:color w:val="74758C"/>
          <w:u w:color="74758C"/>
          <w:lang w:val="pl-PL"/>
        </w:rPr>
        <w:t xml:space="preserve">Hotel Green </w:t>
      </w:r>
      <w:proofErr w:type="spellStart"/>
      <w:r w:rsidRPr="00BF0E31">
        <w:rPr>
          <w:color w:val="74758C"/>
          <w:u w:color="74758C"/>
          <w:lang w:val="pl-PL"/>
        </w:rPr>
        <w:t>Coast</w:t>
      </w:r>
      <w:proofErr w:type="spellEnd"/>
      <w:r w:rsidRPr="00BF0E31">
        <w:rPr>
          <w:color w:val="74758C"/>
          <w:u w:color="74758C"/>
          <w:lang w:val="pl-PL"/>
        </w:rPr>
        <w:t xml:space="preserve"> MGallery zaoferuje </w:t>
      </w:r>
      <w:r>
        <w:rPr>
          <w:color w:val="74758C"/>
          <w:u w:color="74758C"/>
          <w:lang w:val="pl-PL"/>
        </w:rPr>
        <w:t xml:space="preserve">gościom </w:t>
      </w:r>
      <w:r w:rsidRPr="00BF0E31">
        <w:rPr>
          <w:color w:val="74758C"/>
          <w:u w:color="74758C"/>
          <w:lang w:val="pl-PL"/>
        </w:rPr>
        <w:t>szeroką ofertę ga</w:t>
      </w:r>
      <w:r>
        <w:rPr>
          <w:color w:val="74758C"/>
          <w:u w:color="74758C"/>
          <w:lang w:val="pl-PL"/>
        </w:rPr>
        <w:t xml:space="preserve">stronomiczną: restaurację, bar w lobby, ekskluzywne </w:t>
      </w:r>
      <w:proofErr w:type="spellStart"/>
      <w:r>
        <w:rPr>
          <w:color w:val="74758C"/>
          <w:u w:color="74758C"/>
          <w:lang w:val="pl-PL"/>
        </w:rPr>
        <w:t>foyer</w:t>
      </w:r>
      <w:proofErr w:type="spellEnd"/>
      <w:r>
        <w:rPr>
          <w:color w:val="74758C"/>
          <w:u w:color="74758C"/>
          <w:lang w:val="pl-PL"/>
        </w:rPr>
        <w:t xml:space="preserve">, VIP klub i strefę bankietową przeznaczoną do spotkań. </w:t>
      </w:r>
      <w:r w:rsidRPr="00BF0E31">
        <w:rPr>
          <w:color w:val="74758C"/>
          <w:u w:color="74758C"/>
          <w:lang w:val="pl-PL"/>
        </w:rPr>
        <w:t>Dodatkowo każdy będzie mógł skorzystać ze specjalnych atr</w:t>
      </w:r>
      <w:r>
        <w:rPr>
          <w:color w:val="74758C"/>
          <w:u w:color="74758C"/>
          <w:lang w:val="pl-PL"/>
        </w:rPr>
        <w:t xml:space="preserve">akcji w postaci zielonych przestrzeni na najwyższych piętrach, prywatnych </w:t>
      </w:r>
      <w:proofErr w:type="spellStart"/>
      <w:r>
        <w:rPr>
          <w:color w:val="74758C"/>
          <w:u w:color="74758C"/>
          <w:lang w:val="pl-PL"/>
        </w:rPr>
        <w:t>loggi</w:t>
      </w:r>
      <w:proofErr w:type="spellEnd"/>
      <w:r>
        <w:rPr>
          <w:color w:val="74758C"/>
          <w:u w:color="74758C"/>
          <w:lang w:val="pl-PL"/>
        </w:rPr>
        <w:t xml:space="preserve"> czy plaży wyłącznie dla gości hotelu. </w:t>
      </w:r>
    </w:p>
    <w:p w14:paraId="5C945223" w14:textId="77777777" w:rsidR="0039119B" w:rsidRPr="00BF0E31" w:rsidRDefault="0039119B" w:rsidP="007552CB">
      <w:pPr>
        <w:jc w:val="both"/>
        <w:rPr>
          <w:color w:val="74758C"/>
          <w:u w:color="74758C"/>
          <w:lang w:val="pl-PL"/>
        </w:rPr>
      </w:pPr>
    </w:p>
    <w:p w14:paraId="4CFCD9EA" w14:textId="0955DF38" w:rsidR="007552CB" w:rsidRPr="00635CDB" w:rsidRDefault="00BF0E31" w:rsidP="007552CB">
      <w:pPr>
        <w:jc w:val="both"/>
        <w:rPr>
          <w:color w:val="74758C"/>
          <w:u w:color="74758C"/>
          <w:lang w:val="pl-PL"/>
        </w:rPr>
      </w:pPr>
      <w:r w:rsidRPr="00635CDB">
        <w:rPr>
          <w:i/>
          <w:iCs/>
          <w:color w:val="74758C"/>
          <w:u w:color="74758C"/>
          <w:lang w:val="pl-PL"/>
        </w:rPr>
        <w:t xml:space="preserve">Współpraca z Accor to kamień milowy w rozwoju krajowego sektora turystycznego, dzięki której Albania stanie się jedną z destynacji klasy premium w regionie Morza Śródziemnego. Jesteśmy </w:t>
      </w:r>
      <w:r w:rsidRPr="00635CDB">
        <w:rPr>
          <w:i/>
          <w:iCs/>
          <w:color w:val="74758C"/>
          <w:u w:color="74758C"/>
          <w:lang w:val="pl-PL"/>
        </w:rPr>
        <w:lastRenderedPageBreak/>
        <w:t>dumni z tego, że możemy połączyć siły i</w:t>
      </w:r>
      <w:r w:rsidR="00635CDB" w:rsidRPr="00635CDB">
        <w:rPr>
          <w:i/>
          <w:iCs/>
          <w:color w:val="74758C"/>
          <w:u w:color="74758C"/>
          <w:lang w:val="pl-PL"/>
        </w:rPr>
        <w:t xml:space="preserve"> wspierać rozwój lokalnej gospodarki i międzynarodowej turystyki</w:t>
      </w:r>
      <w:r w:rsidR="00635CDB">
        <w:rPr>
          <w:color w:val="74758C"/>
          <w:u w:color="74758C"/>
          <w:lang w:val="pl-PL"/>
        </w:rPr>
        <w:t xml:space="preserve"> – dodaje </w:t>
      </w:r>
      <w:proofErr w:type="spellStart"/>
      <w:r w:rsidR="00635CDB" w:rsidRPr="00635CDB">
        <w:rPr>
          <w:b/>
          <w:bCs/>
          <w:i/>
          <w:iCs/>
          <w:color w:val="74758C"/>
          <w:u w:color="74758C"/>
          <w:lang w:val="pl-PL"/>
        </w:rPr>
        <w:t>Ardiana</w:t>
      </w:r>
      <w:proofErr w:type="spellEnd"/>
      <w:r w:rsidR="00635CDB" w:rsidRPr="00635CDB">
        <w:rPr>
          <w:b/>
          <w:bCs/>
          <w:i/>
          <w:iCs/>
          <w:color w:val="74758C"/>
          <w:u w:color="74758C"/>
          <w:lang w:val="pl-PL"/>
        </w:rPr>
        <w:t xml:space="preserve"> Sokoli, Real </w:t>
      </w:r>
      <w:proofErr w:type="spellStart"/>
      <w:r w:rsidR="00635CDB" w:rsidRPr="00635CDB">
        <w:rPr>
          <w:b/>
          <w:bCs/>
          <w:i/>
          <w:iCs/>
          <w:color w:val="74758C"/>
          <w:u w:color="74758C"/>
          <w:lang w:val="pl-PL"/>
        </w:rPr>
        <w:t>Estate</w:t>
      </w:r>
      <w:proofErr w:type="spellEnd"/>
      <w:r w:rsidR="00635CDB" w:rsidRPr="00635CDB">
        <w:rPr>
          <w:b/>
          <w:bCs/>
          <w:i/>
          <w:iCs/>
          <w:color w:val="74758C"/>
          <w:u w:color="74758C"/>
          <w:lang w:val="pl-PL"/>
        </w:rPr>
        <w:t xml:space="preserve"> Vice </w:t>
      </w:r>
      <w:proofErr w:type="spellStart"/>
      <w:r w:rsidR="00635CDB" w:rsidRPr="00635CDB">
        <w:rPr>
          <w:b/>
          <w:bCs/>
          <w:i/>
          <w:iCs/>
          <w:color w:val="74758C"/>
          <w:u w:color="74758C"/>
          <w:lang w:val="pl-PL"/>
        </w:rPr>
        <w:t>President</w:t>
      </w:r>
      <w:proofErr w:type="spellEnd"/>
      <w:r w:rsidR="00635CDB" w:rsidRPr="00635CDB">
        <w:rPr>
          <w:b/>
          <w:bCs/>
          <w:i/>
          <w:iCs/>
          <w:color w:val="74758C"/>
          <w:u w:color="74758C"/>
          <w:lang w:val="pl-PL"/>
        </w:rPr>
        <w:t xml:space="preserve">, </w:t>
      </w:r>
      <w:r w:rsidR="00325C0E">
        <w:rPr>
          <w:b/>
          <w:bCs/>
          <w:i/>
          <w:iCs/>
          <w:color w:val="74758C"/>
          <w:u w:color="74758C"/>
          <w:lang w:val="pl-PL"/>
        </w:rPr>
        <w:t>BALFIN</w:t>
      </w:r>
      <w:r w:rsidR="00635CDB" w:rsidRPr="00635CDB">
        <w:rPr>
          <w:b/>
          <w:bCs/>
          <w:i/>
          <w:iCs/>
          <w:color w:val="74758C"/>
          <w:u w:color="74758C"/>
          <w:lang w:val="pl-PL"/>
        </w:rPr>
        <w:t xml:space="preserve"> </w:t>
      </w:r>
      <w:proofErr w:type="spellStart"/>
      <w:r w:rsidR="00635CDB" w:rsidRPr="00635CDB">
        <w:rPr>
          <w:b/>
          <w:bCs/>
          <w:i/>
          <w:iCs/>
          <w:color w:val="74758C"/>
          <w:u w:color="74758C"/>
          <w:lang w:val="pl-PL"/>
        </w:rPr>
        <w:t>Group</w:t>
      </w:r>
      <w:proofErr w:type="spellEnd"/>
      <w:r w:rsidR="00635CDB">
        <w:rPr>
          <w:b/>
          <w:bCs/>
          <w:i/>
          <w:iCs/>
          <w:color w:val="74758C"/>
          <w:u w:color="74758C"/>
          <w:lang w:val="pl-PL"/>
        </w:rPr>
        <w:t>.</w:t>
      </w:r>
    </w:p>
    <w:p w14:paraId="1B40D14F" w14:textId="77777777" w:rsidR="00563C5E" w:rsidRPr="00BF0E31" w:rsidRDefault="00563C5E" w:rsidP="007552CB">
      <w:pPr>
        <w:jc w:val="both"/>
        <w:rPr>
          <w:color w:val="74758C"/>
          <w:u w:color="74758C"/>
          <w:lang w:val="pl-PL"/>
        </w:rPr>
      </w:pPr>
    </w:p>
    <w:p w14:paraId="474BC3C7" w14:textId="4A3C1622" w:rsidR="00DE1EAE" w:rsidRDefault="00635CDB" w:rsidP="007552CB">
      <w:pPr>
        <w:jc w:val="both"/>
        <w:rPr>
          <w:color w:val="74758C"/>
          <w:u w:color="74758C"/>
          <w:lang w:val="pl-PL"/>
        </w:rPr>
      </w:pPr>
      <w:r w:rsidRPr="00635CDB">
        <w:rPr>
          <w:color w:val="74758C"/>
          <w:u w:color="74758C"/>
          <w:lang w:val="pl-PL"/>
        </w:rPr>
        <w:t>Początek prac budowlanych jest p</w:t>
      </w:r>
      <w:r>
        <w:rPr>
          <w:color w:val="74758C"/>
          <w:u w:color="74758C"/>
          <w:lang w:val="pl-PL"/>
        </w:rPr>
        <w:t xml:space="preserve">lanowany na ostatni kwartał 2021 roku, a otwarcie hotelu na kwiecień 2024 roku. </w:t>
      </w:r>
    </w:p>
    <w:p w14:paraId="7E29EBFE" w14:textId="294F60B7" w:rsidR="00635CDB" w:rsidRDefault="00635CDB" w:rsidP="007552CB">
      <w:pPr>
        <w:jc w:val="both"/>
        <w:rPr>
          <w:color w:val="74758C"/>
          <w:u w:color="74758C"/>
          <w:lang w:val="pl-PL"/>
        </w:rPr>
      </w:pPr>
    </w:p>
    <w:p w14:paraId="653E269E" w14:textId="06CAD001" w:rsidR="00635CDB" w:rsidRPr="00635CDB" w:rsidRDefault="00635CDB" w:rsidP="007552CB">
      <w:pPr>
        <w:jc w:val="both"/>
        <w:rPr>
          <w:color w:val="74758C"/>
          <w:u w:color="74758C"/>
          <w:lang w:val="pl-PL"/>
        </w:rPr>
      </w:pPr>
      <w:r w:rsidRPr="00635CDB">
        <w:rPr>
          <w:color w:val="74758C"/>
          <w:u w:color="74758C"/>
          <w:lang w:val="pl-PL"/>
        </w:rPr>
        <w:t xml:space="preserve">MGallery Hotel Collection to marka hoteli butikowych, gdzie kultura i historia przenikają się w nich z nowoczesnym designem i sztuką współczesną. </w:t>
      </w:r>
      <w:r w:rsidR="0039119B">
        <w:rPr>
          <w:color w:val="74758C"/>
          <w:u w:color="74758C"/>
          <w:lang w:val="pl-PL"/>
        </w:rPr>
        <w:t>Każdy z hoteli</w:t>
      </w:r>
      <w:r w:rsidRPr="00635CDB">
        <w:rPr>
          <w:color w:val="74758C"/>
          <w:u w:color="74758C"/>
          <w:lang w:val="pl-PL"/>
        </w:rPr>
        <w:t xml:space="preserve"> MGallery jest unikatowy, ale cechą wspólną są charakterystyczne elementy, dzięki którym wszystkie obiekty stanowią spójną kolekcję.</w:t>
      </w:r>
      <w:r w:rsidR="00325C0E">
        <w:rPr>
          <w:color w:val="74758C"/>
          <w:u w:color="74758C"/>
          <w:lang w:val="pl-PL"/>
        </w:rPr>
        <w:t xml:space="preserve"> </w:t>
      </w:r>
    </w:p>
    <w:p w14:paraId="356542D6" w14:textId="77777777" w:rsidR="00563C5E" w:rsidRPr="00635CDB" w:rsidRDefault="00563C5E" w:rsidP="00563C5E">
      <w:pPr>
        <w:jc w:val="both"/>
        <w:rPr>
          <w:color w:val="74758C"/>
          <w:u w:color="74758C"/>
          <w:lang w:val="pl-PL"/>
        </w:rPr>
      </w:pPr>
    </w:p>
    <w:p w14:paraId="0EA5F86E" w14:textId="77777777" w:rsidR="00250C42" w:rsidRDefault="00BE27D5" w:rsidP="007D6C82">
      <w:pPr>
        <w:jc w:val="center"/>
        <w:rPr>
          <w:color w:val="050033"/>
          <w:sz w:val="18"/>
          <w:szCs w:val="18"/>
          <w:u w:color="050033"/>
        </w:rPr>
      </w:pPr>
      <w:r>
        <w:rPr>
          <w:color w:val="050033"/>
          <w:sz w:val="18"/>
          <w:szCs w:val="18"/>
          <w:u w:color="050033"/>
        </w:rPr>
        <w:t>***</w:t>
      </w:r>
    </w:p>
    <w:p w14:paraId="1038444B" w14:textId="2B3DEEB9" w:rsidR="00250C42" w:rsidRDefault="00325C0E">
      <w:pPr>
        <w:spacing w:after="160"/>
        <w:jc w:val="center"/>
        <w:outlineLvl w:val="1"/>
        <w:rPr>
          <w:b/>
          <w:bCs/>
          <w:caps/>
          <w:color w:val="050033"/>
          <w:sz w:val="13"/>
          <w:szCs w:val="13"/>
          <w:u w:color="050033"/>
        </w:rPr>
      </w:pPr>
      <w:r>
        <w:rPr>
          <w:b/>
          <w:bCs/>
          <w:caps/>
          <w:color w:val="050033"/>
          <w:sz w:val="13"/>
          <w:szCs w:val="13"/>
          <w:u w:color="050033"/>
        </w:rPr>
        <w:t>o</w:t>
      </w:r>
      <w:r w:rsidR="00BE27D5">
        <w:rPr>
          <w:b/>
          <w:bCs/>
          <w:caps/>
          <w:color w:val="050033"/>
          <w:sz w:val="13"/>
          <w:szCs w:val="13"/>
          <w:u w:color="050033"/>
        </w:rPr>
        <w:t xml:space="preserve"> ACCOR</w:t>
      </w:r>
    </w:p>
    <w:p w14:paraId="084FBE0F" w14:textId="77777777" w:rsidR="00325C0E" w:rsidRPr="00325C0E" w:rsidRDefault="00325C0E" w:rsidP="00325C0E">
      <w:pPr>
        <w:spacing w:line="276" w:lineRule="auto"/>
        <w:jc w:val="both"/>
        <w:rPr>
          <w:color w:val="74758C"/>
          <w:u w:color="74758C"/>
          <w:lang w:val="pl-PL"/>
        </w:rPr>
      </w:pPr>
      <w:r w:rsidRPr="00325C0E">
        <w:rPr>
          <w:color w:val="74758C"/>
          <w:sz w:val="16"/>
          <w:szCs w:val="16"/>
          <w:u w:color="74758C"/>
          <w:lang w:val="pl-PL"/>
        </w:rPr>
        <w:t xml:space="preserve">Accor jest wiodącą grupą hotelarską na świecie oferującą gościom wyjątkowe i niezapomniane wrażenia w ponad 5 000 hotelach, kurortach i rezydencjach oraz 10 000 obiektach gastronomicznych w 110 krajach. Grupa dysponuje jednym z najbardziej zróżnicowanych i w pełni zintegrowanych ekosystemów hotelarskich obejmujących szerokie portfolio marek segmentu </w:t>
      </w:r>
      <w:proofErr w:type="spellStart"/>
      <w:r w:rsidRPr="00325C0E">
        <w:rPr>
          <w:color w:val="74758C"/>
          <w:sz w:val="16"/>
          <w:szCs w:val="16"/>
          <w:u w:color="74758C"/>
          <w:lang w:val="pl-PL"/>
        </w:rPr>
        <w:t>luxury</w:t>
      </w:r>
      <w:proofErr w:type="spellEnd"/>
      <w:r w:rsidRPr="00325C0E">
        <w:rPr>
          <w:color w:val="74758C"/>
          <w:sz w:val="16"/>
          <w:szCs w:val="16"/>
          <w:u w:color="74758C"/>
          <w:lang w:val="pl-PL"/>
        </w:rPr>
        <w:t xml:space="preserve">, premium, </w:t>
      </w:r>
      <w:proofErr w:type="spellStart"/>
      <w:r w:rsidRPr="00325C0E">
        <w:rPr>
          <w:color w:val="74758C"/>
          <w:sz w:val="16"/>
          <w:szCs w:val="16"/>
          <w:u w:color="74758C"/>
          <w:lang w:val="pl-PL"/>
        </w:rPr>
        <w:t>midscale</w:t>
      </w:r>
      <w:proofErr w:type="spellEnd"/>
      <w:r w:rsidRPr="00325C0E">
        <w:rPr>
          <w:color w:val="74758C"/>
          <w:sz w:val="16"/>
          <w:szCs w:val="16"/>
          <w:u w:color="74758C"/>
          <w:lang w:val="pl-PL"/>
        </w:rPr>
        <w:t xml:space="preserve"> i </w:t>
      </w:r>
      <w:proofErr w:type="spellStart"/>
      <w:r w:rsidRPr="00325C0E">
        <w:rPr>
          <w:color w:val="74758C"/>
          <w:sz w:val="16"/>
          <w:szCs w:val="16"/>
          <w:u w:color="74758C"/>
          <w:lang w:val="pl-PL"/>
        </w:rPr>
        <w:t>economy</w:t>
      </w:r>
      <w:proofErr w:type="spellEnd"/>
      <w:r w:rsidRPr="00325C0E">
        <w:rPr>
          <w:color w:val="74758C"/>
          <w:sz w:val="16"/>
          <w:szCs w:val="16"/>
          <w:u w:color="74758C"/>
          <w:lang w:val="pl-PL"/>
        </w:rPr>
        <w:t xml:space="preserve"> z unikalnymi konceptami. Wyjątkowe i unikalne doświadczenia uzupełnia oferta rozrywkowa, bary i restauracje, markowe rezydencje prywatne, współdzielone obiekty noclegowe, </w:t>
      </w:r>
      <w:proofErr w:type="spellStart"/>
      <w:r w:rsidRPr="00325C0E">
        <w:rPr>
          <w:color w:val="74758C"/>
          <w:sz w:val="16"/>
          <w:szCs w:val="16"/>
          <w:u w:color="74758C"/>
          <w:lang w:val="pl-PL"/>
        </w:rPr>
        <w:t>consierge</w:t>
      </w:r>
      <w:proofErr w:type="spellEnd"/>
      <w:r w:rsidRPr="00325C0E">
        <w:rPr>
          <w:color w:val="74758C"/>
          <w:sz w:val="16"/>
          <w:szCs w:val="16"/>
          <w:u w:color="74758C"/>
          <w:lang w:val="pl-PL"/>
        </w:rPr>
        <w:t>, przestrzenie co-</w:t>
      </w:r>
      <w:proofErr w:type="spellStart"/>
      <w:r w:rsidRPr="00325C0E">
        <w:rPr>
          <w:color w:val="74758C"/>
          <w:sz w:val="16"/>
          <w:szCs w:val="16"/>
          <w:u w:color="74758C"/>
          <w:lang w:val="pl-PL"/>
        </w:rPr>
        <w:t>workingowe</w:t>
      </w:r>
      <w:proofErr w:type="spellEnd"/>
      <w:r w:rsidRPr="00325C0E">
        <w:rPr>
          <w:color w:val="74758C"/>
          <w:sz w:val="16"/>
          <w:szCs w:val="16"/>
          <w:u w:color="74758C"/>
          <w:lang w:val="pl-PL"/>
        </w:rPr>
        <w:t xml:space="preserve"> i wiele innych. Accor wyróżnia się niezastąpionym portfolio charakterystycznych marek i zespołem liczącym blisko 300 000 osób na całym świecie. Dodatkowo Grupa oferuje wszechstronny </w:t>
      </w:r>
      <w:proofErr w:type="spellStart"/>
      <w:r w:rsidRPr="00325C0E">
        <w:rPr>
          <w:color w:val="74758C"/>
          <w:sz w:val="16"/>
          <w:szCs w:val="16"/>
          <w:u w:color="74758C"/>
          <w:lang w:val="pl-PL"/>
        </w:rPr>
        <w:t>lifestylowy</w:t>
      </w:r>
      <w:proofErr w:type="spellEnd"/>
      <w:r w:rsidRPr="00325C0E">
        <w:rPr>
          <w:color w:val="74758C"/>
          <w:sz w:val="16"/>
          <w:szCs w:val="16"/>
          <w:u w:color="74758C"/>
          <w:lang w:val="pl-PL"/>
        </w:rPr>
        <w:t xml:space="preserve"> program lojalnościowy ALL - Accor Live </w:t>
      </w:r>
      <w:proofErr w:type="spellStart"/>
      <w:r w:rsidRPr="00325C0E">
        <w:rPr>
          <w:color w:val="74758C"/>
          <w:sz w:val="16"/>
          <w:szCs w:val="16"/>
          <w:u w:color="74758C"/>
          <w:lang w:val="pl-PL"/>
        </w:rPr>
        <w:t>Limitless</w:t>
      </w:r>
      <w:proofErr w:type="spellEnd"/>
      <w:r w:rsidRPr="00325C0E">
        <w:rPr>
          <w:color w:val="74758C"/>
          <w:sz w:val="16"/>
          <w:szCs w:val="16"/>
          <w:u w:color="74758C"/>
          <w:lang w:val="pl-PL"/>
        </w:rPr>
        <w:t xml:space="preserve">, o korzyściach którego przekonało się już ponad 65 milionów członków z całego świata. ALL jako codzienny towarzysz hotelowych gości pozwala na wzbogacenie pobytu o dodatkową wartość i przeżycia związane z szeroką gamą benefitów, usług i doświadczeń. Accor jest głęboko zaangażowany w tworzenie zrównoważonego rozwoju aktywnie działając na rzecz naszej planety i lokalnych społeczności. W ramach programu Planet 21 - </w:t>
      </w:r>
      <w:proofErr w:type="spellStart"/>
      <w:r w:rsidRPr="00325C0E">
        <w:rPr>
          <w:color w:val="74758C"/>
          <w:sz w:val="16"/>
          <w:szCs w:val="16"/>
          <w:u w:color="74758C"/>
          <w:lang w:val="pl-PL"/>
        </w:rPr>
        <w:t>Acting</w:t>
      </w:r>
      <w:proofErr w:type="spellEnd"/>
      <w:r w:rsidRPr="00325C0E">
        <w:rPr>
          <w:color w:val="74758C"/>
          <w:sz w:val="16"/>
          <w:szCs w:val="16"/>
          <w:u w:color="74758C"/>
          <w:lang w:val="pl-PL"/>
        </w:rPr>
        <w:t xml:space="preserve"> Here. Accor działa na rzecz „pozytywnego hotelarstwa”, a w ramach Accor </w:t>
      </w:r>
      <w:proofErr w:type="spellStart"/>
      <w:r w:rsidRPr="00325C0E">
        <w:rPr>
          <w:color w:val="74758C"/>
          <w:sz w:val="16"/>
          <w:szCs w:val="16"/>
          <w:u w:color="74758C"/>
          <w:lang w:val="pl-PL"/>
        </w:rPr>
        <w:t>Solidarity</w:t>
      </w:r>
      <w:proofErr w:type="spellEnd"/>
      <w:r w:rsidRPr="00325C0E">
        <w:rPr>
          <w:color w:val="74758C"/>
          <w:sz w:val="16"/>
          <w:szCs w:val="16"/>
          <w:u w:color="74758C"/>
          <w:lang w:val="pl-PL"/>
        </w:rPr>
        <w:t xml:space="preserve">, </w:t>
      </w:r>
      <w:proofErr w:type="spellStart"/>
      <w:r w:rsidRPr="00325C0E">
        <w:rPr>
          <w:color w:val="74758C"/>
          <w:sz w:val="16"/>
          <w:szCs w:val="16"/>
          <w:u w:color="74758C"/>
          <w:lang w:val="pl-PL"/>
        </w:rPr>
        <w:t>RiiSE</w:t>
      </w:r>
      <w:proofErr w:type="spellEnd"/>
      <w:r w:rsidRPr="00325C0E">
        <w:rPr>
          <w:color w:val="74758C"/>
          <w:sz w:val="16"/>
          <w:szCs w:val="16"/>
          <w:u w:color="74758C"/>
          <w:lang w:val="pl-PL"/>
        </w:rPr>
        <w:t xml:space="preserve"> i inicjatywę ALL </w:t>
      </w:r>
      <w:proofErr w:type="spellStart"/>
      <w:r w:rsidRPr="00325C0E">
        <w:rPr>
          <w:color w:val="74758C"/>
          <w:sz w:val="16"/>
          <w:szCs w:val="16"/>
          <w:u w:color="74758C"/>
          <w:lang w:val="pl-PL"/>
        </w:rPr>
        <w:t>Heartist</w:t>
      </w:r>
      <w:proofErr w:type="spellEnd"/>
      <w:r w:rsidRPr="00325C0E">
        <w:rPr>
          <w:color w:val="74758C"/>
          <w:sz w:val="16"/>
          <w:szCs w:val="16"/>
          <w:u w:color="74758C"/>
          <w:lang w:val="pl-PL"/>
        </w:rPr>
        <w:t xml:space="preserve"> Fund pomaga osobom w niekorzystnej sytuacji życiowej poprzez gwarancję wysokiej etyki biznesowej, odpowiedzialność względem turystyki i ekologii, zaangażowania w społeczność, zróżnicowanie i inkluzyjność. Założona w 1967 roku spółka Accor SA jest notowana na paryskiej giełdzie </w:t>
      </w:r>
      <w:proofErr w:type="spellStart"/>
      <w:r w:rsidRPr="00325C0E">
        <w:rPr>
          <w:color w:val="74758C"/>
          <w:sz w:val="16"/>
          <w:szCs w:val="16"/>
          <w:u w:color="74758C"/>
          <w:lang w:val="pl-PL"/>
        </w:rPr>
        <w:t>Euronext</w:t>
      </w:r>
      <w:proofErr w:type="spellEnd"/>
      <w:r w:rsidRPr="00325C0E">
        <w:rPr>
          <w:color w:val="74758C"/>
          <w:sz w:val="16"/>
          <w:szCs w:val="16"/>
          <w:u w:color="74758C"/>
          <w:lang w:val="pl-PL"/>
        </w:rPr>
        <w:t xml:space="preserve"> (kod ISIN: FR0000120404) oraz na rynku OTC (kod ACRFY) w Stanach Zjednoczonych. Więcej informacji na stronie: group.accor.com. Zapraszamy do polubienia naszej strony na Facebooku i śledzenia nas na </w:t>
      </w:r>
      <w:proofErr w:type="spellStart"/>
      <w:r w:rsidRPr="00325C0E">
        <w:rPr>
          <w:color w:val="74758C"/>
          <w:sz w:val="16"/>
          <w:szCs w:val="16"/>
          <w:u w:color="74758C"/>
          <w:lang w:val="pl-PL"/>
        </w:rPr>
        <w:t>Twitterze</w:t>
      </w:r>
      <w:proofErr w:type="spellEnd"/>
      <w:r w:rsidRPr="00325C0E">
        <w:rPr>
          <w:color w:val="74758C"/>
          <w:sz w:val="16"/>
          <w:szCs w:val="16"/>
          <w:u w:color="74758C"/>
          <w:lang w:val="pl-PL"/>
        </w:rPr>
        <w:t xml:space="preserve">, </w:t>
      </w:r>
      <w:proofErr w:type="spellStart"/>
      <w:r w:rsidRPr="00325C0E">
        <w:rPr>
          <w:color w:val="74758C"/>
          <w:sz w:val="16"/>
          <w:szCs w:val="16"/>
          <w:u w:color="74758C"/>
          <w:lang w:val="pl-PL"/>
        </w:rPr>
        <w:t>LinkedInie</w:t>
      </w:r>
      <w:proofErr w:type="spellEnd"/>
      <w:r w:rsidRPr="00325C0E">
        <w:rPr>
          <w:color w:val="74758C"/>
          <w:sz w:val="16"/>
          <w:szCs w:val="16"/>
          <w:u w:color="74758C"/>
          <w:lang w:val="pl-PL"/>
        </w:rPr>
        <w:t xml:space="preserve"> i Instagramie.</w:t>
      </w:r>
    </w:p>
    <w:p w14:paraId="03C4F468" w14:textId="77777777" w:rsidR="007552CB" w:rsidRDefault="007552CB">
      <w:pPr>
        <w:pStyle w:val="Textedesaisie"/>
      </w:pPr>
    </w:p>
    <w:p w14:paraId="35E0F846" w14:textId="0307B74F" w:rsidR="007552CB" w:rsidRDefault="00325C0E" w:rsidP="007D6C82">
      <w:pPr>
        <w:spacing w:line="300" w:lineRule="auto"/>
        <w:jc w:val="center"/>
        <w:rPr>
          <w:rStyle w:val="None"/>
          <w:b/>
          <w:bCs/>
          <w:caps/>
          <w:color w:val="050033"/>
          <w:sz w:val="13"/>
          <w:szCs w:val="13"/>
          <w:u w:color="050033"/>
        </w:rPr>
      </w:pPr>
      <w:r>
        <w:rPr>
          <w:rStyle w:val="None"/>
          <w:b/>
          <w:bCs/>
          <w:caps/>
          <w:color w:val="050033"/>
          <w:sz w:val="13"/>
          <w:szCs w:val="13"/>
          <w:u w:color="050033"/>
        </w:rPr>
        <w:t>o</w:t>
      </w:r>
      <w:r w:rsidR="00DE1EAE">
        <w:rPr>
          <w:rStyle w:val="None"/>
          <w:b/>
          <w:bCs/>
          <w:caps/>
          <w:color w:val="050033"/>
          <w:sz w:val="13"/>
          <w:szCs w:val="13"/>
          <w:u w:color="050033"/>
        </w:rPr>
        <w:t xml:space="preserve"> balfin </w:t>
      </w:r>
    </w:p>
    <w:p w14:paraId="12A15BA4" w14:textId="77777777" w:rsidR="00563C5E" w:rsidRDefault="00563C5E" w:rsidP="007D6C82">
      <w:pPr>
        <w:spacing w:line="300" w:lineRule="auto"/>
        <w:jc w:val="center"/>
        <w:rPr>
          <w:rStyle w:val="None"/>
          <w:b/>
          <w:bCs/>
          <w:caps/>
          <w:color w:val="050033"/>
          <w:sz w:val="13"/>
          <w:szCs w:val="13"/>
          <w:u w:color="050033"/>
        </w:rPr>
      </w:pPr>
    </w:p>
    <w:p w14:paraId="27257BB3" w14:textId="12C17CEA" w:rsidR="007D6C82" w:rsidRPr="00325C0E" w:rsidRDefault="00325C0E" w:rsidP="00325C0E">
      <w:pPr>
        <w:spacing w:line="240" w:lineRule="auto"/>
        <w:jc w:val="both"/>
        <w:rPr>
          <w:rStyle w:val="None"/>
          <w:b/>
          <w:bCs/>
          <w:caps/>
          <w:color w:val="050033"/>
          <w:sz w:val="13"/>
          <w:szCs w:val="13"/>
          <w:u w:color="050033"/>
          <w:lang w:val="pl-PL"/>
        </w:rPr>
      </w:pPr>
      <w:r w:rsidRPr="00325C0E">
        <w:rPr>
          <w:color w:val="74758C"/>
          <w:sz w:val="16"/>
          <w:szCs w:val="16"/>
          <w:u w:color="74758C"/>
          <w:lang w:val="pl-PL"/>
        </w:rPr>
        <w:t>Grupa BALFIN jest jednym z</w:t>
      </w:r>
      <w:r>
        <w:rPr>
          <w:color w:val="74758C"/>
          <w:sz w:val="16"/>
          <w:szCs w:val="16"/>
          <w:u w:color="74758C"/>
          <w:lang w:val="pl-PL"/>
        </w:rPr>
        <w:t xml:space="preserve"> najbardziej znaczących grup inwestycyjnych z wieloma udanymi realizacjami w regionie Zachodnich Bałkanów z zakresu </w:t>
      </w:r>
      <w:proofErr w:type="spellStart"/>
      <w:r>
        <w:rPr>
          <w:color w:val="74758C"/>
          <w:sz w:val="16"/>
          <w:szCs w:val="16"/>
          <w:u w:color="74758C"/>
          <w:lang w:val="pl-PL"/>
        </w:rPr>
        <w:t>developmentu</w:t>
      </w:r>
      <w:proofErr w:type="spellEnd"/>
      <w:r>
        <w:rPr>
          <w:color w:val="74758C"/>
          <w:sz w:val="16"/>
          <w:szCs w:val="16"/>
          <w:u w:color="74758C"/>
          <w:lang w:val="pl-PL"/>
        </w:rPr>
        <w:t xml:space="preserve"> i zarządzania obiektami na rynku nieruchomości, sprzedaży, turystyki, w branży energetycznej, logistycznej, bankowej czy przemyśle wydobywczym. Grupa działa w Albanii, Austrii, Kosowie, Bośni i Hercegowinie, Czarnogórze, Północnej Macedonii i Holandii. </w:t>
      </w:r>
      <w:r w:rsidRPr="00325C0E">
        <w:rPr>
          <w:color w:val="74758C"/>
          <w:sz w:val="16"/>
          <w:szCs w:val="16"/>
          <w:u w:color="74758C"/>
          <w:lang w:val="pl-PL"/>
        </w:rPr>
        <w:t>Międzynarodowe partnerstwa i współprace są jednym z kluczowych elementów d</w:t>
      </w:r>
      <w:r>
        <w:rPr>
          <w:color w:val="74758C"/>
          <w:sz w:val="16"/>
          <w:szCs w:val="16"/>
          <w:u w:color="74758C"/>
          <w:lang w:val="pl-PL"/>
        </w:rPr>
        <w:t xml:space="preserve">ziałalności grupy od jej początków. </w:t>
      </w:r>
      <w:r w:rsidRPr="00325C0E">
        <w:rPr>
          <w:color w:val="74758C"/>
          <w:sz w:val="16"/>
          <w:szCs w:val="16"/>
          <w:u w:color="74758C"/>
          <w:lang w:val="pl-PL"/>
        </w:rPr>
        <w:t>Grupa i należące do niej firmy działają na rzecz inn</w:t>
      </w:r>
      <w:r>
        <w:rPr>
          <w:color w:val="74758C"/>
          <w:sz w:val="16"/>
          <w:szCs w:val="16"/>
          <w:u w:color="74758C"/>
          <w:lang w:val="pl-PL"/>
        </w:rPr>
        <w:t>owacji i doskonałości we wszystkich obszarach działalności, zatrudniając w sumie ponad 5 tysięcy osób.</w:t>
      </w:r>
    </w:p>
    <w:sectPr w:rsidR="007D6C82" w:rsidRPr="00325C0E">
      <w:headerReference w:type="default" r:id="rId6"/>
      <w:headerReference w:type="first" r:id="rId7"/>
      <w:pgSz w:w="11900" w:h="16840"/>
      <w:pgMar w:top="1417" w:right="1417" w:bottom="1417" w:left="1417" w:header="283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FEBE9" w14:textId="77777777" w:rsidR="001B30EA" w:rsidRDefault="001B30EA">
      <w:pPr>
        <w:spacing w:line="240" w:lineRule="auto"/>
      </w:pPr>
      <w:r>
        <w:separator/>
      </w:r>
    </w:p>
  </w:endnote>
  <w:endnote w:type="continuationSeparator" w:id="0">
    <w:p w14:paraId="4C733380" w14:textId="77777777" w:rsidR="001B30EA" w:rsidRDefault="001B30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EE333" w14:textId="77777777" w:rsidR="001B30EA" w:rsidRDefault="001B30EA">
      <w:pPr>
        <w:spacing w:line="240" w:lineRule="auto"/>
      </w:pPr>
      <w:r>
        <w:separator/>
      </w:r>
    </w:p>
  </w:footnote>
  <w:footnote w:type="continuationSeparator" w:id="0">
    <w:p w14:paraId="09958555" w14:textId="77777777" w:rsidR="001B30EA" w:rsidRDefault="001B30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35E58" w14:textId="77777777" w:rsidR="00250C42" w:rsidRDefault="00BE27D5">
    <w:pPr>
      <w:pStyle w:val="Nagwek"/>
    </w:pPr>
    <w:r>
      <w:rPr>
        <w:noProof/>
        <w:lang w:eastAsia="en-US"/>
      </w:rPr>
      <w:drawing>
        <wp:anchor distT="152400" distB="152400" distL="152400" distR="152400" simplePos="0" relativeHeight="251657216" behindDoc="1" locked="0" layoutInCell="1" allowOverlap="1" wp14:anchorId="5EA48077" wp14:editId="67E14240">
          <wp:simplePos x="0" y="0"/>
          <wp:positionH relativeFrom="page">
            <wp:posOffset>3476625</wp:posOffset>
          </wp:positionH>
          <wp:positionV relativeFrom="page">
            <wp:posOffset>197484</wp:posOffset>
          </wp:positionV>
          <wp:extent cx="617028" cy="540000"/>
          <wp:effectExtent l="0" t="0" r="0" b="0"/>
          <wp:wrapNone/>
          <wp:docPr id="1073741825" name="officeArt object" descr="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.png" descr="logo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7028" cy="540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C857A" w14:textId="77777777" w:rsidR="00250C42" w:rsidRDefault="00250C42">
    <w:pPr>
      <w:pStyle w:val="Nagwek"/>
    </w:pPr>
  </w:p>
  <w:p w14:paraId="68B96E70" w14:textId="77777777" w:rsidR="00250C42" w:rsidRDefault="00D45499">
    <w:pPr>
      <w:pStyle w:val="Nagwek"/>
    </w:pPr>
    <w:r>
      <w:rPr>
        <w:noProof/>
        <w:lang w:eastAsia="en-US"/>
      </w:rPr>
      <w:drawing>
        <wp:anchor distT="152400" distB="152400" distL="152400" distR="152400" simplePos="0" relativeHeight="251658240" behindDoc="1" locked="0" layoutInCell="1" allowOverlap="1" wp14:anchorId="47B7761A" wp14:editId="643AB004">
          <wp:simplePos x="0" y="0"/>
          <wp:positionH relativeFrom="margin">
            <wp:align>left</wp:align>
          </wp:positionH>
          <wp:positionV relativeFrom="page">
            <wp:posOffset>426720</wp:posOffset>
          </wp:positionV>
          <wp:extent cx="1310640" cy="1147027"/>
          <wp:effectExtent l="0" t="0" r="3810" b="0"/>
          <wp:wrapTight wrapText="bothSides">
            <wp:wrapPolygon edited="0">
              <wp:start x="0" y="0"/>
              <wp:lineTo x="0" y="21169"/>
              <wp:lineTo x="21349" y="21169"/>
              <wp:lineTo x="21349" y="0"/>
              <wp:lineTo x="0" y="0"/>
            </wp:wrapPolygon>
          </wp:wrapTight>
          <wp:docPr id="1073741826" name="officeArt object" descr="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.png" descr="logo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0640" cy="114702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2CCEA5B7" w14:textId="77777777" w:rsidR="00250C42" w:rsidRDefault="00250C42">
    <w:pPr>
      <w:pStyle w:val="Nagwek"/>
    </w:pPr>
  </w:p>
  <w:p w14:paraId="0EB82DF5" w14:textId="77777777" w:rsidR="00250C42" w:rsidRDefault="00250C42">
    <w:pPr>
      <w:pStyle w:val="Nagwek"/>
    </w:pPr>
  </w:p>
  <w:p w14:paraId="4AC7C6A0" w14:textId="77777777" w:rsidR="00250C42" w:rsidRDefault="00D45499">
    <w:pPr>
      <w:pStyle w:val="Nagwek"/>
    </w:pPr>
    <w:r w:rsidRPr="00FA64E4">
      <w:rPr>
        <w:noProof/>
        <w:sz w:val="28"/>
        <w:highlight w:val="lightGray"/>
        <w:lang w:eastAsia="en-US"/>
      </w:rPr>
      <w:drawing>
        <wp:anchor distT="0" distB="0" distL="114300" distR="114300" simplePos="0" relativeHeight="251657727" behindDoc="1" locked="0" layoutInCell="1" allowOverlap="1" wp14:anchorId="3A7F6ADC" wp14:editId="453358DB">
          <wp:simplePos x="0" y="0"/>
          <wp:positionH relativeFrom="margin">
            <wp:posOffset>4137660</wp:posOffset>
          </wp:positionH>
          <wp:positionV relativeFrom="paragraph">
            <wp:posOffset>109855</wp:posOffset>
          </wp:positionV>
          <wp:extent cx="1610995" cy="461010"/>
          <wp:effectExtent l="0" t="0" r="8255" b="0"/>
          <wp:wrapTight wrapText="bothSides">
            <wp:wrapPolygon edited="0">
              <wp:start x="0" y="0"/>
              <wp:lineTo x="0" y="20529"/>
              <wp:lineTo x="21455" y="20529"/>
              <wp:lineTo x="2145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99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1BD1EC" w14:textId="77777777" w:rsidR="00250C42" w:rsidRDefault="00250C42">
    <w:pPr>
      <w:pStyle w:val="Nagwek"/>
    </w:pPr>
  </w:p>
  <w:p w14:paraId="5F5136DB" w14:textId="77777777" w:rsidR="00250C42" w:rsidRDefault="00250C42">
    <w:pPr>
      <w:pStyle w:val="Nagwek"/>
    </w:pPr>
  </w:p>
  <w:p w14:paraId="49B24D98" w14:textId="77777777" w:rsidR="00250C42" w:rsidRDefault="00250C42">
    <w:pPr>
      <w:pStyle w:val="Nagwek"/>
    </w:pPr>
  </w:p>
  <w:p w14:paraId="5857987C" w14:textId="77777777" w:rsidR="00250C42" w:rsidRDefault="00250C42">
    <w:pPr>
      <w:pStyle w:val="Nagwek"/>
    </w:pPr>
  </w:p>
  <w:p w14:paraId="3381A5D7" w14:textId="77777777" w:rsidR="00250C42" w:rsidRDefault="00250C42">
    <w:pPr>
      <w:pStyle w:val="Nagwek"/>
    </w:pPr>
  </w:p>
  <w:p w14:paraId="0FC3E5F3" w14:textId="77777777" w:rsidR="00250C42" w:rsidRDefault="00250C42">
    <w:pPr>
      <w:pStyle w:val="Nagwek"/>
    </w:pPr>
  </w:p>
  <w:p w14:paraId="695961A2" w14:textId="77777777" w:rsidR="00250C42" w:rsidRDefault="00250C4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C42"/>
    <w:rsid w:val="00034267"/>
    <w:rsid w:val="00054117"/>
    <w:rsid w:val="00072FC3"/>
    <w:rsid w:val="000A3B50"/>
    <w:rsid w:val="00126349"/>
    <w:rsid w:val="00132164"/>
    <w:rsid w:val="0014337F"/>
    <w:rsid w:val="0015625F"/>
    <w:rsid w:val="001621D0"/>
    <w:rsid w:val="001B30EA"/>
    <w:rsid w:val="001C5A29"/>
    <w:rsid w:val="001D65EE"/>
    <w:rsid w:val="001F0F98"/>
    <w:rsid w:val="001F5E8C"/>
    <w:rsid w:val="001F6C67"/>
    <w:rsid w:val="002027D6"/>
    <w:rsid w:val="002476EA"/>
    <w:rsid w:val="00250C42"/>
    <w:rsid w:val="002F36BB"/>
    <w:rsid w:val="00325C0E"/>
    <w:rsid w:val="0039119B"/>
    <w:rsid w:val="0039166C"/>
    <w:rsid w:val="00391BE6"/>
    <w:rsid w:val="00474E06"/>
    <w:rsid w:val="004850D5"/>
    <w:rsid w:val="00511E5F"/>
    <w:rsid w:val="00563C5E"/>
    <w:rsid w:val="005A545F"/>
    <w:rsid w:val="005E0025"/>
    <w:rsid w:val="00617B23"/>
    <w:rsid w:val="00620C0F"/>
    <w:rsid w:val="00635CDB"/>
    <w:rsid w:val="0065738A"/>
    <w:rsid w:val="00683635"/>
    <w:rsid w:val="006F0AA3"/>
    <w:rsid w:val="00711F28"/>
    <w:rsid w:val="007552CB"/>
    <w:rsid w:val="00763B57"/>
    <w:rsid w:val="00767197"/>
    <w:rsid w:val="00786646"/>
    <w:rsid w:val="007D6C82"/>
    <w:rsid w:val="008036F4"/>
    <w:rsid w:val="00813B54"/>
    <w:rsid w:val="0081470D"/>
    <w:rsid w:val="00814CE5"/>
    <w:rsid w:val="00832164"/>
    <w:rsid w:val="008603B6"/>
    <w:rsid w:val="00885E73"/>
    <w:rsid w:val="008955AB"/>
    <w:rsid w:val="00992870"/>
    <w:rsid w:val="009F50B1"/>
    <w:rsid w:val="00A2503D"/>
    <w:rsid w:val="00A3517F"/>
    <w:rsid w:val="00A56157"/>
    <w:rsid w:val="00A971B2"/>
    <w:rsid w:val="00B22998"/>
    <w:rsid w:val="00BE27D5"/>
    <w:rsid w:val="00BF0E31"/>
    <w:rsid w:val="00C654EE"/>
    <w:rsid w:val="00D23F31"/>
    <w:rsid w:val="00D45499"/>
    <w:rsid w:val="00DA6209"/>
    <w:rsid w:val="00DD52CB"/>
    <w:rsid w:val="00DE1EAE"/>
    <w:rsid w:val="00E13B2F"/>
    <w:rsid w:val="00E2186F"/>
    <w:rsid w:val="00E44E92"/>
    <w:rsid w:val="00E72257"/>
    <w:rsid w:val="00EC6411"/>
    <w:rsid w:val="00ED237D"/>
    <w:rsid w:val="00F66AFD"/>
    <w:rsid w:val="00F7386E"/>
    <w:rsid w:val="00FC090C"/>
    <w:rsid w:val="00FF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29688C"/>
  <w15:docId w15:val="{9355343A-73CE-4D34-A3E5-B7621D9A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o-RO" w:eastAsia="ro-R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pacing w:line="320" w:lineRule="atLeast"/>
    </w:pPr>
    <w:rPr>
      <w:rFonts w:ascii="Verdana" w:hAnsi="Verdana" w:cs="Arial Unicode MS"/>
      <w:color w:val="000000"/>
      <w:sz w:val="19"/>
      <w:szCs w:val="19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paragraph" w:styleId="Nagwek">
    <w:name w:val="header"/>
    <w:pPr>
      <w:spacing w:line="240" w:lineRule="exact"/>
    </w:pPr>
    <w:rPr>
      <w:rFonts w:ascii="Verdana" w:hAnsi="Verdana" w:cs="Arial Unicode MS"/>
      <w:color w:val="000000"/>
      <w:sz w:val="19"/>
      <w:szCs w:val="19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ubtitleA">
    <w:name w:val="Subtitle A"/>
    <w:next w:val="Normalny"/>
    <w:pPr>
      <w:spacing w:line="320" w:lineRule="atLeast"/>
      <w:jc w:val="center"/>
    </w:pPr>
    <w:rPr>
      <w:rFonts w:ascii="Verdana" w:hAnsi="Verdana" w:cs="Arial Unicode MS"/>
      <w:b/>
      <w:bCs/>
      <w:caps/>
      <w:color w:val="050033"/>
      <w:sz w:val="19"/>
      <w:szCs w:val="19"/>
      <w:u w:color="050033"/>
      <w:lang w:val="en-US"/>
    </w:rPr>
  </w:style>
  <w:style w:type="paragraph" w:customStyle="1" w:styleId="Intitul">
    <w:name w:val="Intitulé"/>
    <w:pPr>
      <w:spacing w:line="240" w:lineRule="atLeast"/>
    </w:pPr>
    <w:rPr>
      <w:rFonts w:cs="Arial Unicode MS"/>
      <w:b/>
      <w:bCs/>
      <w:i/>
      <w:iCs/>
      <w:color w:val="050033"/>
      <w:sz w:val="21"/>
      <w:szCs w:val="21"/>
      <w:u w:color="050033"/>
      <w:lang w:val="en-US"/>
    </w:rPr>
  </w:style>
  <w:style w:type="paragraph" w:styleId="Data">
    <w:name w:val="Date"/>
    <w:next w:val="Normalny"/>
    <w:pPr>
      <w:spacing w:line="140" w:lineRule="atLeast"/>
    </w:pPr>
    <w:rPr>
      <w:rFonts w:ascii="Verdana" w:hAnsi="Verdana" w:cs="Arial Unicode MS"/>
      <w:b/>
      <w:bCs/>
      <w:caps/>
      <w:color w:val="050033"/>
      <w:sz w:val="10"/>
      <w:szCs w:val="10"/>
      <w:u w:color="050033"/>
      <w:lang w:val="en-US"/>
    </w:rPr>
  </w:style>
  <w:style w:type="paragraph" w:customStyle="1" w:styleId="Textedesaisie">
    <w:name w:val="Texte de saisie"/>
    <w:pPr>
      <w:spacing w:line="320" w:lineRule="atLeast"/>
      <w:jc w:val="both"/>
    </w:pPr>
    <w:rPr>
      <w:rFonts w:ascii="Verdana" w:hAnsi="Verdana" w:cs="Arial Unicode MS"/>
      <w:color w:val="74758C"/>
      <w:sz w:val="19"/>
      <w:szCs w:val="19"/>
      <w:u w:color="74758C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Verdana" w:eastAsia="Verdana" w:hAnsi="Verdana" w:cs="Verdana"/>
      <w:outline w:val="0"/>
      <w:color w:val="000000"/>
      <w:sz w:val="16"/>
      <w:szCs w:val="16"/>
      <w:u w:val="single"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C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C0F"/>
    <w:rPr>
      <w:rFonts w:ascii="Segoe UI" w:hAnsi="Segoe UI" w:cs="Segoe UI"/>
      <w:color w:val="000000"/>
      <w:sz w:val="18"/>
      <w:szCs w:val="18"/>
      <w:u w:color="00000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61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61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6157"/>
    <w:rPr>
      <w:rFonts w:ascii="Verdana" w:hAnsi="Verdana" w:cs="Arial Unicode MS"/>
      <w:color w:val="000000"/>
      <w:u w:color="00000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61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6157"/>
    <w:rPr>
      <w:rFonts w:ascii="Verdana" w:hAnsi="Verdana" w:cs="Arial Unicode MS"/>
      <w:b/>
      <w:bCs/>
      <w:color w:val="000000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D4549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499"/>
    <w:rPr>
      <w:rFonts w:ascii="Verdana" w:hAnsi="Verdana" w:cs="Arial Unicode MS"/>
      <w:color w:val="000000"/>
      <w:sz w:val="19"/>
      <w:szCs w:val="19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73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D3A86A"/>
      </a:accent1>
      <a:accent2>
        <a:srgbClr val="74758C"/>
      </a:accent2>
      <a:accent3>
        <a:srgbClr val="050033"/>
      </a:accent3>
      <a:accent4>
        <a:srgbClr val="D8D8D8"/>
      </a:accent4>
      <a:accent5>
        <a:srgbClr val="F2F2F2"/>
      </a:accent5>
      <a:accent6>
        <a:srgbClr val="CFC7C3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Verdana"/>
            <a:ea typeface="Verdana"/>
            <a:cs typeface="Verdana"/>
            <a:sym typeface="Verdan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Verdana"/>
            <a:ea typeface="Verdana"/>
            <a:cs typeface="Verdana"/>
            <a:sym typeface="Verdan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822</Words>
  <Characters>4932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 Catalina</dc:creator>
  <cp:lastModifiedBy>Florek, Wojciech</cp:lastModifiedBy>
  <cp:revision>2</cp:revision>
  <dcterms:created xsi:type="dcterms:W3CDTF">2021-03-10T13:04:00Z</dcterms:created>
  <dcterms:modified xsi:type="dcterms:W3CDTF">2021-03-10T13:04:00Z</dcterms:modified>
</cp:coreProperties>
</file>