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8164" w14:textId="77777777" w:rsidR="0050572D" w:rsidRPr="000B3584" w:rsidRDefault="000F0A7A" w:rsidP="006C3457">
      <w:pPr>
        <w:pStyle w:val="PRtitle"/>
        <w:rPr>
          <w:lang w:val="pt-PT"/>
        </w:rPr>
      </w:pPr>
      <w:r w:rsidRPr="000B3584">
        <w:rPr>
          <w:lang w:val="pt-PT"/>
        </w:rPr>
        <w:t>Press Release</w:t>
      </w:r>
    </w:p>
    <w:p w14:paraId="4D7CA05C" w14:textId="0AAFF0B7"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3311E3">
        <w:rPr>
          <w:lang w:val="pt-PT"/>
        </w:rPr>
        <w:t>19</w:t>
      </w:r>
      <w:r w:rsidR="004238F1">
        <w:rPr>
          <w:lang w:val="pt-PT"/>
        </w:rPr>
        <w:t xml:space="preserve"> </w:t>
      </w:r>
      <w:r>
        <w:rPr>
          <w:lang w:val="pt-PT"/>
        </w:rPr>
        <w:t xml:space="preserve">de </w:t>
      </w:r>
      <w:r w:rsidR="005E7DB6">
        <w:rPr>
          <w:lang w:val="pt-PT"/>
        </w:rPr>
        <w:t>março</w:t>
      </w:r>
      <w:r>
        <w:rPr>
          <w:lang w:val="pt-PT"/>
        </w:rPr>
        <w:t xml:space="preserve"> de 202</w:t>
      </w:r>
      <w:r w:rsidR="005E7DB6">
        <w:rPr>
          <w:lang w:val="pt-PT"/>
        </w:rPr>
        <w:t>1</w:t>
      </w:r>
      <w:r w:rsidR="00ED2D9D" w:rsidRPr="00C313C7">
        <w:rPr>
          <w:lang w:val="pt-PT"/>
        </w:rPr>
        <w:tab/>
      </w:r>
    </w:p>
    <w:p w14:paraId="17331F7C" w14:textId="77777777" w:rsidR="00840795" w:rsidRPr="00856F99" w:rsidRDefault="00840795" w:rsidP="00840795">
      <w:pPr>
        <w:jc w:val="center"/>
        <w:rPr>
          <w:b/>
          <w:sz w:val="28"/>
          <w:szCs w:val="28"/>
          <w:u w:val="single"/>
          <w:lang w:val="pt-PT"/>
        </w:rPr>
      </w:pPr>
    </w:p>
    <w:p w14:paraId="5397CBF7" w14:textId="53A96711" w:rsidR="00840795" w:rsidRDefault="00840795" w:rsidP="00840795">
      <w:pPr>
        <w:jc w:val="both"/>
        <w:rPr>
          <w:lang w:val="pt-PT"/>
        </w:rPr>
      </w:pPr>
    </w:p>
    <w:p w14:paraId="7AAB4263" w14:textId="66534660" w:rsidR="00652F7F" w:rsidRPr="00652F7F" w:rsidRDefault="00050FC7" w:rsidP="00652F7F">
      <w:pPr>
        <w:jc w:val="center"/>
        <w:rPr>
          <w:rFonts w:ascii="Nestle Text TF Book" w:hAnsi="Nestle Text TF Book"/>
          <w:i/>
          <w:u w:val="single"/>
          <w:lang w:val="pt-PT"/>
        </w:rPr>
      </w:pPr>
      <w:r>
        <w:rPr>
          <w:rFonts w:ascii="Nestle Text TF Book" w:hAnsi="Nestle Text TF Book"/>
          <w:u w:val="single"/>
          <w:lang w:val="pt-PT"/>
        </w:rPr>
        <w:t xml:space="preserve">22 de março - </w:t>
      </w:r>
      <w:r w:rsidR="00652F7F" w:rsidRPr="00652F7F">
        <w:rPr>
          <w:rFonts w:ascii="Nestle Text TF Book" w:hAnsi="Nestle Text TF Book"/>
          <w:u w:val="single"/>
          <w:lang w:val="pt-PT"/>
        </w:rPr>
        <w:t>Dia Mundial da Água – Resultados 2010-20</w:t>
      </w:r>
      <w:r w:rsidR="00A5671A" w:rsidRPr="00A5671A">
        <w:rPr>
          <w:rFonts w:ascii="Nestle Text TF Book" w:hAnsi="Nestle Text TF Book"/>
          <w:u w:val="single"/>
          <w:lang w:val="pt-PT"/>
        </w:rPr>
        <w:t>20</w:t>
      </w:r>
    </w:p>
    <w:p w14:paraId="171EBD5D" w14:textId="77777777" w:rsidR="00652F7F" w:rsidRPr="00652F7F" w:rsidRDefault="00652F7F" w:rsidP="00652F7F">
      <w:pPr>
        <w:jc w:val="center"/>
        <w:rPr>
          <w:rFonts w:ascii="Nestle Text TF Book" w:hAnsi="Nestle Text TF Book"/>
          <w:lang w:val="pt-PT"/>
        </w:rPr>
      </w:pPr>
    </w:p>
    <w:p w14:paraId="115353C2" w14:textId="0C586B5B" w:rsidR="00652F7F" w:rsidRPr="00652F7F" w:rsidRDefault="00652F7F" w:rsidP="00652F7F">
      <w:pPr>
        <w:jc w:val="center"/>
        <w:rPr>
          <w:rFonts w:ascii="Nestle Text TF Book" w:hAnsi="Nestle Text TF Book"/>
          <w:b/>
          <w:sz w:val="32"/>
          <w:szCs w:val="32"/>
          <w:lang w:val="pt-PT"/>
        </w:rPr>
      </w:pPr>
      <w:r w:rsidRPr="00652F7F">
        <w:rPr>
          <w:rFonts w:ascii="Nestle Text TF Book" w:hAnsi="Nestle Text TF Book"/>
          <w:b/>
          <w:sz w:val="32"/>
          <w:szCs w:val="32"/>
          <w:lang w:val="pt-PT"/>
        </w:rPr>
        <w:t xml:space="preserve">Nestlé Portugal reduziu em 70% a captação de água </w:t>
      </w:r>
      <w:r w:rsidR="00071926">
        <w:rPr>
          <w:rFonts w:ascii="Nestle Text TF Book" w:hAnsi="Nestle Text TF Book"/>
          <w:b/>
          <w:sz w:val="32"/>
          <w:szCs w:val="32"/>
          <w:lang w:val="pt-PT"/>
        </w:rPr>
        <w:t>necessária para as</w:t>
      </w:r>
      <w:r w:rsidRPr="00652F7F">
        <w:rPr>
          <w:rFonts w:ascii="Nestle Text TF Book" w:hAnsi="Nestle Text TF Book"/>
          <w:b/>
          <w:sz w:val="32"/>
          <w:szCs w:val="32"/>
          <w:lang w:val="pt-PT"/>
        </w:rPr>
        <w:t xml:space="preserve"> suas operações</w:t>
      </w:r>
    </w:p>
    <w:p w14:paraId="208BE3D0" w14:textId="77777777" w:rsidR="00652F7F" w:rsidRPr="00A5671A" w:rsidRDefault="00652F7F" w:rsidP="00652F7F">
      <w:pPr>
        <w:jc w:val="both"/>
        <w:rPr>
          <w:rFonts w:ascii="Nestle Text TF Book" w:hAnsi="Nestle Text TF Book"/>
          <w:lang w:val="pt-PT"/>
        </w:rPr>
      </w:pPr>
    </w:p>
    <w:p w14:paraId="4CE4B193" w14:textId="4E65E752" w:rsidR="00184406" w:rsidRPr="006227AC" w:rsidRDefault="003311E3" w:rsidP="00652F7F">
      <w:pPr>
        <w:jc w:val="both"/>
        <w:rPr>
          <w:rFonts w:ascii="Nestle Text TF Book" w:hAnsi="Nestle Text TF Book"/>
          <w:lang w:val="pt-PT"/>
        </w:rPr>
      </w:pPr>
      <w:r>
        <w:rPr>
          <w:rFonts w:ascii="Nestle Text TF Book" w:hAnsi="Nestle Text TF Book"/>
          <w:lang w:val="pt-PT"/>
        </w:rPr>
        <w:t xml:space="preserve">Antecipando o </w:t>
      </w:r>
      <w:r w:rsidR="00A5671A" w:rsidRPr="006227AC">
        <w:rPr>
          <w:rFonts w:ascii="Nestle Text TF Book" w:hAnsi="Nestle Text TF Book"/>
          <w:lang w:val="pt-PT"/>
        </w:rPr>
        <w:t xml:space="preserve">dia em que se celebra </w:t>
      </w:r>
      <w:r w:rsidR="00184406" w:rsidRPr="006227AC">
        <w:rPr>
          <w:rFonts w:ascii="Nestle Text TF Book" w:hAnsi="Nestle Text TF Book"/>
          <w:lang w:val="pt-PT"/>
        </w:rPr>
        <w:t xml:space="preserve">internacionalmente </w:t>
      </w:r>
      <w:r w:rsidR="00A5671A" w:rsidRPr="006227AC">
        <w:rPr>
          <w:rFonts w:ascii="Nestle Text TF Book" w:hAnsi="Nestle Text TF Book"/>
          <w:lang w:val="pt-PT"/>
        </w:rPr>
        <w:t>a urgência da preservação</w:t>
      </w:r>
      <w:r w:rsidR="00184406" w:rsidRPr="006227AC">
        <w:rPr>
          <w:rFonts w:ascii="Nestle Text TF Book" w:hAnsi="Nestle Text TF Book"/>
          <w:lang w:val="pt-PT"/>
        </w:rPr>
        <w:t xml:space="preserve"> do </w:t>
      </w:r>
      <w:r w:rsidR="00A5671A" w:rsidRPr="006227AC">
        <w:rPr>
          <w:rFonts w:ascii="Nestle Text TF Book" w:hAnsi="Nestle Text TF Book"/>
          <w:lang w:val="pt-PT"/>
        </w:rPr>
        <w:t>recurso Água</w:t>
      </w:r>
      <w:r w:rsidR="00071926" w:rsidRPr="006227AC">
        <w:rPr>
          <w:rFonts w:ascii="Nestle Text TF Book" w:hAnsi="Nestle Text TF Book"/>
          <w:lang w:val="pt-PT"/>
        </w:rPr>
        <w:t>,</w:t>
      </w:r>
      <w:r w:rsidR="00A5671A" w:rsidRPr="006227AC">
        <w:rPr>
          <w:rFonts w:ascii="Nestle Text TF Book" w:hAnsi="Nestle Text TF Book"/>
          <w:lang w:val="pt-PT"/>
        </w:rPr>
        <w:t xml:space="preserve"> </w:t>
      </w:r>
      <w:r>
        <w:rPr>
          <w:rFonts w:ascii="Nestle Text TF Book" w:hAnsi="Nestle Text TF Book"/>
          <w:lang w:val="pt-PT"/>
        </w:rPr>
        <w:t xml:space="preserve">22 de março, </w:t>
      </w:r>
      <w:r w:rsidR="00A5671A" w:rsidRPr="006227AC">
        <w:rPr>
          <w:rFonts w:ascii="Nestle Text TF Book" w:hAnsi="Nestle Text TF Book"/>
          <w:lang w:val="pt-PT"/>
        </w:rPr>
        <w:t xml:space="preserve">a Nestlé dá a conhecer </w:t>
      </w:r>
      <w:r w:rsidR="00184406" w:rsidRPr="006227AC">
        <w:rPr>
          <w:rFonts w:ascii="Nestle Text TF Book" w:hAnsi="Nestle Text TF Book"/>
          <w:lang w:val="pt-PT"/>
        </w:rPr>
        <w:t>a forma como tem atuado</w:t>
      </w:r>
      <w:r w:rsidR="00050FC7" w:rsidRPr="006227AC">
        <w:rPr>
          <w:rFonts w:ascii="Nestle Text TF Book" w:hAnsi="Nestle Text TF Book"/>
          <w:lang w:val="pt-PT"/>
        </w:rPr>
        <w:t>,</w:t>
      </w:r>
      <w:r w:rsidR="00184406" w:rsidRPr="006227AC">
        <w:rPr>
          <w:rFonts w:ascii="Nestle Text TF Book" w:hAnsi="Nestle Text TF Book"/>
          <w:lang w:val="pt-PT"/>
        </w:rPr>
        <w:t xml:space="preserve"> </w:t>
      </w:r>
      <w:r w:rsidR="00050FC7" w:rsidRPr="006227AC">
        <w:rPr>
          <w:rFonts w:ascii="Nestle Text TF Book" w:hAnsi="Nestle Text TF Book"/>
          <w:lang w:val="pt-PT"/>
        </w:rPr>
        <w:t xml:space="preserve">em toda a sua cadeia de valor, por forma a conseguir reduzir em 70% a utilização deste recurso, no espaço de uma década (2010-2020). </w:t>
      </w:r>
    </w:p>
    <w:p w14:paraId="6A2FE903" w14:textId="77777777" w:rsidR="00184406" w:rsidRPr="006227AC" w:rsidRDefault="00184406" w:rsidP="00652F7F">
      <w:pPr>
        <w:jc w:val="both"/>
        <w:rPr>
          <w:rFonts w:ascii="Nestle Text TF Book" w:hAnsi="Nestle Text TF Book"/>
          <w:lang w:val="pt-PT"/>
        </w:rPr>
      </w:pPr>
    </w:p>
    <w:p w14:paraId="6081F9F7" w14:textId="719E8A8B" w:rsidR="00364132" w:rsidRPr="006227AC" w:rsidRDefault="009556C7" w:rsidP="00364132">
      <w:pPr>
        <w:jc w:val="both"/>
        <w:rPr>
          <w:rFonts w:ascii="Nestle Text TF Book" w:hAnsi="Nestle Text TF Book"/>
          <w:lang w:val="pt-PT"/>
        </w:rPr>
      </w:pPr>
      <w:r w:rsidRPr="006227AC">
        <w:rPr>
          <w:rFonts w:ascii="Nestle Text TF Book" w:hAnsi="Nestle Text TF Book"/>
          <w:lang w:val="pt-PT"/>
        </w:rPr>
        <w:t>Esta redução de utilização de água foi realizada de forma transversal a todas as estruturas que a Nestlé tem em Portugal, mas com um especial destaque para as inov</w:t>
      </w:r>
      <w:r w:rsidR="00176AFF" w:rsidRPr="006227AC">
        <w:rPr>
          <w:rFonts w:ascii="Nestle Text TF Book" w:hAnsi="Nestle Text TF Book"/>
          <w:lang w:val="pt-PT"/>
        </w:rPr>
        <w:t>a</w:t>
      </w:r>
      <w:r w:rsidRPr="006227AC">
        <w:rPr>
          <w:rFonts w:ascii="Nestle Text TF Book" w:hAnsi="Nestle Text TF Book"/>
          <w:lang w:val="pt-PT"/>
        </w:rPr>
        <w:t xml:space="preserve">ções introduzidas nas </w:t>
      </w:r>
      <w:r w:rsidR="00176AFF" w:rsidRPr="006227AC">
        <w:rPr>
          <w:rFonts w:ascii="Nestle Text TF Book" w:hAnsi="Nestle Text TF Book"/>
          <w:lang w:val="pt-PT"/>
        </w:rPr>
        <w:t>fábricas</w:t>
      </w:r>
      <w:r w:rsidRPr="006227AC">
        <w:rPr>
          <w:rFonts w:ascii="Nestle Text TF Book" w:hAnsi="Nestle Text TF Book"/>
          <w:lang w:val="pt-PT"/>
        </w:rPr>
        <w:t xml:space="preserve"> de Avanca e do Porto</w:t>
      </w:r>
      <w:r w:rsidR="00364132" w:rsidRPr="006227AC">
        <w:rPr>
          <w:rFonts w:ascii="Nestle Text TF Book" w:hAnsi="Nestle Text TF Book"/>
          <w:lang w:val="pt-PT"/>
        </w:rPr>
        <w:t>, que tem permitido uma utilização mais eficiente da água, reaproveitando-a sempre.</w:t>
      </w:r>
    </w:p>
    <w:p w14:paraId="6A35DE6B" w14:textId="2FA2ACAD" w:rsidR="00364132" w:rsidRPr="006227AC" w:rsidRDefault="00364132" w:rsidP="00364132">
      <w:pPr>
        <w:jc w:val="both"/>
        <w:rPr>
          <w:rFonts w:ascii="Nestle Text TF Book" w:hAnsi="Nestle Text TF Book"/>
          <w:lang w:val="pt-PT"/>
        </w:rPr>
      </w:pPr>
    </w:p>
    <w:p w14:paraId="3807418C" w14:textId="060144A0" w:rsidR="00652F7F" w:rsidRPr="006227AC" w:rsidRDefault="00364132" w:rsidP="00364132">
      <w:pPr>
        <w:jc w:val="both"/>
        <w:rPr>
          <w:rFonts w:ascii="Nestle Text TF Book" w:hAnsi="Nestle Text TF Book"/>
          <w:lang w:val="pt-PT"/>
        </w:rPr>
      </w:pPr>
      <w:r w:rsidRPr="006227AC">
        <w:rPr>
          <w:rFonts w:ascii="Nestle Text TF Book" w:hAnsi="Nestle Text TF Book"/>
          <w:lang w:val="pt-PT"/>
        </w:rPr>
        <w:t>Est</w:t>
      </w:r>
      <w:r w:rsidR="00071926" w:rsidRPr="006227AC">
        <w:rPr>
          <w:rFonts w:ascii="Nestle Text TF Book" w:hAnsi="Nestle Text TF Book"/>
          <w:lang w:val="pt-PT"/>
        </w:rPr>
        <w:t>e</w:t>
      </w:r>
      <w:r w:rsidRPr="006227AC">
        <w:rPr>
          <w:rFonts w:ascii="Nestle Text TF Book" w:hAnsi="Nestle Text TF Book"/>
          <w:lang w:val="pt-PT"/>
        </w:rPr>
        <w:t xml:space="preserve"> é também </w:t>
      </w:r>
      <w:r w:rsidR="00071926" w:rsidRPr="006227AC">
        <w:rPr>
          <w:rFonts w:ascii="Nestle Text TF Book" w:hAnsi="Nestle Text TF Book"/>
          <w:lang w:val="pt-PT"/>
        </w:rPr>
        <w:t xml:space="preserve">um objetivo partilhado pela </w:t>
      </w:r>
      <w:r w:rsidRPr="006227AC">
        <w:rPr>
          <w:rFonts w:ascii="Nestle Text TF Book" w:hAnsi="Nestle Text TF Book"/>
          <w:lang w:val="pt-PT"/>
        </w:rPr>
        <w:t xml:space="preserve">Nestlé com os seus fornecedores de matérias-primas e que </w:t>
      </w:r>
      <w:r w:rsidR="00EB47BD" w:rsidRPr="006227AC">
        <w:rPr>
          <w:rFonts w:ascii="Nestle Text TF Book" w:hAnsi="Nestle Text TF Book"/>
          <w:lang w:val="pt-PT"/>
        </w:rPr>
        <w:t xml:space="preserve">a empresa </w:t>
      </w:r>
      <w:r w:rsidRPr="006227AC">
        <w:rPr>
          <w:rFonts w:ascii="Nestle Text TF Book" w:hAnsi="Nestle Text TF Book"/>
          <w:lang w:val="pt-PT"/>
        </w:rPr>
        <w:t xml:space="preserve">deixou ainda mais claro </w:t>
      </w:r>
      <w:r w:rsidR="00EB47BD" w:rsidRPr="006227AC">
        <w:rPr>
          <w:rFonts w:ascii="Nestle Text TF Book" w:hAnsi="Nestle Text TF Book"/>
          <w:lang w:val="pt-PT"/>
        </w:rPr>
        <w:t>com o</w:t>
      </w:r>
      <w:r w:rsidRPr="006227AC">
        <w:rPr>
          <w:rFonts w:ascii="Nestle Text TF Book" w:hAnsi="Nestle Text TF Book"/>
          <w:lang w:val="pt-PT"/>
        </w:rPr>
        <w:t xml:space="preserve"> </w:t>
      </w:r>
      <w:r w:rsidR="000226D9" w:rsidRPr="006227AC">
        <w:rPr>
          <w:rFonts w:ascii="Nestle Text TF Book" w:hAnsi="Nestle Text TF Book"/>
          <w:lang w:val="pt-PT"/>
        </w:rPr>
        <w:t>anúncio</w:t>
      </w:r>
      <w:r w:rsidRPr="006227AC">
        <w:rPr>
          <w:rFonts w:ascii="Nestle Text TF Book" w:hAnsi="Nestle Text TF Book"/>
          <w:lang w:val="pt-PT"/>
        </w:rPr>
        <w:t xml:space="preserve"> do compromisso de atingir a </w:t>
      </w:r>
      <w:hyperlink r:id="rId11" w:history="1">
        <w:r w:rsidRPr="006227AC">
          <w:rPr>
            <w:rStyle w:val="Hiperligao"/>
            <w:rFonts w:ascii="Nestle Text TF Book" w:hAnsi="Nestle Text TF Book"/>
            <w:lang w:val="pt-PT"/>
          </w:rPr>
          <w:t>neutralidade carbónica até 2050</w:t>
        </w:r>
      </w:hyperlink>
      <w:r w:rsidRPr="006227AC">
        <w:rPr>
          <w:rFonts w:ascii="Nestle Text TF Book" w:hAnsi="Nestle Text TF Book"/>
          <w:lang w:val="pt-PT"/>
        </w:rPr>
        <w:t xml:space="preserve">, em que as práticas de agricultura regenerativa e a preocupação em ter solos saudáveis estão no topo da agenda </w:t>
      </w:r>
      <w:r w:rsidR="00DC6597" w:rsidRPr="006227AC">
        <w:rPr>
          <w:rFonts w:ascii="Nestle Text TF Book" w:hAnsi="Nestle Text TF Book"/>
          <w:lang w:val="pt-PT"/>
        </w:rPr>
        <w:t>de sustentabilidade da</w:t>
      </w:r>
      <w:r w:rsidRPr="006227AC">
        <w:rPr>
          <w:rFonts w:ascii="Nestle Text TF Book" w:hAnsi="Nestle Text TF Book"/>
          <w:lang w:val="pt-PT"/>
        </w:rPr>
        <w:t xml:space="preserve"> </w:t>
      </w:r>
      <w:r w:rsidR="00EB47BD" w:rsidRPr="006227AC">
        <w:rPr>
          <w:rFonts w:ascii="Nestle Text TF Book" w:hAnsi="Nestle Text TF Book"/>
          <w:lang w:val="pt-PT"/>
        </w:rPr>
        <w:t>Nestlé</w:t>
      </w:r>
      <w:r w:rsidRPr="006227AC">
        <w:rPr>
          <w:rFonts w:ascii="Nestle Text TF Book" w:hAnsi="Nestle Text TF Book"/>
          <w:lang w:val="pt-PT"/>
        </w:rPr>
        <w:t>.</w:t>
      </w:r>
    </w:p>
    <w:p w14:paraId="096A6530" w14:textId="23CCB4C5" w:rsidR="00652F7F" w:rsidRPr="006227AC" w:rsidRDefault="00652F7F" w:rsidP="00652F7F">
      <w:pPr>
        <w:jc w:val="both"/>
        <w:rPr>
          <w:rFonts w:ascii="Nestle Text TF Book" w:hAnsi="Nestle Text TF Book"/>
          <w:lang w:val="pt-PT"/>
        </w:rPr>
      </w:pPr>
    </w:p>
    <w:p w14:paraId="7F3FB23E" w14:textId="099FB454" w:rsidR="00532AFA" w:rsidRPr="006227AC" w:rsidRDefault="00532AFA" w:rsidP="00652F7F">
      <w:pPr>
        <w:jc w:val="both"/>
        <w:rPr>
          <w:rFonts w:ascii="Nestle Text TF Book" w:hAnsi="Nestle Text TF Book"/>
          <w:lang w:val="pt-PT"/>
        </w:rPr>
      </w:pPr>
      <w:r w:rsidRPr="006227AC">
        <w:rPr>
          <w:rFonts w:ascii="Nestle Text TF Book" w:hAnsi="Nestle Text TF Book"/>
          <w:b/>
          <w:bCs/>
          <w:lang w:val="pt-PT"/>
        </w:rPr>
        <w:t>Prioridade à agricultura regenerativa</w:t>
      </w:r>
      <w:r w:rsidRPr="006227AC">
        <w:rPr>
          <w:rFonts w:ascii="Nestle Text TF Book" w:hAnsi="Nestle Text TF Book"/>
          <w:lang w:val="pt-PT"/>
        </w:rPr>
        <w:t xml:space="preserve"> </w:t>
      </w:r>
    </w:p>
    <w:p w14:paraId="3D1D4BFA" w14:textId="13952875" w:rsidR="005902EC" w:rsidRPr="006227AC" w:rsidRDefault="00532AFA" w:rsidP="00652F7F">
      <w:pPr>
        <w:jc w:val="both"/>
        <w:rPr>
          <w:rFonts w:ascii="Nestle Text TF Book" w:hAnsi="Nestle Text TF Book"/>
          <w:lang w:val="pt-PT"/>
        </w:rPr>
      </w:pPr>
      <w:r w:rsidRPr="006227AC">
        <w:rPr>
          <w:rFonts w:ascii="Nestle Text TF Book" w:hAnsi="Nestle Text TF Book"/>
          <w:lang w:val="pt-PT"/>
        </w:rPr>
        <w:t xml:space="preserve">A </w:t>
      </w:r>
      <w:r w:rsidR="00DC6597" w:rsidRPr="006227AC">
        <w:rPr>
          <w:rFonts w:ascii="Nestle Text TF Book" w:hAnsi="Nestle Text TF Book"/>
          <w:lang w:val="pt-PT"/>
        </w:rPr>
        <w:t>nível mundial, a Nestlé</w:t>
      </w:r>
      <w:r w:rsidRPr="006227AC">
        <w:rPr>
          <w:rFonts w:ascii="Nestle Text TF Book" w:hAnsi="Nestle Text TF Book"/>
          <w:lang w:val="pt-PT"/>
        </w:rPr>
        <w:t xml:space="preserve"> está já a trabalhar com os seus 500.000 agricultores e 150.000 fornecedores para os apoiar na implementação de práticas de agricultura regenerativa. Essas práticas melhoram a saúde do solo e mantêm e restauram os diversos ecossistemas. Em troca, a Nestlé está a recompensar os agricultores comprando os seus produtos a um preço mais elevado e em quantidades maiores, </w:t>
      </w:r>
      <w:r w:rsidR="006227AC" w:rsidRPr="006227AC">
        <w:rPr>
          <w:rFonts w:ascii="Nestle Text TF Book" w:hAnsi="Nestle Text TF Book"/>
          <w:lang w:val="pt-PT"/>
        </w:rPr>
        <w:t>co</w:t>
      </w:r>
      <w:r w:rsidR="006227AC">
        <w:rPr>
          <w:rFonts w:ascii="Nestle Text TF Book" w:hAnsi="Nestle Text TF Book"/>
          <w:lang w:val="pt-PT"/>
        </w:rPr>
        <w:t>-</w:t>
      </w:r>
      <w:r w:rsidR="006227AC" w:rsidRPr="006227AC">
        <w:rPr>
          <w:rFonts w:ascii="Nestle Text TF Book" w:hAnsi="Nestle Text TF Book"/>
          <w:lang w:val="pt-PT"/>
        </w:rPr>
        <w:t>investindo</w:t>
      </w:r>
      <w:r w:rsidRPr="006227AC">
        <w:rPr>
          <w:rFonts w:ascii="Nestle Text TF Book" w:hAnsi="Nestle Text TF Book"/>
          <w:lang w:val="pt-PT"/>
        </w:rPr>
        <w:t xml:space="preserve"> nas despesas de capital necessárias. Desta forma, a </w:t>
      </w:r>
      <w:r w:rsidR="00C656AF" w:rsidRPr="006227AC">
        <w:rPr>
          <w:rFonts w:ascii="Nestle Text TF Book" w:hAnsi="Nestle Text TF Book"/>
          <w:lang w:val="pt-PT"/>
        </w:rPr>
        <w:t xml:space="preserve">empresa </w:t>
      </w:r>
      <w:r w:rsidRPr="006227AC">
        <w:rPr>
          <w:rFonts w:ascii="Nestle Text TF Book" w:hAnsi="Nestle Text TF Book"/>
          <w:lang w:val="pt-PT"/>
        </w:rPr>
        <w:t>espera obter mais de 14 milhões de toneladas de matérias-primas através de agricultura regenerativa até 2030</w:t>
      </w:r>
      <w:r w:rsidR="00C656AF" w:rsidRPr="006227AC">
        <w:rPr>
          <w:rFonts w:ascii="Nestle Text TF Book" w:hAnsi="Nestle Text TF Book"/>
          <w:lang w:val="pt-PT"/>
        </w:rPr>
        <w:t>.</w:t>
      </w:r>
      <w:r w:rsidR="00D5268A" w:rsidRPr="006227AC">
        <w:rPr>
          <w:rFonts w:ascii="Nestle Text TF Book" w:hAnsi="Nestle Text TF Book"/>
          <w:lang w:val="pt-PT"/>
        </w:rPr>
        <w:t xml:space="preserve"> Por outro lado, a empresa está também a acelerar a transformação do seu portefólio, por forma a utilizar matérias-primas </w:t>
      </w:r>
      <w:r w:rsidR="00D5268A" w:rsidRPr="006227AC">
        <w:rPr>
          <w:rFonts w:ascii="Nestle Text TF Book" w:hAnsi="Nestle Text TF Book"/>
          <w:i/>
          <w:iCs/>
          <w:lang w:val="pt-PT"/>
        </w:rPr>
        <w:t>plant-based</w:t>
      </w:r>
      <w:r w:rsidR="00D5268A" w:rsidRPr="006227AC">
        <w:rPr>
          <w:rFonts w:ascii="Nestle Text TF Book" w:hAnsi="Nestle Text TF Book"/>
          <w:lang w:val="pt-PT"/>
        </w:rPr>
        <w:t xml:space="preserve"> com consumos de águas significativamente mais baixos que, por exemplo, as matérias-primas de origem animal.</w:t>
      </w:r>
    </w:p>
    <w:p w14:paraId="405B0658" w14:textId="77777777" w:rsidR="00652F7F" w:rsidRPr="006227AC" w:rsidRDefault="00652F7F" w:rsidP="00652F7F">
      <w:pPr>
        <w:jc w:val="both"/>
        <w:rPr>
          <w:rFonts w:ascii="Nestle Text TF Book" w:hAnsi="Nestle Text TF Book"/>
          <w:lang w:val="pt-PT"/>
        </w:rPr>
      </w:pPr>
    </w:p>
    <w:p w14:paraId="17354F73" w14:textId="66792D3F" w:rsidR="00071926" w:rsidRPr="006227AC" w:rsidRDefault="00532AFA" w:rsidP="00652F7F">
      <w:pPr>
        <w:jc w:val="both"/>
        <w:rPr>
          <w:rFonts w:ascii="Nestle Text TF Book" w:hAnsi="Nestle Text TF Book"/>
          <w:b/>
          <w:bCs/>
          <w:lang w:val="pt-PT"/>
        </w:rPr>
      </w:pPr>
      <w:r w:rsidRPr="006227AC">
        <w:rPr>
          <w:rFonts w:ascii="Nestle Text TF Book" w:hAnsi="Nestle Text TF Book"/>
          <w:b/>
          <w:bCs/>
          <w:lang w:val="pt-PT"/>
        </w:rPr>
        <w:t>Promover solos</w:t>
      </w:r>
      <w:r w:rsidR="00071926" w:rsidRPr="006227AC">
        <w:rPr>
          <w:rFonts w:ascii="Nestle Text TF Book" w:hAnsi="Nestle Text TF Book"/>
          <w:b/>
          <w:bCs/>
          <w:lang w:val="pt-PT"/>
        </w:rPr>
        <w:t xml:space="preserve"> mais saudáveis</w:t>
      </w:r>
    </w:p>
    <w:p w14:paraId="24E3CDCB" w14:textId="22C464D5" w:rsidR="00652F7F" w:rsidRPr="006227AC" w:rsidRDefault="00532AFA" w:rsidP="00652F7F">
      <w:pPr>
        <w:jc w:val="both"/>
        <w:rPr>
          <w:rFonts w:ascii="Nestle Text TF Book" w:hAnsi="Nestle Text TF Book"/>
          <w:lang w:val="pt-PT"/>
        </w:rPr>
      </w:pPr>
      <w:r w:rsidRPr="006227AC">
        <w:rPr>
          <w:rFonts w:ascii="Nestle Text TF Book" w:hAnsi="Nestle Text TF Book"/>
          <w:lang w:val="pt-PT"/>
        </w:rPr>
        <w:t xml:space="preserve">Em Portugal, a Nestlé trabalha com agricultores no Alentejo, para produzir cereais com características específicas (baixos teores de pesticidas) para o fabrico, entre outros, de papas de cereais infantis CERELAC. Esta ligação aos agricultores permite assegurar a qualidade do produto final e promove práticas agrícolas, desde a sementeira até à colheita, mais amigas do </w:t>
      </w:r>
      <w:r w:rsidRPr="006227AC">
        <w:rPr>
          <w:rFonts w:ascii="Nestle Text TF Book" w:hAnsi="Nestle Text TF Book"/>
          <w:lang w:val="pt-PT"/>
        </w:rPr>
        <w:lastRenderedPageBreak/>
        <w:t xml:space="preserve">ambiente. As especificações técnicas de matérias-primas são trabalhadas de perto com o agricultor desde o momento da compra da semente, passando pela sementeira e até à colheita. </w:t>
      </w:r>
    </w:p>
    <w:p w14:paraId="1265B830" w14:textId="77777777" w:rsidR="004E5391" w:rsidRPr="00A5671A" w:rsidRDefault="004E5391" w:rsidP="00C313C7">
      <w:pPr>
        <w:pStyle w:val="PRbasic"/>
        <w:jc w:val="both"/>
        <w:rPr>
          <w:sz w:val="24"/>
          <w:szCs w:val="22"/>
          <w:lang w:val="pt-PT"/>
        </w:rPr>
      </w:pPr>
    </w:p>
    <w:p w14:paraId="6357CE4B" w14:textId="77777777" w:rsidR="004E5391" w:rsidRPr="00A5671A" w:rsidRDefault="004E5391" w:rsidP="00C313C7">
      <w:pPr>
        <w:jc w:val="both"/>
        <w:rPr>
          <w:rFonts w:ascii="Nestle Text TF Book" w:hAnsi="Nestle Text TF Book"/>
          <w:lang w:val="pt-PT"/>
        </w:rPr>
      </w:pPr>
    </w:p>
    <w:p w14:paraId="55DE4553" w14:textId="77777777" w:rsidR="00652F7F" w:rsidRPr="00652F7F" w:rsidRDefault="00652F7F" w:rsidP="00652F7F">
      <w:pPr>
        <w:spacing w:after="160" w:line="259" w:lineRule="auto"/>
        <w:rPr>
          <w:rFonts w:ascii="Nestle Text TF Book" w:eastAsia="Calibri" w:hAnsi="Nestle Text TF Book" w:cs="Times New Roman"/>
          <w:b/>
          <w:bCs/>
          <w:sz w:val="20"/>
          <w:szCs w:val="20"/>
          <w:u w:val="single"/>
          <w:lang w:val="pt-PT"/>
        </w:rPr>
      </w:pPr>
      <w:r w:rsidRPr="00652F7F">
        <w:rPr>
          <w:rFonts w:ascii="Nestle Text TF Book" w:eastAsia="Calibri" w:hAnsi="Nestle Text TF Book" w:cs="Times New Roman"/>
          <w:b/>
          <w:bCs/>
          <w:sz w:val="20"/>
          <w:szCs w:val="20"/>
          <w:u w:val="single"/>
          <w:lang w:val="pt-PT"/>
        </w:rPr>
        <w:t>Sobre a Nestlé</w:t>
      </w:r>
    </w:p>
    <w:p w14:paraId="4B166EEC" w14:textId="77777777" w:rsidR="00652F7F" w:rsidRPr="00652F7F" w:rsidRDefault="00652F7F" w:rsidP="00652F7F">
      <w:pPr>
        <w:spacing w:after="160" w:line="259" w:lineRule="auto"/>
        <w:rPr>
          <w:rFonts w:ascii="Nestle Text TF Book" w:eastAsia="Calibri" w:hAnsi="Nestle Text TF Book" w:cs="Times New Roman"/>
          <w:sz w:val="20"/>
          <w:szCs w:val="20"/>
          <w:lang w:val="pt-PT"/>
        </w:rPr>
      </w:pPr>
      <w:r w:rsidRPr="00652F7F">
        <w:rPr>
          <w:rFonts w:ascii="Nestle Text TF Book" w:eastAsia="Calibri" w:hAnsi="Nestle Text TF Book" w:cs="Times New Roman"/>
          <w:sz w:val="20"/>
          <w:szCs w:val="20"/>
          <w:lang w:val="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36AA318C" w14:textId="77777777" w:rsidR="00652F7F" w:rsidRPr="00652F7F" w:rsidRDefault="00652F7F" w:rsidP="00652F7F">
      <w:pPr>
        <w:spacing w:after="160" w:line="259" w:lineRule="auto"/>
        <w:rPr>
          <w:rFonts w:ascii="Nestle Text TF Book" w:eastAsia="Calibri" w:hAnsi="Nestle Text TF Book" w:cs="Times New Roman"/>
          <w:sz w:val="20"/>
          <w:szCs w:val="20"/>
          <w:lang w:val="pt-PT"/>
        </w:rPr>
      </w:pPr>
      <w:r w:rsidRPr="00652F7F">
        <w:rPr>
          <w:rFonts w:ascii="Nestle Text TF Book" w:eastAsia="Calibri" w:hAnsi="Nestle Text TF Book" w:cs="Times New Roman"/>
          <w:sz w:val="20"/>
          <w:szCs w:val="20"/>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p w14:paraId="55CFFCB4" w14:textId="42A1D7BD" w:rsidR="00C313C7" w:rsidRPr="00A5671A" w:rsidRDefault="00C313C7" w:rsidP="00652F7F">
      <w:pPr>
        <w:pStyle w:val="PRbasic"/>
        <w:spacing w:line="240" w:lineRule="auto"/>
        <w:rPr>
          <w:sz w:val="18"/>
          <w:szCs w:val="18"/>
          <w:lang w:val="pt-PT"/>
        </w:rPr>
      </w:pPr>
    </w:p>
    <w:sectPr w:rsidR="00C313C7" w:rsidRPr="00A5671A" w:rsidSect="000B3584">
      <w:headerReference w:type="even" r:id="rId12"/>
      <w:headerReference w:type="default" r:id="rId13"/>
      <w:footerReference w:type="even" r:id="rId14"/>
      <w:footerReference w:type="default" r:id="rId15"/>
      <w:headerReference w:type="first" r:id="rId16"/>
      <w:footerReference w:type="first" r:id="rId17"/>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F6BB" w14:textId="77777777" w:rsidR="00DF7DFF" w:rsidRDefault="00DF7DFF" w:rsidP="00E84FFA">
      <w:r>
        <w:separator/>
      </w:r>
    </w:p>
  </w:endnote>
  <w:endnote w:type="continuationSeparator" w:id="0">
    <w:p w14:paraId="2537E6C0" w14:textId="77777777" w:rsidR="00DF7DFF" w:rsidRDefault="00DF7DFF"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709C" w14:textId="77777777" w:rsidR="00D63561" w:rsidRDefault="00D635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EE4" w14:textId="77777777" w:rsidR="00D63561" w:rsidRDefault="00D6356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5B3D" w14:textId="77777777" w:rsidR="00D63561" w:rsidRDefault="00D635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82E4A" w14:textId="77777777" w:rsidR="00DF7DFF" w:rsidRDefault="00DF7DFF" w:rsidP="00E84FFA">
      <w:r>
        <w:separator/>
      </w:r>
    </w:p>
  </w:footnote>
  <w:footnote w:type="continuationSeparator" w:id="0">
    <w:p w14:paraId="011064E5" w14:textId="77777777" w:rsidR="00DF7DFF" w:rsidRDefault="00DF7DFF"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885E" w14:textId="77777777" w:rsidR="00D63561" w:rsidRDefault="00D635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35A" w14:textId="77777777" w:rsidR="00D63561" w:rsidRDefault="00D635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558" w14:textId="746D2B45" w:rsidR="002D4C5C" w:rsidRDefault="000B2A3B">
    <w:pPr>
      <w:pStyle w:val="Cabealho"/>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226D9"/>
    <w:rsid w:val="00050FC7"/>
    <w:rsid w:val="00071926"/>
    <w:rsid w:val="0007603E"/>
    <w:rsid w:val="000B2A3B"/>
    <w:rsid w:val="000B3584"/>
    <w:rsid w:val="000C548F"/>
    <w:rsid w:val="000E3825"/>
    <w:rsid w:val="000F0A7A"/>
    <w:rsid w:val="000F5DE9"/>
    <w:rsid w:val="00145C9F"/>
    <w:rsid w:val="00176AFF"/>
    <w:rsid w:val="00184406"/>
    <w:rsid w:val="00184F9B"/>
    <w:rsid w:val="001A6A66"/>
    <w:rsid w:val="001C7E54"/>
    <w:rsid w:val="001E30A5"/>
    <w:rsid w:val="001F3C37"/>
    <w:rsid w:val="00210B31"/>
    <w:rsid w:val="00216379"/>
    <w:rsid w:val="00240525"/>
    <w:rsid w:val="00243199"/>
    <w:rsid w:val="0025375F"/>
    <w:rsid w:val="00255C62"/>
    <w:rsid w:val="002836C1"/>
    <w:rsid w:val="00285C47"/>
    <w:rsid w:val="002B1EB3"/>
    <w:rsid w:val="002D4C5C"/>
    <w:rsid w:val="002D7C69"/>
    <w:rsid w:val="002F0C67"/>
    <w:rsid w:val="002F6E8D"/>
    <w:rsid w:val="003311E3"/>
    <w:rsid w:val="0033239F"/>
    <w:rsid w:val="003632C4"/>
    <w:rsid w:val="00364132"/>
    <w:rsid w:val="003654E4"/>
    <w:rsid w:val="00374F3F"/>
    <w:rsid w:val="00390C35"/>
    <w:rsid w:val="003A6D35"/>
    <w:rsid w:val="003B3ADF"/>
    <w:rsid w:val="003D1BB4"/>
    <w:rsid w:val="004238F1"/>
    <w:rsid w:val="0044522B"/>
    <w:rsid w:val="004719E4"/>
    <w:rsid w:val="00471E3A"/>
    <w:rsid w:val="00495408"/>
    <w:rsid w:val="00497903"/>
    <w:rsid w:val="004D548D"/>
    <w:rsid w:val="004D7819"/>
    <w:rsid w:val="004E5391"/>
    <w:rsid w:val="0050572D"/>
    <w:rsid w:val="00532AFA"/>
    <w:rsid w:val="00536BE1"/>
    <w:rsid w:val="005471F9"/>
    <w:rsid w:val="00571663"/>
    <w:rsid w:val="005746A6"/>
    <w:rsid w:val="005902EC"/>
    <w:rsid w:val="00596F11"/>
    <w:rsid w:val="005A61F5"/>
    <w:rsid w:val="005D6A44"/>
    <w:rsid w:val="005E481A"/>
    <w:rsid w:val="005E7DB6"/>
    <w:rsid w:val="00617C50"/>
    <w:rsid w:val="006227AC"/>
    <w:rsid w:val="0064678F"/>
    <w:rsid w:val="00652F7F"/>
    <w:rsid w:val="00684678"/>
    <w:rsid w:val="006859F4"/>
    <w:rsid w:val="006C3457"/>
    <w:rsid w:val="006D4826"/>
    <w:rsid w:val="006E29F4"/>
    <w:rsid w:val="006F4176"/>
    <w:rsid w:val="007114EA"/>
    <w:rsid w:val="00771EE9"/>
    <w:rsid w:val="00791625"/>
    <w:rsid w:val="007921F3"/>
    <w:rsid w:val="007B778E"/>
    <w:rsid w:val="007C538A"/>
    <w:rsid w:val="007C6A63"/>
    <w:rsid w:val="007C744B"/>
    <w:rsid w:val="007E36FF"/>
    <w:rsid w:val="007F086B"/>
    <w:rsid w:val="00805F51"/>
    <w:rsid w:val="00840795"/>
    <w:rsid w:val="00842238"/>
    <w:rsid w:val="00843066"/>
    <w:rsid w:val="00845F68"/>
    <w:rsid w:val="00846869"/>
    <w:rsid w:val="00856F99"/>
    <w:rsid w:val="00905D26"/>
    <w:rsid w:val="009461F7"/>
    <w:rsid w:val="009552A3"/>
    <w:rsid w:val="009556C7"/>
    <w:rsid w:val="00971BCD"/>
    <w:rsid w:val="00982C48"/>
    <w:rsid w:val="00987673"/>
    <w:rsid w:val="009B2FF3"/>
    <w:rsid w:val="009C354D"/>
    <w:rsid w:val="009D07D2"/>
    <w:rsid w:val="009D226C"/>
    <w:rsid w:val="009D699A"/>
    <w:rsid w:val="009E1D1C"/>
    <w:rsid w:val="009F2C14"/>
    <w:rsid w:val="00A10FB7"/>
    <w:rsid w:val="00A3061B"/>
    <w:rsid w:val="00A521FC"/>
    <w:rsid w:val="00A5671A"/>
    <w:rsid w:val="00A864AD"/>
    <w:rsid w:val="00A86A75"/>
    <w:rsid w:val="00AD2D59"/>
    <w:rsid w:val="00AF0B5B"/>
    <w:rsid w:val="00B00E3F"/>
    <w:rsid w:val="00B26F51"/>
    <w:rsid w:val="00B668F4"/>
    <w:rsid w:val="00B94868"/>
    <w:rsid w:val="00BD1081"/>
    <w:rsid w:val="00BF4C26"/>
    <w:rsid w:val="00C00335"/>
    <w:rsid w:val="00C313C7"/>
    <w:rsid w:val="00C3194C"/>
    <w:rsid w:val="00C34622"/>
    <w:rsid w:val="00C656AF"/>
    <w:rsid w:val="00CA33A8"/>
    <w:rsid w:val="00CE1B03"/>
    <w:rsid w:val="00CE7ACC"/>
    <w:rsid w:val="00D10D7A"/>
    <w:rsid w:val="00D329E9"/>
    <w:rsid w:val="00D473EF"/>
    <w:rsid w:val="00D5268A"/>
    <w:rsid w:val="00D63561"/>
    <w:rsid w:val="00DC6597"/>
    <w:rsid w:val="00DF7DFF"/>
    <w:rsid w:val="00E0178D"/>
    <w:rsid w:val="00E430BA"/>
    <w:rsid w:val="00E47067"/>
    <w:rsid w:val="00E7129F"/>
    <w:rsid w:val="00E808A0"/>
    <w:rsid w:val="00E84FFA"/>
    <w:rsid w:val="00E9048D"/>
    <w:rsid w:val="00E90878"/>
    <w:rsid w:val="00EA07A3"/>
    <w:rsid w:val="00EB47BD"/>
    <w:rsid w:val="00ED2AFC"/>
    <w:rsid w:val="00ED2D9D"/>
    <w:rsid w:val="00ED6FA2"/>
    <w:rsid w:val="00EE18D1"/>
    <w:rsid w:val="00EF090E"/>
    <w:rsid w:val="00EF4539"/>
    <w:rsid w:val="00F02057"/>
    <w:rsid w:val="00F16210"/>
    <w:rsid w:val="00F73D83"/>
    <w:rsid w:val="00F8386F"/>
    <w:rsid w:val="00FE73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313C7"/>
    <w:rPr>
      <w:color w:val="0563C1" w:themeColor="hyperlink"/>
      <w:u w:val="single"/>
    </w:rPr>
  </w:style>
  <w:style w:type="character" w:styleId="MenoNoResolvida">
    <w:name w:val="Unresolved Mention"/>
    <w:basedOn w:val="Tipodeletrapredefinidodopargrafo"/>
    <w:uiPriority w:val="99"/>
    <w:semiHidden/>
    <w:unhideWhenUsed/>
    <w:rsid w:val="00C313C7"/>
    <w:rPr>
      <w:color w:val="605E5C"/>
      <w:shd w:val="clear" w:color="auto" w:fill="E1DFDD"/>
    </w:rPr>
  </w:style>
  <w:style w:type="character" w:styleId="Hiperligaovisitada">
    <w:name w:val="FollowedHyperlink"/>
    <w:basedOn w:val="Tipodeletrapredefinidodopargrafo"/>
    <w:uiPriority w:val="99"/>
    <w:semiHidden/>
    <w:unhideWhenUsed/>
    <w:rsid w:val="00145C9F"/>
    <w:rPr>
      <w:color w:val="954F72" w:themeColor="followedHyperlink"/>
      <w:u w:val="single"/>
    </w:rPr>
  </w:style>
  <w:style w:type="character" w:styleId="Refdecomentrio">
    <w:name w:val="annotation reference"/>
    <w:basedOn w:val="Tipodeletrapredefinidodopargrafo"/>
    <w:uiPriority w:val="99"/>
    <w:semiHidden/>
    <w:unhideWhenUsed/>
    <w:rsid w:val="00CE7ACC"/>
    <w:rPr>
      <w:sz w:val="16"/>
      <w:szCs w:val="16"/>
    </w:rPr>
  </w:style>
  <w:style w:type="paragraph" w:styleId="Textodecomentrio">
    <w:name w:val="annotation text"/>
    <w:basedOn w:val="Normal"/>
    <w:link w:val="TextodecomentrioCarter"/>
    <w:uiPriority w:val="99"/>
    <w:semiHidden/>
    <w:unhideWhenUsed/>
    <w:rsid w:val="00CE7ACC"/>
    <w:rPr>
      <w:sz w:val="20"/>
      <w:szCs w:val="20"/>
    </w:rPr>
  </w:style>
  <w:style w:type="character" w:customStyle="1" w:styleId="TextodecomentrioCarter">
    <w:name w:val="Texto de comentário Caráter"/>
    <w:basedOn w:val="Tipodeletrapredefinidodopargrafo"/>
    <w:link w:val="Textodecomentrio"/>
    <w:uiPriority w:val="99"/>
    <w:semiHidden/>
    <w:rsid w:val="00CE7ACC"/>
    <w:rPr>
      <w:rFonts w:eastAsiaTheme="minorEastAsia"/>
      <w:sz w:val="20"/>
      <w:szCs w:val="20"/>
    </w:rPr>
  </w:style>
  <w:style w:type="paragraph" w:styleId="Assuntodecomentrio">
    <w:name w:val="annotation subject"/>
    <w:basedOn w:val="Textodecomentrio"/>
    <w:next w:val="Textodecomentrio"/>
    <w:link w:val="AssuntodecomentrioCarter"/>
    <w:uiPriority w:val="99"/>
    <w:semiHidden/>
    <w:unhideWhenUsed/>
    <w:rsid w:val="00CE7ACC"/>
    <w:rPr>
      <w:b/>
      <w:bCs/>
    </w:rPr>
  </w:style>
  <w:style w:type="character" w:customStyle="1" w:styleId="AssuntodecomentrioCarter">
    <w:name w:val="Assunto de comentário Caráter"/>
    <w:basedOn w:val="TextodecomentrioCarter"/>
    <w:link w:val="Assuntodecomentrio"/>
    <w:uiPriority w:val="99"/>
    <w:semiHidden/>
    <w:rsid w:val="00CE7ACC"/>
    <w:rPr>
      <w:rFonts w:eastAsiaTheme="minorEastAsia"/>
      <w:b/>
      <w:bCs/>
      <w:sz w:val="20"/>
      <w:szCs w:val="20"/>
    </w:rPr>
  </w:style>
  <w:style w:type="paragraph" w:styleId="Textodebalo">
    <w:name w:val="Balloon Text"/>
    <w:basedOn w:val="Normal"/>
    <w:link w:val="TextodebaloCarter"/>
    <w:uiPriority w:val="99"/>
    <w:semiHidden/>
    <w:unhideWhenUsed/>
    <w:rsid w:val="00CE7AC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7ACC"/>
    <w:rPr>
      <w:rFonts w:ascii="Segoe UI" w:eastAsiaTheme="minorEastAsia" w:hAnsi="Segoe UI" w:cs="Segoe UI"/>
      <w:sz w:val="18"/>
      <w:szCs w:val="18"/>
    </w:rPr>
  </w:style>
  <w:style w:type="paragraph" w:styleId="PargrafodaLista">
    <w:name w:val="List Paragraph"/>
    <w:basedOn w:val="Normal"/>
    <w:uiPriority w:val="34"/>
    <w:qFormat/>
    <w:rsid w:val="005E7DB6"/>
    <w:pPr>
      <w:ind w:left="720"/>
    </w:pPr>
    <w:rPr>
      <w:rFonts w:ascii="Calibri" w:eastAsiaTheme="minorHAnsi" w:hAnsi="Calibri" w:cs="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resa.nestle.pt/media/comunicados/2021-neutralidade-carboni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CD4E4-7C1D-4A36-8316-47A619F3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9357A1-EC0A-46A0-84C1-441C532B10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4.xml><?xml version="1.0" encoding="utf-8"?>
<ds:datastoreItem xmlns:ds="http://schemas.openxmlformats.org/officeDocument/2006/customXml" ds:itemID="{638F1974-3F2A-4BB0-8A53-0F20068C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86</TotalTime>
  <Pages>2</Pages>
  <Words>580</Words>
  <Characters>3135</Characters>
  <Application>Microsoft Office Word</Application>
  <DocSecurity>0</DocSecurity>
  <Lines>26</Lines>
  <Paragraphs>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Tânia Miguel</cp:lastModifiedBy>
  <cp:revision>17</cp:revision>
  <dcterms:created xsi:type="dcterms:W3CDTF">2021-03-15T17:14:00Z</dcterms:created>
  <dcterms:modified xsi:type="dcterms:W3CDTF">2021-03-19T10:52:00Z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