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B2D0CB6" w14:textId="4B8355F5" w:rsidR="00A154BF" w:rsidRPr="00401709" w:rsidRDefault="00B31BD1" w:rsidP="0098414C">
      <w:pPr>
        <w:ind w:left="-567"/>
        <w:rPr>
          <w:rFonts w:ascii="HelveticaNeueLT Pro 45 Lt" w:hAnsi="HelveticaNeueLT Pro 45 Lt"/>
          <w:color w:val="49595B"/>
          <w:sz w:val="52"/>
          <w:szCs w:val="52"/>
        </w:rPr>
      </w:pPr>
      <w:r w:rsidRPr="002E1EA8">
        <w:rPr>
          <w:rFonts w:ascii="HelveticaNeueLT Pro 45 Lt" w:hAnsi="HelveticaNeueLT Pro 45 Lt"/>
          <w:noProof/>
          <w:color w:val="C7162B"/>
          <w:sz w:val="52"/>
          <w:szCs w:val="52"/>
          <w:lang w:eastAsia="pl-PL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8858242" wp14:editId="17C315A9">
                <wp:simplePos x="0" y="0"/>
                <wp:positionH relativeFrom="column">
                  <wp:posOffset>2149475</wp:posOffset>
                </wp:positionH>
                <wp:positionV relativeFrom="paragraph">
                  <wp:posOffset>347004</wp:posOffset>
                </wp:positionV>
                <wp:extent cx="66612" cy="66612"/>
                <wp:effectExtent l="0" t="0" r="0" b="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12" cy="66612"/>
                        </a:xfrm>
                        <a:prstGeom prst="rect">
                          <a:avLst/>
                        </a:prstGeom>
                        <a:solidFill>
                          <a:srgbClr val="C7162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15F251" id="Rectangle 3" o:spid="_x0000_s1026" style="position:absolute;margin-left:169.25pt;margin-top:27.3pt;width:5.25pt;height:5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" fillcolor="#c7162b" stroked="f" strokeweight="1pt"/>
            </w:pict>
          </mc:Fallback>
        </mc:AlternateContent>
      </w:r>
      <w:r w:rsidR="00F0634A" w:rsidRPr="00401709">
        <w:rPr>
          <w:rFonts w:ascii="HelveticaNeueLT Pro 45 Lt" w:hAnsi="HelveticaNeueLT Pro 45 Lt"/>
          <w:color w:val="49595B"/>
          <w:sz w:val="52"/>
          <w:szCs w:val="52"/>
        </w:rPr>
        <w:t>MEDIA RELEAS</w:t>
      </w:r>
      <w:r w:rsidR="00B078AF" w:rsidRPr="00401709">
        <w:rPr>
          <w:rFonts w:ascii="HelveticaNeueLT Pro 45 Lt" w:hAnsi="HelveticaNeueLT Pro 45 Lt"/>
          <w:color w:val="49595B"/>
          <w:sz w:val="52"/>
          <w:szCs w:val="52"/>
        </w:rPr>
        <w:t xml:space="preserve">E                         </w:t>
      </w:r>
      <w:r w:rsidR="0098414C" w:rsidRPr="00401709">
        <w:rPr>
          <w:rFonts w:ascii="HelveticaNeueLT Pro 45 Lt" w:hAnsi="HelveticaNeueLT Pro 45 Lt"/>
          <w:color w:val="49595B"/>
          <w:sz w:val="52"/>
          <w:szCs w:val="52"/>
        </w:rPr>
        <w:t xml:space="preserve"> </w:t>
      </w:r>
      <w:r w:rsidR="00B078AF" w:rsidRPr="00401709">
        <w:rPr>
          <w:rFonts w:ascii="HelveticaNeueLT Pro 45 Lt" w:hAnsi="HelveticaNeueLT Pro 45 Lt"/>
          <w:color w:val="49595B"/>
          <w:sz w:val="52"/>
          <w:szCs w:val="52"/>
        </w:rPr>
        <w:t xml:space="preserve">    </w:t>
      </w:r>
      <w:r w:rsidR="00B078AF" w:rsidRPr="00B30804">
        <w:rPr>
          <w:rFonts w:ascii="HelveticaNeueLT Pro 45 Lt" w:hAnsi="HelveticaNeueLT Pro 45 Lt"/>
          <w:noProof/>
          <w:color w:val="49595B"/>
          <w:sz w:val="52"/>
          <w:szCs w:val="52"/>
          <w:lang w:eastAsia="pl-PL"/>
        </w:rPr>
        <w:drawing>
          <wp:inline distT="0" distB="0" distL="0" distR="0" wp14:anchorId="05632568" wp14:editId="63771DA5">
            <wp:extent cx="1177121" cy="412077"/>
            <wp:effectExtent l="0" t="0" r="444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7121" cy="412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CD3459" w14:textId="3489542C" w:rsidR="00A154BF" w:rsidRPr="00401709" w:rsidRDefault="00A154BF" w:rsidP="00A154BF">
      <w:pPr>
        <w:ind w:left="-567"/>
        <w:rPr>
          <w:rFonts w:ascii="HelveticaNeueLT Pro 45 Lt" w:hAnsi="HelveticaNeueLT Pro 45 Lt"/>
          <w:color w:val="49595B"/>
          <w:sz w:val="52"/>
          <w:szCs w:val="52"/>
        </w:rPr>
      </w:pPr>
    </w:p>
    <w:p w14:paraId="136EE232" w14:textId="63DC466D" w:rsidR="00A154BF" w:rsidRPr="00401709" w:rsidRDefault="005C5148" w:rsidP="00A154BF">
      <w:pPr>
        <w:ind w:left="-567"/>
        <w:rPr>
          <w:rFonts w:ascii="HelveticaNeueLT Pro 45 Lt" w:hAnsi="HelveticaNeueLT Pro 45 Lt"/>
          <w:color w:val="49595B"/>
          <w:sz w:val="20"/>
          <w:szCs w:val="20"/>
        </w:rPr>
      </w:pPr>
      <w:r>
        <w:rPr>
          <w:rFonts w:ascii="HelveticaNeueLT Pro 45 Lt" w:hAnsi="HelveticaNeueLT Pro 45 Lt"/>
          <w:color w:val="49595B"/>
          <w:sz w:val="20"/>
          <w:szCs w:val="20"/>
        </w:rPr>
        <w:t>Warszawa</w:t>
      </w:r>
      <w:r w:rsidR="00A154BF" w:rsidRPr="00401709">
        <w:rPr>
          <w:rFonts w:ascii="HelveticaNeueLT Pro 45 Lt" w:hAnsi="HelveticaNeueLT Pro 45 Lt"/>
          <w:color w:val="49595B"/>
          <w:sz w:val="20"/>
          <w:szCs w:val="20"/>
        </w:rPr>
        <w:t xml:space="preserve">, </w:t>
      </w:r>
      <w:r w:rsidR="00D56CC8">
        <w:rPr>
          <w:rFonts w:ascii="HelveticaNeueLT Pro 45 Lt" w:hAnsi="HelveticaNeueLT Pro 45 Lt"/>
          <w:color w:val="49595B"/>
          <w:sz w:val="20"/>
          <w:szCs w:val="20"/>
        </w:rPr>
        <w:t>2</w:t>
      </w:r>
      <w:r w:rsidR="00675A15">
        <w:rPr>
          <w:rFonts w:ascii="HelveticaNeueLT Pro 45 Lt" w:hAnsi="HelveticaNeueLT Pro 45 Lt"/>
          <w:color w:val="49595B"/>
          <w:sz w:val="20"/>
          <w:szCs w:val="20"/>
        </w:rPr>
        <w:t>6</w:t>
      </w:r>
      <w:r w:rsidR="00A154BF" w:rsidRPr="00401709">
        <w:rPr>
          <w:rFonts w:ascii="HelveticaNeueLT Pro 45 Lt" w:hAnsi="HelveticaNeueLT Pro 45 Lt"/>
          <w:color w:val="49595B"/>
          <w:sz w:val="20"/>
          <w:szCs w:val="20"/>
        </w:rPr>
        <w:t xml:space="preserve"> </w:t>
      </w:r>
      <w:r w:rsidR="001E27E5">
        <w:rPr>
          <w:rFonts w:ascii="HelveticaNeueLT Pro 45 Lt" w:hAnsi="HelveticaNeueLT Pro 45 Lt"/>
          <w:color w:val="49595B"/>
          <w:sz w:val="20"/>
          <w:szCs w:val="20"/>
        </w:rPr>
        <w:t>marca</w:t>
      </w:r>
      <w:r w:rsidR="00A154BF" w:rsidRPr="00401709">
        <w:rPr>
          <w:rFonts w:ascii="HelveticaNeueLT Pro 45 Lt" w:hAnsi="HelveticaNeueLT Pro 45 Lt"/>
          <w:color w:val="49595B"/>
          <w:sz w:val="20"/>
          <w:szCs w:val="20"/>
        </w:rPr>
        <w:t xml:space="preserve"> 202</w:t>
      </w:r>
      <w:r w:rsidR="00FD2F51">
        <w:rPr>
          <w:rFonts w:ascii="HelveticaNeueLT Pro 45 Lt" w:hAnsi="HelveticaNeueLT Pro 45 Lt"/>
          <w:color w:val="49595B"/>
          <w:sz w:val="20"/>
          <w:szCs w:val="20"/>
        </w:rPr>
        <w:t>1</w:t>
      </w:r>
    </w:p>
    <w:p w14:paraId="34D128F7" w14:textId="040765A3" w:rsidR="00A154BF" w:rsidRPr="00401709" w:rsidRDefault="00A154BF" w:rsidP="00642E01">
      <w:pPr>
        <w:rPr>
          <w:rFonts w:ascii="HelveticaNeueLT Pro 45 Lt" w:eastAsia="Times New Roman" w:hAnsi="HelveticaNeueLT Pro 45 Lt" w:cs="Times New Roman"/>
          <w:sz w:val="28"/>
          <w:szCs w:val="28"/>
          <w:lang w:eastAsia="en-GB"/>
        </w:rPr>
      </w:pPr>
    </w:p>
    <w:p w14:paraId="2AD2C913" w14:textId="3C3226AC" w:rsidR="00A154BF" w:rsidRPr="00B977B9" w:rsidRDefault="00675A15" w:rsidP="00A154BF">
      <w:pPr>
        <w:spacing w:line="520" w:lineRule="exact"/>
        <w:ind w:left="-567"/>
        <w:rPr>
          <w:rFonts w:ascii="HelveticaNeueLT Pro 65 Md" w:eastAsia="Times New Roman" w:hAnsi="HelveticaNeueLT Pro 65 Md" w:cs="Times New Roman"/>
          <w:color w:val="C7162B"/>
          <w:sz w:val="40"/>
          <w:szCs w:val="40"/>
          <w:lang w:eastAsia="en-GB"/>
        </w:rPr>
      </w:pPr>
      <w:r w:rsidRPr="00675A15">
        <w:rPr>
          <w:rFonts w:ascii="HelveticaNeueLT Pro 65 Md" w:eastAsia="Times New Roman" w:hAnsi="HelveticaNeueLT Pro 65 Md" w:cs="Times New Roman"/>
          <w:color w:val="C7162B"/>
          <w:sz w:val="40"/>
          <w:szCs w:val="40"/>
          <w:lang w:eastAsia="en-GB"/>
        </w:rPr>
        <w:t>Globalworth publikuje raport roczny za 2020 rok</w:t>
      </w:r>
      <w:r w:rsidR="00BC741E">
        <w:rPr>
          <w:rFonts w:ascii="HelveticaNeueLT Pro 65 Md" w:eastAsia="Times New Roman" w:hAnsi="HelveticaNeueLT Pro 65 Md" w:cs="Times New Roman"/>
          <w:color w:val="C7162B"/>
          <w:sz w:val="40"/>
          <w:szCs w:val="40"/>
          <w:lang w:eastAsia="en-GB"/>
        </w:rPr>
        <w:t xml:space="preserve">. </w:t>
      </w:r>
    </w:p>
    <w:p w14:paraId="69067298" w14:textId="3767183F" w:rsidR="00642E01" w:rsidRPr="00B977B9" w:rsidRDefault="00642E01" w:rsidP="00C423E7">
      <w:pPr>
        <w:spacing w:line="160" w:lineRule="exact"/>
        <w:ind w:left="-567"/>
        <w:rPr>
          <w:rFonts w:ascii="HelveticaNeueLT Pro 65 Md" w:eastAsia="Times New Roman" w:hAnsi="HelveticaNeueLT Pro 65 Md" w:cs="Times New Roman"/>
          <w:color w:val="EC001E"/>
          <w:sz w:val="28"/>
          <w:szCs w:val="28"/>
          <w:lang w:eastAsia="en-GB"/>
        </w:rPr>
      </w:pPr>
    </w:p>
    <w:p w14:paraId="2F4E6FEE" w14:textId="77777777" w:rsidR="00D11198" w:rsidRDefault="00D11198" w:rsidP="001A7DB2">
      <w:pPr>
        <w:spacing w:line="330" w:lineRule="exact"/>
        <w:ind w:left="-567"/>
        <w:rPr>
          <w:rFonts w:ascii="HelveticaNeueLT Pro 65 Md" w:eastAsia="Times New Roman" w:hAnsi="HelveticaNeueLT Pro 65 Md" w:cs="Times New Roman"/>
          <w:color w:val="485A5A"/>
          <w:lang w:eastAsia="en-GB"/>
        </w:rPr>
      </w:pPr>
    </w:p>
    <w:p w14:paraId="0919F95D" w14:textId="2BB2F98B" w:rsidR="00642E01" w:rsidRPr="001A7DB2" w:rsidRDefault="00675A15" w:rsidP="001A7DB2">
      <w:pPr>
        <w:spacing w:line="330" w:lineRule="exact"/>
        <w:ind w:left="-567"/>
        <w:rPr>
          <w:rFonts w:ascii="HelveticaNeueLT Pro 65 Md" w:eastAsia="Times New Roman" w:hAnsi="HelveticaNeueLT Pro 65 Md" w:cs="Times New Roman"/>
          <w:color w:val="485A5A"/>
          <w:lang w:eastAsia="en-GB"/>
        </w:rPr>
      </w:pPr>
      <w:r w:rsidRPr="00675A15">
        <w:rPr>
          <w:rFonts w:ascii="HelveticaNeueLT Pro 65 Md" w:eastAsia="Times New Roman" w:hAnsi="HelveticaNeueLT Pro 65 Md" w:cs="Times New Roman"/>
          <w:color w:val="485A5A"/>
          <w:lang w:eastAsia="en-GB"/>
        </w:rPr>
        <w:t xml:space="preserve">Globalworth, wiodący inwestor biurowy </w:t>
      </w:r>
      <w:r w:rsidR="005C5148">
        <w:rPr>
          <w:rFonts w:ascii="HelveticaNeueLT Pro 65 Md" w:eastAsia="Times New Roman" w:hAnsi="HelveticaNeueLT Pro 65 Md" w:cs="Times New Roman"/>
          <w:color w:val="485A5A"/>
          <w:lang w:eastAsia="en-GB"/>
        </w:rPr>
        <w:t xml:space="preserve">w </w:t>
      </w:r>
      <w:r w:rsidRPr="00675A15">
        <w:rPr>
          <w:rFonts w:ascii="HelveticaNeueLT Pro 65 Md" w:eastAsia="Times New Roman" w:hAnsi="HelveticaNeueLT Pro 65 Md" w:cs="Times New Roman"/>
          <w:color w:val="485A5A"/>
          <w:lang w:eastAsia="en-GB"/>
        </w:rPr>
        <w:t>Europ</w:t>
      </w:r>
      <w:r w:rsidR="005C5148">
        <w:rPr>
          <w:rFonts w:ascii="HelveticaNeueLT Pro 65 Md" w:eastAsia="Times New Roman" w:hAnsi="HelveticaNeueLT Pro 65 Md" w:cs="Times New Roman"/>
          <w:color w:val="485A5A"/>
          <w:lang w:eastAsia="en-GB"/>
        </w:rPr>
        <w:t>ie</w:t>
      </w:r>
      <w:r w:rsidRPr="00675A15">
        <w:rPr>
          <w:rFonts w:ascii="HelveticaNeueLT Pro 65 Md" w:eastAsia="Times New Roman" w:hAnsi="HelveticaNeueLT Pro 65 Md" w:cs="Times New Roman"/>
          <w:color w:val="485A5A"/>
          <w:lang w:eastAsia="en-GB"/>
        </w:rPr>
        <w:t xml:space="preserve"> Środkowo-Wschodniej, publikuje raport roczny oraz skonsolidowane wyniki finansowe za rok zakończony 31 grudnia 2020 roku. Jasne</w:t>
      </w:r>
      <w:r w:rsidR="005C5148">
        <w:rPr>
          <w:rFonts w:ascii="HelveticaNeueLT Pro 65 Md" w:eastAsia="Times New Roman" w:hAnsi="HelveticaNeueLT Pro 65 Md" w:cs="Times New Roman"/>
          <w:color w:val="485A5A"/>
          <w:lang w:eastAsia="en-GB"/>
        </w:rPr>
        <w:t>,</w:t>
      </w:r>
      <w:r w:rsidRPr="00675A15">
        <w:rPr>
          <w:rFonts w:ascii="HelveticaNeueLT Pro 65 Md" w:eastAsia="Times New Roman" w:hAnsi="HelveticaNeueLT Pro 65 Md" w:cs="Times New Roman"/>
          <w:color w:val="485A5A"/>
          <w:lang w:eastAsia="en-GB"/>
        </w:rPr>
        <w:t xml:space="preserve"> strategiczne podejście firmy do procesu wychodzenia biznesu z pandemii COVID-19 zaowocowało zrównoważonym wzrostem – dochód operacyjny netto zwiększył się o 6,5 proc. do 157,3 mln euro, a łączna wartość portfela </w:t>
      </w:r>
      <w:r w:rsidR="00894870" w:rsidRPr="00894870">
        <w:rPr>
          <w:rFonts w:ascii="HelveticaNeueLT Pro 65 Md" w:eastAsia="Times New Roman" w:hAnsi="HelveticaNeueLT Pro 65 Md" w:cs="Times New Roman"/>
          <w:color w:val="485A5A"/>
          <w:lang w:eastAsia="en-GB"/>
        </w:rPr>
        <w:t xml:space="preserve">efektywnie </w:t>
      </w:r>
      <w:r w:rsidRPr="00675A15">
        <w:rPr>
          <w:rFonts w:ascii="HelveticaNeueLT Pro 65 Md" w:eastAsia="Times New Roman" w:hAnsi="HelveticaNeueLT Pro 65 Md" w:cs="Times New Roman"/>
          <w:color w:val="485A5A"/>
          <w:lang w:eastAsia="en-GB"/>
        </w:rPr>
        <w:t>nie uległa zmianie i wyniosła 3 mld euro</w:t>
      </w:r>
      <w:r w:rsidR="008F49A4">
        <w:rPr>
          <w:rFonts w:ascii="HelveticaNeueLT Pro 65 Md" w:eastAsia="Times New Roman" w:hAnsi="HelveticaNeueLT Pro 65 Md" w:cs="Times New Roman"/>
          <w:color w:val="485A5A"/>
          <w:lang w:eastAsia="en-GB"/>
        </w:rPr>
        <w:t xml:space="preserve">. </w:t>
      </w:r>
    </w:p>
    <w:p w14:paraId="677433A6" w14:textId="635F6B66" w:rsidR="00753AB6" w:rsidRPr="001A7DB2" w:rsidRDefault="00753AB6" w:rsidP="002E2C75">
      <w:pPr>
        <w:ind w:left="-567"/>
      </w:pPr>
    </w:p>
    <w:p w14:paraId="29819326" w14:textId="1947FF1F" w:rsidR="00642E01" w:rsidRPr="001440A3" w:rsidRDefault="00BA6112" w:rsidP="001440A3">
      <w:pPr>
        <w:tabs>
          <w:tab w:val="left" w:pos="3060"/>
        </w:tabs>
        <w:ind w:left="-567" w:right="-613"/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2C1AAD9" wp14:editId="63D1E9AA">
                <wp:simplePos x="0" y="0"/>
                <wp:positionH relativeFrom="column">
                  <wp:posOffset>-330200</wp:posOffset>
                </wp:positionH>
                <wp:positionV relativeFrom="paragraph">
                  <wp:posOffset>116205</wp:posOffset>
                </wp:positionV>
                <wp:extent cx="6375400" cy="0"/>
                <wp:effectExtent l="0" t="0" r="0" b="1270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75400" cy="0"/>
                        </a:xfrm>
                        <a:prstGeom prst="line">
                          <a:avLst/>
                        </a:prstGeom>
                        <a:ln w="15875" cap="rnd">
                          <a:solidFill>
                            <a:srgbClr val="485A5A"/>
                          </a:solidFill>
                          <a:prstDash val="sysDot"/>
                          <a:bevel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C1B2F22" id="Straight Connector 2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6pt,9.15pt" to="476pt,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" strokecolor="#485a5a" strokeweight="1.25pt">
                <v:stroke dashstyle="1 1" joinstyle="bevel" endcap="round"/>
              </v:line>
            </w:pict>
          </mc:Fallback>
        </mc:AlternateContent>
      </w:r>
      <w:r w:rsidR="00E731CC" w:rsidRPr="001A7DB2">
        <w:tab/>
      </w:r>
    </w:p>
    <w:p w14:paraId="3C227C29" w14:textId="77777777" w:rsidR="00401709" w:rsidRPr="001A7DB2" w:rsidRDefault="00401709" w:rsidP="00975F36">
      <w:pPr>
        <w:spacing w:line="330" w:lineRule="exact"/>
        <w:rPr>
          <w:rFonts w:ascii="HelveticaNeueLT Pro 45 Lt" w:hAnsi="HelveticaNeueLT Pro 45 Lt"/>
          <w:color w:val="485A5A"/>
        </w:rPr>
      </w:pPr>
    </w:p>
    <w:p w14:paraId="36FB643F" w14:textId="700EB5AD" w:rsidR="00675A15" w:rsidRPr="00675A15" w:rsidRDefault="00675A15" w:rsidP="00675A15">
      <w:pPr>
        <w:spacing w:line="330" w:lineRule="exact"/>
        <w:ind w:left="-567"/>
        <w:rPr>
          <w:rFonts w:ascii="HelveticaNeueLT Pro 45 Lt" w:hAnsi="HelveticaNeueLT Pro 45 Lt"/>
          <w:color w:val="485A5A"/>
        </w:rPr>
      </w:pPr>
      <w:r w:rsidRPr="00675A15">
        <w:rPr>
          <w:rFonts w:ascii="HelveticaNeueLT Pro 45 Lt" w:hAnsi="HelveticaNeueLT Pro 45 Lt"/>
          <w:color w:val="485A5A"/>
        </w:rPr>
        <w:t>Jako lider rynku biurowego w Polsce i Rumunii, czyli na dwóch największych rynkach Europy Środkowo-Wschodniej, przyjęliśmy podejście – zwłaszcza w czasie zwiększonej niepewności spowodowanej pandemią Covid-19 – oparte na partnerstwie z naszymi najemcami, rozumiejąc ich potrzeby i oferując elastyczne, a zarazem inteligentne rozwiązania. W 2020 roku z sukcesem wynajęliśmy lub przedłużyliśmy umowy na około 303,5 tys. mkw. powierzchni najmu w naszym portfelu wysokiej klasy nieruchomości –</w:t>
      </w:r>
      <w:r>
        <w:rPr>
          <w:rFonts w:ascii="HelveticaNeueLT Pro 45 Lt" w:hAnsi="HelveticaNeueLT Pro 45 Lt"/>
          <w:color w:val="485A5A"/>
        </w:rPr>
        <w:t xml:space="preserve"> </w:t>
      </w:r>
      <w:r w:rsidRPr="00675A15">
        <w:rPr>
          <w:rFonts w:ascii="HelveticaNeueLT Pro 45 Lt" w:hAnsi="HelveticaNeueLT Pro 45 Lt"/>
          <w:color w:val="485A5A"/>
        </w:rPr>
        <w:t xml:space="preserve">stanowiło to ok. 25 proc. całości istniejącej powierzchni najmu, którą dysponujemy. </w:t>
      </w:r>
      <w:r w:rsidR="005C5148">
        <w:rPr>
          <w:rFonts w:ascii="HelveticaNeueLT Pro 45 Lt" w:hAnsi="HelveticaNeueLT Pro 45 Lt"/>
          <w:color w:val="485A5A"/>
        </w:rPr>
        <w:t>T</w:t>
      </w:r>
      <w:r w:rsidRPr="00675A15">
        <w:rPr>
          <w:rFonts w:ascii="HelveticaNeueLT Pro 45 Lt" w:hAnsi="HelveticaNeueLT Pro 45 Lt"/>
          <w:color w:val="485A5A"/>
        </w:rPr>
        <w:t>o najwyższy poziom aktywności komercjalizacyjnej, jaki kiedykolwiek udało nam się osiągnąć, co wiążemy z udanym</w:t>
      </w:r>
      <w:r>
        <w:rPr>
          <w:rFonts w:ascii="HelveticaNeueLT Pro 45 Lt" w:hAnsi="HelveticaNeueLT Pro 45 Lt"/>
          <w:color w:val="485A5A"/>
        </w:rPr>
        <w:t>i</w:t>
      </w:r>
      <w:r w:rsidRPr="00675A15">
        <w:rPr>
          <w:rFonts w:ascii="HelveticaNeueLT Pro 45 Lt" w:hAnsi="HelveticaNeueLT Pro 45 Lt"/>
          <w:color w:val="485A5A"/>
        </w:rPr>
        <w:t xml:space="preserve"> negocjacjami z naszymi obecnymi najemcami, którzy docenili prezentowane przez nas elastyczne podejście oparte na współpracy. </w:t>
      </w:r>
    </w:p>
    <w:p w14:paraId="6541A40B" w14:textId="77777777" w:rsidR="00675A15" w:rsidRPr="00675A15" w:rsidRDefault="00675A15" w:rsidP="00675A15">
      <w:pPr>
        <w:spacing w:line="330" w:lineRule="exact"/>
        <w:ind w:left="-567"/>
        <w:rPr>
          <w:rFonts w:ascii="HelveticaNeueLT Pro 45 Lt" w:hAnsi="HelveticaNeueLT Pro 45 Lt"/>
          <w:color w:val="485A5A"/>
        </w:rPr>
      </w:pPr>
    </w:p>
    <w:p w14:paraId="2FF3BD06" w14:textId="6D7810B8" w:rsidR="00984F09" w:rsidRDefault="002D28A0" w:rsidP="00675A15">
      <w:pPr>
        <w:spacing w:line="330" w:lineRule="exact"/>
        <w:ind w:left="-567"/>
        <w:rPr>
          <w:rFonts w:ascii="HelveticaNeueLT Pro 45 Lt" w:hAnsi="HelveticaNeueLT Pro 45 Lt"/>
          <w:color w:val="485A5A"/>
        </w:rPr>
      </w:pPr>
      <w:bookmarkStart w:id="0" w:name="_Hlk67584508"/>
      <w:r w:rsidRPr="002D28A0">
        <w:rPr>
          <w:rFonts w:ascii="HelveticaNeueLT Pro 45 Lt" w:hAnsi="HelveticaNeueLT Pro 45 Lt"/>
          <w:color w:val="485A5A"/>
        </w:rPr>
        <w:t xml:space="preserve">Potwierdzeniem bardzo dobrych relacji z najemcami było też wysokie obłożenie w naszych obiektach, które na koniec roku osiągnęło poziom 90,9% (91,7% z uwzględnieniem opcji przysługującym najemcom). Wpływ na nie miało </w:t>
      </w:r>
      <w:r w:rsidR="00EE51DB">
        <w:rPr>
          <w:rFonts w:ascii="HelveticaNeueLT Pro 45 Lt" w:hAnsi="HelveticaNeueLT Pro 45 Lt"/>
          <w:color w:val="485A5A"/>
        </w:rPr>
        <w:t xml:space="preserve">też </w:t>
      </w:r>
      <w:r w:rsidRPr="002D28A0">
        <w:rPr>
          <w:rFonts w:ascii="HelveticaNeueLT Pro 45 Lt" w:hAnsi="HelveticaNeueLT Pro 45 Lt"/>
          <w:color w:val="485A5A"/>
        </w:rPr>
        <w:t>jednak dostarczenie na rynek nieruchomości znajdujących się jeszcze w budowie i w fazie komercjalizacji, a także spadek wysokości obłożenia o 3,3 proc. w porównywalnych obiektach z powodu bardzo trudnych warunków rynkowych.</w:t>
      </w:r>
    </w:p>
    <w:bookmarkEnd w:id="0"/>
    <w:p w14:paraId="131BFF58" w14:textId="77777777" w:rsidR="00984F09" w:rsidRDefault="00984F09" w:rsidP="00CD2138">
      <w:pPr>
        <w:spacing w:line="330" w:lineRule="exact"/>
        <w:ind w:left="-567"/>
        <w:rPr>
          <w:rFonts w:ascii="HelveticaNeueLT Pro 45 Lt" w:hAnsi="HelveticaNeueLT Pro 45 Lt"/>
          <w:color w:val="485A5A"/>
        </w:rPr>
      </w:pPr>
    </w:p>
    <w:p w14:paraId="22C1EDA6" w14:textId="5AA3BDD0" w:rsidR="00E731CC" w:rsidRPr="009D2143" w:rsidRDefault="0064713B" w:rsidP="00CD2138">
      <w:pPr>
        <w:spacing w:line="330" w:lineRule="exact"/>
        <w:ind w:left="-567"/>
        <w:rPr>
          <w:rFonts w:ascii="HelveticaNeueLT Pro 65 Md" w:hAnsi="HelveticaNeueLT Pro 65 Md"/>
          <w:color w:val="485A5A"/>
        </w:rPr>
      </w:pPr>
      <w:r w:rsidRPr="0064713B">
        <w:rPr>
          <w:rFonts w:ascii="HelveticaNeueLT Pro 45 Lt" w:hAnsi="HelveticaNeueLT Pro 45 Lt"/>
          <w:noProof/>
          <w:color w:val="485A5A"/>
          <w:lang w:eastAsia="pl-PL"/>
        </w:rPr>
        <w:drawing>
          <wp:anchor distT="0" distB="0" distL="114300" distR="114300" simplePos="0" relativeHeight="251660288" behindDoc="0" locked="0" layoutInCell="1" allowOverlap="1" wp14:anchorId="3E84BDF8" wp14:editId="5CE282F3">
            <wp:simplePos x="0" y="0"/>
            <wp:positionH relativeFrom="column">
              <wp:posOffset>-355600</wp:posOffset>
            </wp:positionH>
            <wp:positionV relativeFrom="paragraph">
              <wp:posOffset>246380</wp:posOffset>
            </wp:positionV>
            <wp:extent cx="330200" cy="33020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200" cy="33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43E8">
        <w:rPr>
          <w:rFonts w:ascii="HelveticaNeueLT Pro 45 Lt" w:hAnsi="HelveticaNeueLT Pro 45 Lt"/>
          <w:color w:val="485A5A"/>
        </w:rPr>
        <w:t>„</w:t>
      </w:r>
      <w:r w:rsidR="003F05B9" w:rsidRPr="003F05B9">
        <w:rPr>
          <w:rFonts w:ascii="HelveticaNeueLT Pro 45 Lt" w:hAnsi="HelveticaNeueLT Pro 45 Lt"/>
          <w:noProof/>
          <w:color w:val="485A5A"/>
        </w:rPr>
        <w:t>Pomimo znacznych zakłóceń działalności gospodarczej i społecznej, utrzymujących się przez większość 2020 roku, mogę z przyjemnością powiedzieć, że nasze główne mocne strony i przewagi konkurencyjne przyniosły nam bardzo stabilne wyniki operacyjne i finansowe. Jednocześnie pozostawaliśmy w bliskiej relacji z naszymi klientami</w:t>
      </w:r>
      <w:r w:rsidR="00CD2DB0">
        <w:rPr>
          <w:rFonts w:ascii="HelveticaNeueLT Pro 45 Lt" w:hAnsi="HelveticaNeueLT Pro 45 Lt"/>
          <w:noProof/>
          <w:color w:val="485A5A"/>
        </w:rPr>
        <w:t>,</w:t>
      </w:r>
      <w:r w:rsidR="003F05B9" w:rsidRPr="003F05B9">
        <w:rPr>
          <w:rFonts w:ascii="HelveticaNeueLT Pro 45 Lt" w:hAnsi="HelveticaNeueLT Pro 45 Lt"/>
          <w:noProof/>
          <w:color w:val="485A5A"/>
        </w:rPr>
        <w:t xml:space="preserve"> wspiera</w:t>
      </w:r>
      <w:r w:rsidR="00CD2DB0">
        <w:rPr>
          <w:rFonts w:ascii="HelveticaNeueLT Pro 45 Lt" w:hAnsi="HelveticaNeueLT Pro 45 Lt"/>
          <w:noProof/>
          <w:color w:val="485A5A"/>
        </w:rPr>
        <w:t>jąc</w:t>
      </w:r>
      <w:r w:rsidR="003F05B9" w:rsidRPr="003F05B9">
        <w:rPr>
          <w:rFonts w:ascii="HelveticaNeueLT Pro 45 Lt" w:hAnsi="HelveticaNeueLT Pro 45 Lt"/>
          <w:noProof/>
          <w:color w:val="485A5A"/>
        </w:rPr>
        <w:t xml:space="preserve"> ich, jak również szerszą społeczność, w której żyjemy i z którą działamy, umacniając przy tym naszą pozycję wynajmującego pierwszego wyboru na rynkach macierzystych. Chociaż rok 2021 będzie wciąż </w:t>
      </w:r>
      <w:r w:rsidR="00CD2DB0">
        <w:rPr>
          <w:rFonts w:ascii="HelveticaNeueLT Pro 45 Lt" w:hAnsi="HelveticaNeueLT Pro 45 Lt"/>
          <w:noProof/>
          <w:color w:val="485A5A"/>
        </w:rPr>
        <w:t>pełen wyzwań</w:t>
      </w:r>
      <w:r w:rsidR="003F05B9" w:rsidRPr="003F05B9">
        <w:rPr>
          <w:rFonts w:ascii="HelveticaNeueLT Pro 45 Lt" w:hAnsi="HelveticaNeueLT Pro 45 Lt"/>
          <w:noProof/>
          <w:color w:val="485A5A"/>
        </w:rPr>
        <w:t xml:space="preserve">, głęboko wierzę, że najgorsze już minęło i jestem podekscytowany i przekonany co do możliwości, które przed nami stoją” </w:t>
      </w:r>
      <w:r w:rsidR="003F05B9">
        <w:rPr>
          <w:rFonts w:ascii="HelveticaNeueLT Pro 45 Lt" w:hAnsi="HelveticaNeueLT Pro 45 Lt"/>
          <w:noProof/>
          <w:color w:val="485A5A"/>
        </w:rPr>
        <w:t>mówi</w:t>
      </w:r>
      <w:r w:rsidR="003F05B9" w:rsidRPr="003F05B9">
        <w:rPr>
          <w:rFonts w:ascii="HelveticaNeueLT Pro 45 Lt" w:hAnsi="HelveticaNeueLT Pro 45 Lt"/>
          <w:noProof/>
          <w:color w:val="485A5A"/>
        </w:rPr>
        <w:t xml:space="preserve"> </w:t>
      </w:r>
      <w:r w:rsidR="003F05B9" w:rsidRPr="001439AE">
        <w:rPr>
          <w:rFonts w:ascii="HelveticaNeueLT Pro 55 Roman" w:hAnsi="HelveticaNeueLT Pro 55 Roman"/>
          <w:b/>
          <w:bCs/>
          <w:noProof/>
          <w:color w:val="485A5A"/>
        </w:rPr>
        <w:t>Dimitris Raptis</w:t>
      </w:r>
      <w:r w:rsidR="003F05B9" w:rsidRPr="003F05B9">
        <w:rPr>
          <w:rFonts w:ascii="HelveticaNeueLT Pro 45 Lt" w:hAnsi="HelveticaNeueLT Pro 45 Lt"/>
          <w:noProof/>
          <w:color w:val="485A5A"/>
        </w:rPr>
        <w:t>, dyrektor generalny (CEO) Globalworth Group.</w:t>
      </w:r>
    </w:p>
    <w:p w14:paraId="39E82D3A" w14:textId="687146A9" w:rsidR="00975F36" w:rsidRDefault="00975F36" w:rsidP="00D11198">
      <w:pPr>
        <w:spacing w:line="330" w:lineRule="exact"/>
        <w:ind w:left="-567"/>
        <w:rPr>
          <w:rFonts w:ascii="HelveticaNeueLT Pro 45 Lt" w:hAnsi="HelveticaNeueLT Pro 45 Lt"/>
          <w:color w:val="485A5A"/>
        </w:rPr>
      </w:pPr>
    </w:p>
    <w:p w14:paraId="189163FE" w14:textId="77777777" w:rsidR="00CD2DB0" w:rsidRPr="00EB4F93" w:rsidRDefault="00CD2DB0" w:rsidP="00CD2DB0">
      <w:pPr>
        <w:spacing w:line="330" w:lineRule="exact"/>
        <w:ind w:left="-567"/>
        <w:rPr>
          <w:rFonts w:ascii="HelveticaNeueLT Pro 45 Lt" w:hAnsi="HelveticaNeueLT Pro 45 Lt"/>
          <w:b/>
          <w:bCs/>
          <w:color w:val="485A5A"/>
        </w:rPr>
      </w:pPr>
      <w:r w:rsidRPr="00EB4F93">
        <w:rPr>
          <w:rFonts w:ascii="HelveticaNeueLT Pro 45 Lt" w:hAnsi="HelveticaNeueLT Pro 45 Lt"/>
          <w:b/>
          <w:bCs/>
          <w:color w:val="485A5A"/>
        </w:rPr>
        <w:t>Wybrane dane operacyjne:</w:t>
      </w:r>
    </w:p>
    <w:p w14:paraId="1CB5C684" w14:textId="77777777" w:rsidR="00CD2DB0" w:rsidRPr="00CD2DB0" w:rsidRDefault="00CD2DB0" w:rsidP="00CD2DB0">
      <w:pPr>
        <w:spacing w:line="330" w:lineRule="exact"/>
        <w:ind w:left="-567"/>
        <w:rPr>
          <w:rFonts w:ascii="HelveticaNeueLT Pro 45 Lt" w:hAnsi="HelveticaNeueLT Pro 45 Lt"/>
          <w:color w:val="485A5A"/>
        </w:rPr>
      </w:pPr>
    </w:p>
    <w:p w14:paraId="41D2DE75" w14:textId="7D56E6F7" w:rsidR="00CD2DB0" w:rsidRPr="00CD2DB0" w:rsidRDefault="00CD2DB0" w:rsidP="00EB4F93">
      <w:pPr>
        <w:spacing w:line="330" w:lineRule="exact"/>
        <w:ind w:left="-567"/>
        <w:rPr>
          <w:rFonts w:ascii="HelveticaNeueLT Pro 45 Lt" w:hAnsi="HelveticaNeueLT Pro 45 Lt"/>
          <w:color w:val="485A5A"/>
        </w:rPr>
      </w:pPr>
      <w:r w:rsidRPr="00CD2DB0">
        <w:rPr>
          <w:rFonts w:ascii="HelveticaNeueLT Pro 45 Lt" w:hAnsi="HelveticaNeueLT Pro 45 Lt"/>
          <w:color w:val="485A5A"/>
        </w:rPr>
        <w:lastRenderedPageBreak/>
        <w:t>• Całkowita wartość portfela nie uległa efektywnie zmianie i wyniosła 3 mld euro</w:t>
      </w:r>
      <w:r w:rsidR="00EB4F93">
        <w:rPr>
          <w:rFonts w:ascii="HelveticaNeueLT Pro 45 Lt" w:hAnsi="HelveticaNeueLT Pro 45 Lt"/>
          <w:color w:val="485A5A"/>
        </w:rPr>
        <w:t xml:space="preserve"> (</w:t>
      </w:r>
      <w:r w:rsidRPr="00CD2DB0">
        <w:rPr>
          <w:rFonts w:ascii="HelveticaNeueLT Pro 45 Lt" w:hAnsi="HelveticaNeueLT Pro 45 Lt"/>
          <w:color w:val="485A5A"/>
        </w:rPr>
        <w:t>2,3 mld euro w nieruchomościach certyfikowanych ekologicznie</w:t>
      </w:r>
      <w:r w:rsidR="00EB4F93">
        <w:rPr>
          <w:rFonts w:ascii="HelveticaNeueLT Pro 45 Lt" w:hAnsi="HelveticaNeueLT Pro 45 Lt"/>
          <w:color w:val="485A5A"/>
        </w:rPr>
        <w:t>)</w:t>
      </w:r>
      <w:r w:rsidR="001D158B">
        <w:rPr>
          <w:rFonts w:ascii="HelveticaNeueLT Pro 45 Lt" w:hAnsi="HelveticaNeueLT Pro 45 Lt"/>
          <w:color w:val="485A5A"/>
        </w:rPr>
        <w:t>.</w:t>
      </w:r>
    </w:p>
    <w:p w14:paraId="51AD112F" w14:textId="769AF67B" w:rsidR="00CD2DB0" w:rsidRPr="00CD2DB0" w:rsidRDefault="00CD2DB0" w:rsidP="00CD2DB0">
      <w:pPr>
        <w:spacing w:line="330" w:lineRule="exact"/>
        <w:ind w:left="-567"/>
        <w:rPr>
          <w:rFonts w:ascii="HelveticaNeueLT Pro 45 Lt" w:hAnsi="HelveticaNeueLT Pro 45 Lt"/>
          <w:color w:val="485A5A"/>
        </w:rPr>
      </w:pPr>
      <w:r w:rsidRPr="00CD2DB0">
        <w:rPr>
          <w:rFonts w:ascii="HelveticaNeueLT Pro 45 Lt" w:hAnsi="HelveticaNeueLT Pro 45 Lt"/>
          <w:color w:val="485A5A"/>
        </w:rPr>
        <w:t>• Koncentracja na projektach charakteryzujących się znacznym poziomem najmu i będących na zaawansowanym etapie budowy, dostarczenie dwóch biur</w:t>
      </w:r>
      <w:r w:rsidR="00EB4F93">
        <w:rPr>
          <w:rFonts w:ascii="HelveticaNeueLT Pro 45 Lt" w:hAnsi="HelveticaNeueLT Pro 45 Lt"/>
          <w:color w:val="485A5A"/>
        </w:rPr>
        <w:t>owców</w:t>
      </w:r>
      <w:r w:rsidRPr="00CD2DB0">
        <w:rPr>
          <w:rFonts w:ascii="HelveticaNeueLT Pro 45 Lt" w:hAnsi="HelveticaNeueLT Pro 45 Lt"/>
          <w:color w:val="485A5A"/>
        </w:rPr>
        <w:t xml:space="preserve"> klasy „A” i dwóch wysokiej klasy nieruchomości przemysłowych w Rumunii i Polsce o łącznej powierzchni najmu wynoszącej 95</w:t>
      </w:r>
      <w:r w:rsidR="00DF133A">
        <w:rPr>
          <w:rFonts w:ascii="HelveticaNeueLT Pro 45 Lt" w:hAnsi="HelveticaNeueLT Pro 45 Lt"/>
          <w:color w:val="485A5A"/>
        </w:rPr>
        <w:t>,</w:t>
      </w:r>
      <w:r w:rsidRPr="00CD2DB0">
        <w:rPr>
          <w:rFonts w:ascii="HelveticaNeueLT Pro 45 Lt" w:hAnsi="HelveticaNeueLT Pro 45 Lt"/>
          <w:color w:val="485A5A"/>
        </w:rPr>
        <w:t>8</w:t>
      </w:r>
      <w:r w:rsidR="00DF133A">
        <w:rPr>
          <w:rFonts w:ascii="HelveticaNeueLT Pro 45 Lt" w:hAnsi="HelveticaNeueLT Pro 45 Lt"/>
          <w:color w:val="485A5A"/>
        </w:rPr>
        <w:t xml:space="preserve"> tys.</w:t>
      </w:r>
      <w:r w:rsidRPr="00CD2DB0">
        <w:rPr>
          <w:rFonts w:ascii="HelveticaNeueLT Pro 45 Lt" w:hAnsi="HelveticaNeueLT Pro 45 Lt"/>
          <w:color w:val="485A5A"/>
        </w:rPr>
        <w:t xml:space="preserve"> mkw.  </w:t>
      </w:r>
    </w:p>
    <w:p w14:paraId="77791A61" w14:textId="0A5FDB11" w:rsidR="00CD2DB0" w:rsidRPr="00CD2DB0" w:rsidRDefault="00CD2DB0" w:rsidP="00CD2DB0">
      <w:pPr>
        <w:spacing w:line="330" w:lineRule="exact"/>
        <w:ind w:left="-567"/>
        <w:rPr>
          <w:rFonts w:ascii="HelveticaNeueLT Pro 45 Lt" w:hAnsi="HelveticaNeueLT Pro 45 Lt"/>
          <w:color w:val="485A5A"/>
        </w:rPr>
      </w:pPr>
      <w:r w:rsidRPr="00CD2DB0">
        <w:rPr>
          <w:rFonts w:ascii="HelveticaNeueLT Pro 45 Lt" w:hAnsi="HelveticaNeueLT Pro 45 Lt"/>
          <w:color w:val="485A5A"/>
        </w:rPr>
        <w:t>• Całkowit</w:t>
      </w:r>
      <w:r w:rsidR="002D28A0">
        <w:rPr>
          <w:rFonts w:ascii="HelveticaNeueLT Pro 45 Lt" w:hAnsi="HelveticaNeueLT Pro 45 Lt"/>
          <w:color w:val="485A5A"/>
        </w:rPr>
        <w:t>a</w:t>
      </w:r>
      <w:r w:rsidRPr="00CD2DB0">
        <w:rPr>
          <w:rFonts w:ascii="HelveticaNeueLT Pro 45 Lt" w:hAnsi="HelveticaNeueLT Pro 45 Lt"/>
          <w:color w:val="485A5A"/>
        </w:rPr>
        <w:t xml:space="preserve"> wielkość portfela wzrosła o 4,7% do 1 271 300 mkw. powierzchni najmu.</w:t>
      </w:r>
    </w:p>
    <w:p w14:paraId="22C81D53" w14:textId="7092C6BB" w:rsidR="00CD2DB0" w:rsidRPr="00CD2DB0" w:rsidRDefault="00CD2DB0" w:rsidP="002D28A0">
      <w:pPr>
        <w:spacing w:line="330" w:lineRule="exact"/>
        <w:ind w:left="-567"/>
        <w:rPr>
          <w:rFonts w:ascii="HelveticaNeueLT Pro 45 Lt" w:hAnsi="HelveticaNeueLT Pro 45 Lt"/>
          <w:color w:val="485A5A"/>
        </w:rPr>
      </w:pPr>
      <w:r w:rsidRPr="00CD2DB0">
        <w:rPr>
          <w:rFonts w:ascii="HelveticaNeueLT Pro 45 Lt" w:hAnsi="HelveticaNeueLT Pro 45 Lt"/>
          <w:color w:val="485A5A"/>
        </w:rPr>
        <w:t>• Transakcje najmu na 303,5 tys. mkw. łącznej powierzchni komercyjnej przy średniej ważonej długości najmu wynoszącej 3,9 roku.</w:t>
      </w:r>
      <w:r w:rsidR="002D28A0">
        <w:rPr>
          <w:rFonts w:ascii="HelveticaNeueLT Pro 45 Lt" w:hAnsi="HelveticaNeueLT Pro 45 Lt"/>
          <w:color w:val="485A5A"/>
        </w:rPr>
        <w:t xml:space="preserve"> Z</w:t>
      </w:r>
      <w:r w:rsidRPr="00CD2DB0">
        <w:rPr>
          <w:rFonts w:ascii="HelveticaNeueLT Pro 45 Lt" w:hAnsi="HelveticaNeueLT Pro 45 Lt"/>
          <w:color w:val="485A5A"/>
        </w:rPr>
        <w:t xml:space="preserve"> tego </w:t>
      </w:r>
      <w:r w:rsidR="002D28A0" w:rsidRPr="00CD2DB0">
        <w:rPr>
          <w:rFonts w:ascii="HelveticaNeueLT Pro 45 Lt" w:hAnsi="HelveticaNeueLT Pro 45 Lt"/>
          <w:color w:val="485A5A"/>
        </w:rPr>
        <w:t xml:space="preserve">74,3% </w:t>
      </w:r>
      <w:r w:rsidRPr="00CD2DB0">
        <w:rPr>
          <w:rFonts w:ascii="HelveticaNeueLT Pro 45 Lt" w:hAnsi="HelveticaNeueLT Pro 45 Lt"/>
          <w:color w:val="485A5A"/>
        </w:rPr>
        <w:t>to renegocjacje i przedłużenia umów z</w:t>
      </w:r>
      <w:r w:rsidR="002D28A0">
        <w:rPr>
          <w:rFonts w:ascii="HelveticaNeueLT Pro 45 Lt" w:hAnsi="HelveticaNeueLT Pro 45 Lt"/>
          <w:color w:val="485A5A"/>
        </w:rPr>
        <w:t> </w:t>
      </w:r>
      <w:r w:rsidRPr="00CD2DB0">
        <w:rPr>
          <w:rFonts w:ascii="HelveticaNeueLT Pro 45 Lt" w:hAnsi="HelveticaNeueLT Pro 45 Lt"/>
          <w:color w:val="485A5A"/>
        </w:rPr>
        <w:t>naszymi dotychczasowymi najemcami.</w:t>
      </w:r>
    </w:p>
    <w:p w14:paraId="7219AC07" w14:textId="19D10F91" w:rsidR="00CD2DB0" w:rsidRPr="00CD2DB0" w:rsidRDefault="00CD2DB0" w:rsidP="00CD2DB0">
      <w:pPr>
        <w:spacing w:line="330" w:lineRule="exact"/>
        <w:ind w:left="-567"/>
        <w:rPr>
          <w:rFonts w:ascii="HelveticaNeueLT Pro 45 Lt" w:hAnsi="HelveticaNeueLT Pro 45 Lt"/>
          <w:color w:val="485A5A"/>
        </w:rPr>
      </w:pPr>
      <w:r w:rsidRPr="00CD2DB0">
        <w:rPr>
          <w:rFonts w:ascii="HelveticaNeueLT Pro 45 Lt" w:hAnsi="HelveticaNeueLT Pro 45 Lt"/>
          <w:color w:val="485A5A"/>
        </w:rPr>
        <w:t>• Obłożenie powierzchni najmu w ukończonych budynkach kształtowało się na wysokim poziomie 90,9% (91,7% uwzględniając opcje najemców). Na obłożenie wpły</w:t>
      </w:r>
      <w:r w:rsidR="00DF133A">
        <w:rPr>
          <w:rFonts w:ascii="HelveticaNeueLT Pro 45 Lt" w:hAnsi="HelveticaNeueLT Pro 45 Lt"/>
          <w:color w:val="485A5A"/>
        </w:rPr>
        <w:t>w miały</w:t>
      </w:r>
      <w:r w:rsidRPr="00CD2DB0">
        <w:rPr>
          <w:rFonts w:ascii="HelveticaNeueLT Pro 45 Lt" w:hAnsi="HelveticaNeueLT Pro 45 Lt"/>
          <w:color w:val="485A5A"/>
        </w:rPr>
        <w:t xml:space="preserve"> jednak nieruchomości w budowie, znajdując</w:t>
      </w:r>
      <w:r w:rsidR="00DF133A">
        <w:rPr>
          <w:rFonts w:ascii="HelveticaNeueLT Pro 45 Lt" w:hAnsi="HelveticaNeueLT Pro 45 Lt"/>
          <w:color w:val="485A5A"/>
        </w:rPr>
        <w:t>e</w:t>
      </w:r>
      <w:r w:rsidRPr="00CD2DB0">
        <w:rPr>
          <w:rFonts w:ascii="HelveticaNeueLT Pro 45 Lt" w:hAnsi="HelveticaNeueLT Pro 45 Lt"/>
          <w:color w:val="485A5A"/>
        </w:rPr>
        <w:t xml:space="preserve"> się jeszcze w fazie komercjalizacji, a także spadek wysokości obłożenia o 3,3 proc. w nieruchomościach porównywalnych z powodu bardzo trudnych warunków rynkowych. </w:t>
      </w:r>
    </w:p>
    <w:p w14:paraId="5DE96F31" w14:textId="044EEC3F" w:rsidR="00CD2DB0" w:rsidRPr="00CD2DB0" w:rsidRDefault="00CD2DB0" w:rsidP="00CD2DB0">
      <w:pPr>
        <w:spacing w:line="330" w:lineRule="exact"/>
        <w:ind w:left="-567"/>
        <w:rPr>
          <w:rFonts w:ascii="HelveticaNeueLT Pro 45 Lt" w:hAnsi="HelveticaNeueLT Pro 45 Lt"/>
          <w:color w:val="485A5A"/>
        </w:rPr>
      </w:pPr>
      <w:r w:rsidRPr="00CD2DB0">
        <w:rPr>
          <w:rFonts w:ascii="HelveticaNeueLT Pro 45 Lt" w:hAnsi="HelveticaNeueLT Pro 45 Lt"/>
          <w:color w:val="485A5A"/>
        </w:rPr>
        <w:t>• Roczny czynsz z zawartych umów w wysokości 183,4 mln euro, z czego 91,3% przypada na nieruchomości biurowe i przemysłowe</w:t>
      </w:r>
      <w:r w:rsidR="00DF133A">
        <w:rPr>
          <w:rFonts w:ascii="HelveticaNeueLT Pro 45 Lt" w:hAnsi="HelveticaNeueLT Pro 45 Lt"/>
          <w:color w:val="485A5A"/>
        </w:rPr>
        <w:t>.</w:t>
      </w:r>
    </w:p>
    <w:p w14:paraId="5F5BA54F" w14:textId="582AC9A5" w:rsidR="00CD2DB0" w:rsidRPr="00CD2DB0" w:rsidRDefault="00CD2DB0" w:rsidP="00CD2DB0">
      <w:pPr>
        <w:spacing w:line="330" w:lineRule="exact"/>
        <w:ind w:left="-567"/>
        <w:rPr>
          <w:rFonts w:ascii="HelveticaNeueLT Pro 45 Lt" w:hAnsi="HelveticaNeueLT Pro 45 Lt"/>
          <w:color w:val="485A5A"/>
        </w:rPr>
      </w:pPr>
      <w:r w:rsidRPr="00CD2DB0">
        <w:rPr>
          <w:rFonts w:ascii="HelveticaNeueLT Pro 45 Lt" w:hAnsi="HelveticaNeueLT Pro 45 Lt"/>
          <w:color w:val="485A5A"/>
        </w:rPr>
        <w:t>• Wskaźnik ściągalności z należnych czynszów, na które wystawiono faktury, utrzymał się na wysokim poziomie 99</w:t>
      </w:r>
      <w:r w:rsidR="00DF133A">
        <w:rPr>
          <w:rFonts w:ascii="HelveticaNeueLT Pro 45 Lt" w:hAnsi="HelveticaNeueLT Pro 45 Lt"/>
          <w:color w:val="485A5A"/>
        </w:rPr>
        <w:t>,0</w:t>
      </w:r>
      <w:r w:rsidRPr="00CD2DB0">
        <w:rPr>
          <w:rFonts w:ascii="HelveticaNeueLT Pro 45 Lt" w:hAnsi="HelveticaNeueLT Pro 45 Lt"/>
          <w:color w:val="485A5A"/>
        </w:rPr>
        <w:t>% w skali roku</w:t>
      </w:r>
      <w:r w:rsidR="001D158B">
        <w:rPr>
          <w:rFonts w:ascii="HelveticaNeueLT Pro 45 Lt" w:hAnsi="HelveticaNeueLT Pro 45 Lt"/>
          <w:color w:val="485A5A"/>
        </w:rPr>
        <w:t xml:space="preserve"> (s</w:t>
      </w:r>
      <w:r w:rsidR="001D158B" w:rsidRPr="001D158B">
        <w:rPr>
          <w:rFonts w:ascii="HelveticaNeueLT Pro 45 Lt" w:hAnsi="HelveticaNeueLT Pro 45 Lt"/>
          <w:color w:val="485A5A"/>
        </w:rPr>
        <w:t>tan na dzień 12 marca 2021</w:t>
      </w:r>
      <w:r w:rsidR="001D158B">
        <w:rPr>
          <w:rFonts w:ascii="HelveticaNeueLT Pro 45 Lt" w:hAnsi="HelveticaNeueLT Pro 45 Lt"/>
          <w:color w:val="485A5A"/>
        </w:rPr>
        <w:t>)</w:t>
      </w:r>
      <w:r w:rsidR="001D158B" w:rsidRPr="001D158B">
        <w:rPr>
          <w:rFonts w:ascii="HelveticaNeueLT Pro 45 Lt" w:hAnsi="HelveticaNeueLT Pro 45 Lt"/>
          <w:color w:val="485A5A"/>
        </w:rPr>
        <w:t>.</w:t>
      </w:r>
    </w:p>
    <w:p w14:paraId="59E1A0DD" w14:textId="77777777" w:rsidR="00CD2DB0" w:rsidRPr="00CD2DB0" w:rsidRDefault="00CD2DB0" w:rsidP="00CD2DB0">
      <w:pPr>
        <w:spacing w:line="330" w:lineRule="exact"/>
        <w:ind w:left="-567"/>
        <w:rPr>
          <w:rFonts w:ascii="HelveticaNeueLT Pro 45 Lt" w:hAnsi="HelveticaNeueLT Pro 45 Lt"/>
          <w:color w:val="485A5A"/>
        </w:rPr>
      </w:pPr>
      <w:r w:rsidRPr="00CD2DB0">
        <w:rPr>
          <w:rFonts w:ascii="HelveticaNeueLT Pro 45 Lt" w:hAnsi="HelveticaNeueLT Pro 45 Lt"/>
          <w:color w:val="485A5A"/>
        </w:rPr>
        <w:t>• Większość portfela jest obecnie zarządzana przez nasz wewnętrzny zespół składający się z ponad 220 specjalistów w Polsce i Rumunii.</w:t>
      </w:r>
    </w:p>
    <w:p w14:paraId="3FE51DF8" w14:textId="1205A909" w:rsidR="00CD2DB0" w:rsidRPr="00CD2DB0" w:rsidRDefault="00CD2DB0" w:rsidP="00CD2DB0">
      <w:pPr>
        <w:spacing w:line="330" w:lineRule="exact"/>
        <w:ind w:left="-567"/>
        <w:rPr>
          <w:rFonts w:ascii="HelveticaNeueLT Pro 45 Lt" w:hAnsi="HelveticaNeueLT Pro 45 Lt"/>
          <w:color w:val="485A5A"/>
        </w:rPr>
      </w:pPr>
      <w:r w:rsidRPr="00CD2DB0">
        <w:rPr>
          <w:rFonts w:ascii="HelveticaNeueLT Pro 45 Lt" w:hAnsi="HelveticaNeueLT Pro 45 Lt"/>
          <w:color w:val="485A5A"/>
        </w:rPr>
        <w:t xml:space="preserve">• </w:t>
      </w:r>
      <w:r w:rsidR="00DF133A">
        <w:rPr>
          <w:rFonts w:ascii="HelveticaNeueLT Pro 45 Lt" w:hAnsi="HelveticaNeueLT Pro 45 Lt"/>
          <w:color w:val="485A5A"/>
        </w:rPr>
        <w:t>O</w:t>
      </w:r>
      <w:r w:rsidRPr="00CD2DB0">
        <w:rPr>
          <w:rFonts w:ascii="HelveticaNeueLT Pro 45 Lt" w:hAnsi="HelveticaNeueLT Pro 45 Lt"/>
          <w:color w:val="485A5A"/>
        </w:rPr>
        <w:t>k</w:t>
      </w:r>
      <w:r w:rsidR="00DF133A">
        <w:rPr>
          <w:rFonts w:ascii="HelveticaNeueLT Pro 45 Lt" w:hAnsi="HelveticaNeueLT Pro 45 Lt"/>
          <w:color w:val="485A5A"/>
        </w:rPr>
        <w:t>oło</w:t>
      </w:r>
      <w:r w:rsidRPr="00CD2DB0">
        <w:rPr>
          <w:rFonts w:ascii="HelveticaNeueLT Pro 45 Lt" w:hAnsi="HelveticaNeueLT Pro 45 Lt"/>
          <w:color w:val="485A5A"/>
        </w:rPr>
        <w:t xml:space="preserve"> 2 mln euro przekazanych naszym społecznościom na 27 inicjatyw w Rumunii i Polsce, z</w:t>
      </w:r>
      <w:r w:rsidR="00DF133A">
        <w:rPr>
          <w:rFonts w:ascii="HelveticaNeueLT Pro 45 Lt" w:hAnsi="HelveticaNeueLT Pro 45 Lt"/>
          <w:color w:val="485A5A"/>
        </w:rPr>
        <w:t> </w:t>
      </w:r>
      <w:r w:rsidRPr="00CD2DB0">
        <w:rPr>
          <w:rFonts w:ascii="HelveticaNeueLT Pro 45 Lt" w:hAnsi="HelveticaNeueLT Pro 45 Lt"/>
          <w:color w:val="485A5A"/>
        </w:rPr>
        <w:t>których większość dotyczyła zwalczania skutków COVID-19.</w:t>
      </w:r>
    </w:p>
    <w:p w14:paraId="53BB8B35" w14:textId="77777777" w:rsidR="00CD2DB0" w:rsidRPr="00CD2DB0" w:rsidRDefault="00CD2DB0" w:rsidP="00CD2DB0">
      <w:pPr>
        <w:spacing w:line="330" w:lineRule="exact"/>
        <w:ind w:left="-567"/>
        <w:rPr>
          <w:rFonts w:ascii="HelveticaNeueLT Pro 45 Lt" w:hAnsi="HelveticaNeueLT Pro 45 Lt"/>
          <w:color w:val="485A5A"/>
        </w:rPr>
      </w:pPr>
      <w:r w:rsidRPr="00CD2DB0">
        <w:rPr>
          <w:rFonts w:ascii="HelveticaNeueLT Pro 45 Lt" w:hAnsi="HelveticaNeueLT Pro 45 Lt"/>
          <w:color w:val="485A5A"/>
        </w:rPr>
        <w:t xml:space="preserve">• CPI </w:t>
      </w:r>
      <w:proofErr w:type="spellStart"/>
      <w:r w:rsidRPr="00CD2DB0">
        <w:rPr>
          <w:rFonts w:ascii="HelveticaNeueLT Pro 45 Lt" w:hAnsi="HelveticaNeueLT Pro 45 Lt"/>
          <w:color w:val="485A5A"/>
        </w:rPr>
        <w:t>Property</w:t>
      </w:r>
      <w:proofErr w:type="spellEnd"/>
      <w:r w:rsidRPr="00CD2DB0">
        <w:rPr>
          <w:rFonts w:ascii="HelveticaNeueLT Pro 45 Lt" w:hAnsi="HelveticaNeueLT Pro 45 Lt"/>
          <w:color w:val="485A5A"/>
        </w:rPr>
        <w:t xml:space="preserve"> Group w lutym 2020 roku została największym udziałowcem Globalworth.</w:t>
      </w:r>
    </w:p>
    <w:p w14:paraId="5CD86178" w14:textId="77777777" w:rsidR="00CD2DB0" w:rsidRPr="00CD2DB0" w:rsidRDefault="00CD2DB0" w:rsidP="00CD2DB0">
      <w:pPr>
        <w:spacing w:line="330" w:lineRule="exact"/>
        <w:ind w:left="-567"/>
        <w:rPr>
          <w:rFonts w:ascii="HelveticaNeueLT Pro 45 Lt" w:hAnsi="HelveticaNeueLT Pro 45 Lt"/>
          <w:color w:val="485A5A"/>
        </w:rPr>
      </w:pPr>
    </w:p>
    <w:p w14:paraId="10137F9C" w14:textId="77777777" w:rsidR="00CD2DB0" w:rsidRPr="00CD2DB0" w:rsidRDefault="00CD2DB0" w:rsidP="00DF133A">
      <w:pPr>
        <w:spacing w:line="330" w:lineRule="exact"/>
        <w:rPr>
          <w:rFonts w:ascii="HelveticaNeueLT Pro 45 Lt" w:hAnsi="HelveticaNeueLT Pro 45 Lt"/>
          <w:color w:val="485A5A"/>
        </w:rPr>
      </w:pPr>
    </w:p>
    <w:p w14:paraId="57132D68" w14:textId="77777777" w:rsidR="00CD2DB0" w:rsidRPr="00DF133A" w:rsidRDefault="00CD2DB0" w:rsidP="00CD2DB0">
      <w:pPr>
        <w:spacing w:line="330" w:lineRule="exact"/>
        <w:ind w:left="-567"/>
        <w:rPr>
          <w:rFonts w:ascii="HelveticaNeueLT Pro 45 Lt" w:hAnsi="HelveticaNeueLT Pro 45 Lt"/>
          <w:b/>
          <w:bCs/>
          <w:color w:val="485A5A"/>
        </w:rPr>
      </w:pPr>
      <w:r w:rsidRPr="00DF133A">
        <w:rPr>
          <w:rFonts w:ascii="HelveticaNeueLT Pro 45 Lt" w:hAnsi="HelveticaNeueLT Pro 45 Lt"/>
          <w:b/>
          <w:bCs/>
          <w:color w:val="485A5A"/>
        </w:rPr>
        <w:t>Wybrane dane finansowe:</w:t>
      </w:r>
    </w:p>
    <w:p w14:paraId="15C1CF4B" w14:textId="77777777" w:rsidR="00CD2DB0" w:rsidRPr="00CD2DB0" w:rsidRDefault="00CD2DB0" w:rsidP="00CD2DB0">
      <w:pPr>
        <w:spacing w:line="330" w:lineRule="exact"/>
        <w:ind w:left="-567"/>
        <w:rPr>
          <w:rFonts w:ascii="HelveticaNeueLT Pro 45 Lt" w:hAnsi="HelveticaNeueLT Pro 45 Lt"/>
          <w:color w:val="485A5A"/>
        </w:rPr>
      </w:pPr>
    </w:p>
    <w:p w14:paraId="473A21EC" w14:textId="76C9EC7A" w:rsidR="00CD2DB0" w:rsidRPr="00CD2DB0" w:rsidRDefault="00CD2DB0" w:rsidP="00CD2DB0">
      <w:pPr>
        <w:spacing w:line="330" w:lineRule="exact"/>
        <w:ind w:left="-567"/>
        <w:rPr>
          <w:rFonts w:ascii="HelveticaNeueLT Pro 45 Lt" w:hAnsi="HelveticaNeueLT Pro 45 Lt"/>
          <w:color w:val="485A5A"/>
        </w:rPr>
      </w:pPr>
      <w:r w:rsidRPr="00CD2DB0">
        <w:rPr>
          <w:rFonts w:ascii="HelveticaNeueLT Pro 45 Lt" w:hAnsi="HelveticaNeueLT Pro 45 Lt"/>
          <w:color w:val="485A5A"/>
        </w:rPr>
        <w:t>• Dochód operacyjny netto wzrósł o 6,5% do 157,3 mln euro, pomimo negatywnego wpływu (-</w:t>
      </w:r>
      <w:r w:rsidR="00DF133A">
        <w:rPr>
          <w:rFonts w:ascii="HelveticaNeueLT Pro 45 Lt" w:hAnsi="HelveticaNeueLT Pro 45 Lt"/>
          <w:color w:val="485A5A"/>
        </w:rPr>
        <w:t> </w:t>
      </w:r>
      <w:r w:rsidRPr="00CD2DB0">
        <w:rPr>
          <w:rFonts w:ascii="HelveticaNeueLT Pro 45 Lt" w:hAnsi="HelveticaNeueLT Pro 45 Lt"/>
          <w:color w:val="485A5A"/>
        </w:rPr>
        <w:t xml:space="preserve">2,3%) pandemii Covid-19. </w:t>
      </w:r>
    </w:p>
    <w:p w14:paraId="1C3444FC" w14:textId="77777777" w:rsidR="00CD2DB0" w:rsidRPr="00CD2DB0" w:rsidRDefault="00CD2DB0" w:rsidP="00CD2DB0">
      <w:pPr>
        <w:spacing w:line="330" w:lineRule="exact"/>
        <w:ind w:left="-567"/>
        <w:rPr>
          <w:rFonts w:ascii="HelveticaNeueLT Pro 45 Lt" w:hAnsi="HelveticaNeueLT Pro 45 Lt"/>
          <w:color w:val="485A5A"/>
        </w:rPr>
      </w:pPr>
      <w:r w:rsidRPr="00CD2DB0">
        <w:rPr>
          <w:rFonts w:ascii="HelveticaNeueLT Pro 45 Lt" w:hAnsi="HelveticaNeueLT Pro 45 Lt"/>
          <w:color w:val="485A5A"/>
        </w:rPr>
        <w:t>• Zysk (zgodnie z metodologią EPRA) za rok obrotowy 2020 w wysokości 82,3 mln euro, co stanowi roczny wzrost o 1,7% – jednocześnie zysk na akcję spadł o 16% do 37 centów.</w:t>
      </w:r>
    </w:p>
    <w:p w14:paraId="1C4740C1" w14:textId="77777777" w:rsidR="00CD2DB0" w:rsidRPr="00CD2DB0" w:rsidRDefault="00CD2DB0" w:rsidP="00CD2DB0">
      <w:pPr>
        <w:spacing w:line="330" w:lineRule="exact"/>
        <w:ind w:left="-567"/>
        <w:rPr>
          <w:rFonts w:ascii="HelveticaNeueLT Pro 45 Lt" w:hAnsi="HelveticaNeueLT Pro 45 Lt"/>
          <w:color w:val="485A5A"/>
        </w:rPr>
      </w:pPr>
      <w:r w:rsidRPr="00CD2DB0">
        <w:rPr>
          <w:rFonts w:ascii="HelveticaNeueLT Pro 45 Lt" w:hAnsi="HelveticaNeueLT Pro 45 Lt"/>
          <w:color w:val="485A5A"/>
        </w:rPr>
        <w:t>• Zadeklarowanie i wypłacenie dywidendy za rok obrotowy 2020 w wysokości 34 centów na akcję, co stanowi co najmniej 90% zysku (EPRA) za pierwsze i drugie półrocze, czyli w zgodzie z postanowieniami naszego statutu.</w:t>
      </w:r>
    </w:p>
    <w:p w14:paraId="748BF158" w14:textId="77777777" w:rsidR="00CD2DB0" w:rsidRPr="00CD2DB0" w:rsidRDefault="00CD2DB0" w:rsidP="00CD2DB0">
      <w:pPr>
        <w:spacing w:line="330" w:lineRule="exact"/>
        <w:ind w:left="-567"/>
        <w:rPr>
          <w:rFonts w:ascii="HelveticaNeueLT Pro 45 Lt" w:hAnsi="HelveticaNeueLT Pro 45 Lt"/>
          <w:color w:val="485A5A"/>
        </w:rPr>
      </w:pPr>
      <w:r w:rsidRPr="00CD2DB0">
        <w:rPr>
          <w:rFonts w:ascii="HelveticaNeueLT Pro 45 Lt" w:hAnsi="HelveticaNeueLT Pro 45 Lt"/>
          <w:color w:val="485A5A"/>
        </w:rPr>
        <w:t>• Utrzymanie naszej oceny inwestycyjnej przez wszystkie trzy główne agencje ratingowe.</w:t>
      </w:r>
    </w:p>
    <w:p w14:paraId="37B6B6E1" w14:textId="77777777" w:rsidR="00CD2DB0" w:rsidRPr="00CD2DB0" w:rsidRDefault="00CD2DB0" w:rsidP="00CD2DB0">
      <w:pPr>
        <w:spacing w:line="330" w:lineRule="exact"/>
        <w:ind w:left="-567"/>
        <w:rPr>
          <w:rFonts w:ascii="HelveticaNeueLT Pro 45 Lt" w:hAnsi="HelveticaNeueLT Pro 45 Lt"/>
          <w:color w:val="485A5A"/>
        </w:rPr>
      </w:pPr>
      <w:r w:rsidRPr="00CD2DB0">
        <w:rPr>
          <w:rFonts w:ascii="HelveticaNeueLT Pro 45 Lt" w:hAnsi="HelveticaNeueLT Pro 45 Lt"/>
          <w:color w:val="485A5A"/>
        </w:rPr>
        <w:t>• Emisja naszych pierwszych zielonych obligacji pozwoliła pozyskać 400 mln euro z sześcioletnim terminem wykupu, a zapisy dwukrotnie przekroczyły ofertę, jednocześnie poprawił się nasz profil zapadalności zadłużenia poprzez odkup około 41% obligacji zapadających w 2022 roku z premią 2,0% w stosunku do ich wartości nominalnej.</w:t>
      </w:r>
    </w:p>
    <w:p w14:paraId="77929D97" w14:textId="77777777" w:rsidR="00CD2DB0" w:rsidRPr="00CD2DB0" w:rsidRDefault="00CD2DB0" w:rsidP="00CD2DB0">
      <w:pPr>
        <w:spacing w:line="330" w:lineRule="exact"/>
        <w:ind w:left="-567"/>
        <w:rPr>
          <w:rFonts w:ascii="HelveticaNeueLT Pro 45 Lt" w:hAnsi="HelveticaNeueLT Pro 45 Lt"/>
          <w:color w:val="485A5A"/>
        </w:rPr>
      </w:pPr>
      <w:r w:rsidRPr="00CD2DB0">
        <w:rPr>
          <w:rFonts w:ascii="HelveticaNeueLT Pro 45 Lt" w:hAnsi="HelveticaNeueLT Pro 45 Lt"/>
          <w:color w:val="485A5A"/>
        </w:rPr>
        <w:t>• Utrzymanie poziomu płynności na wysokim poziomie 527,8 mln euro w gotówce na dzień 31 grudnia 2020 roku, a także z dodatkowymi niewykorzystanymi 215 mln euro kredytu odnawialnego dostępnego dla Grupy.</w:t>
      </w:r>
    </w:p>
    <w:p w14:paraId="4EB4B17A" w14:textId="2AF7CA18" w:rsidR="00CD2DB0" w:rsidRDefault="00CD2DB0" w:rsidP="00CD2DB0">
      <w:pPr>
        <w:spacing w:line="330" w:lineRule="exact"/>
        <w:ind w:left="-567"/>
        <w:rPr>
          <w:rFonts w:ascii="HelveticaNeueLT Pro 45 Lt" w:hAnsi="HelveticaNeueLT Pro 45 Lt"/>
          <w:color w:val="485A5A"/>
        </w:rPr>
      </w:pPr>
      <w:r w:rsidRPr="00CD2DB0">
        <w:rPr>
          <w:rFonts w:ascii="HelveticaNeueLT Pro 45 Lt" w:hAnsi="HelveticaNeueLT Pro 45 Lt"/>
          <w:color w:val="485A5A"/>
        </w:rPr>
        <w:t xml:space="preserve">• Wskaźnik </w:t>
      </w:r>
      <w:proofErr w:type="spellStart"/>
      <w:r w:rsidRPr="00CD2DB0">
        <w:rPr>
          <w:rFonts w:ascii="HelveticaNeueLT Pro 45 Lt" w:hAnsi="HelveticaNeueLT Pro 45 Lt"/>
          <w:color w:val="485A5A"/>
        </w:rPr>
        <w:t>LtV</w:t>
      </w:r>
      <w:proofErr w:type="spellEnd"/>
      <w:r w:rsidRPr="00CD2DB0">
        <w:rPr>
          <w:rFonts w:ascii="HelveticaNeueLT Pro 45 Lt" w:hAnsi="HelveticaNeueLT Pro 45 Lt"/>
          <w:color w:val="485A5A"/>
        </w:rPr>
        <w:t xml:space="preserve"> wyniósł 37,8% na dzień 31 grudnia 2020 roku, co jest</w:t>
      </w:r>
      <w:r w:rsidR="00DF133A" w:rsidRPr="00DF133A">
        <w:rPr>
          <w:rFonts w:ascii="HelveticaNeueLT Pro 45 Lt" w:hAnsi="HelveticaNeueLT Pro 45 Lt"/>
          <w:color w:val="485A5A"/>
        </w:rPr>
        <w:t xml:space="preserve"> </w:t>
      </w:r>
      <w:r w:rsidR="00DF133A" w:rsidRPr="00CD2DB0">
        <w:rPr>
          <w:rFonts w:ascii="HelveticaNeueLT Pro 45 Lt" w:hAnsi="HelveticaNeueLT Pro 45 Lt"/>
          <w:color w:val="485A5A"/>
        </w:rPr>
        <w:t>zgodne</w:t>
      </w:r>
      <w:r w:rsidRPr="00CD2DB0">
        <w:rPr>
          <w:rFonts w:ascii="HelveticaNeueLT Pro 45 Lt" w:hAnsi="HelveticaNeueLT Pro 45 Lt"/>
          <w:color w:val="485A5A"/>
        </w:rPr>
        <w:t xml:space="preserve"> ze strategią Grupy utrzymywania długofalowego celu </w:t>
      </w:r>
      <w:proofErr w:type="spellStart"/>
      <w:r w:rsidRPr="00CD2DB0">
        <w:rPr>
          <w:rFonts w:ascii="HelveticaNeueLT Pro 45 Lt" w:hAnsi="HelveticaNeueLT Pro 45 Lt"/>
          <w:color w:val="485A5A"/>
        </w:rPr>
        <w:t>LtV</w:t>
      </w:r>
      <w:proofErr w:type="spellEnd"/>
      <w:r w:rsidRPr="00CD2DB0">
        <w:rPr>
          <w:rFonts w:ascii="HelveticaNeueLT Pro 45 Lt" w:hAnsi="HelveticaNeueLT Pro 45 Lt"/>
          <w:color w:val="485A5A"/>
        </w:rPr>
        <w:t xml:space="preserve"> poniżej 40%, przy jednoczesnej kontynuacji dynamicznego wzrostu</w:t>
      </w:r>
      <w:r w:rsidR="00DF133A">
        <w:rPr>
          <w:rFonts w:ascii="HelveticaNeueLT Pro 45 Lt" w:hAnsi="HelveticaNeueLT Pro 45 Lt"/>
          <w:color w:val="485A5A"/>
        </w:rPr>
        <w:t>.</w:t>
      </w:r>
    </w:p>
    <w:p w14:paraId="7F10D262" w14:textId="7480F6F6" w:rsidR="00894870" w:rsidRDefault="00894870" w:rsidP="00CD2DB0">
      <w:pPr>
        <w:spacing w:line="330" w:lineRule="exact"/>
        <w:ind w:left="-567"/>
        <w:rPr>
          <w:rFonts w:ascii="HelveticaNeueLT Pro 45 Lt" w:hAnsi="HelveticaNeueLT Pro 45 Lt"/>
          <w:color w:val="485A5A"/>
        </w:rPr>
      </w:pPr>
      <w:r w:rsidRPr="00CD2DB0">
        <w:rPr>
          <w:rFonts w:ascii="HelveticaNeueLT Pro 45 Lt" w:hAnsi="HelveticaNeueLT Pro 45 Lt"/>
          <w:color w:val="485A5A"/>
        </w:rPr>
        <w:lastRenderedPageBreak/>
        <w:t xml:space="preserve">• </w:t>
      </w:r>
      <w:r w:rsidRPr="00894870">
        <w:rPr>
          <w:rFonts w:ascii="HelveticaNeueLT Pro 45 Lt" w:hAnsi="HelveticaNeueLT Pro 45 Lt"/>
          <w:color w:val="485A5A"/>
        </w:rPr>
        <w:t>Wartość aktywów netto na akcję (zgodnie z EPRA) na dzień 31 grudnia 2020 roku spadła o 6,7% do 8,68 euro na akcję (w porównaniu z 9,30 euro na dzień 31 grudnia 2019 roku), głównie z powodu rewaluacji aktywów wynikających z niepewności na rynku spowodowanej pandemią Covid-19.</w:t>
      </w:r>
    </w:p>
    <w:p w14:paraId="05096679" w14:textId="77777777" w:rsidR="00CD2DB0" w:rsidRPr="001439AE" w:rsidRDefault="00CD2DB0" w:rsidP="00CD2DB0">
      <w:pPr>
        <w:spacing w:line="330" w:lineRule="exact"/>
        <w:ind w:left="-567"/>
        <w:rPr>
          <w:rFonts w:ascii="HelveticaNeueLT Pro 45 Lt" w:hAnsi="HelveticaNeueLT Pro 45 Lt"/>
          <w:color w:val="485A5A"/>
          <w:lang w:val="en-US"/>
        </w:rPr>
      </w:pPr>
    </w:p>
    <w:p w14:paraId="340D5406" w14:textId="143A944F" w:rsidR="00D11198" w:rsidRPr="001439AE" w:rsidRDefault="00CD2DB0" w:rsidP="00CD2DB0">
      <w:pPr>
        <w:spacing w:line="330" w:lineRule="exact"/>
        <w:ind w:left="-567"/>
        <w:rPr>
          <w:rFonts w:ascii="HelveticaNeueLT Pro 55 Roman" w:hAnsi="HelveticaNeueLT Pro 55 Roman"/>
          <w:color w:val="485A5A"/>
        </w:rPr>
      </w:pPr>
      <w:r w:rsidRPr="001439AE">
        <w:rPr>
          <w:rFonts w:ascii="HelveticaNeueLT Pro 55 Roman" w:hAnsi="HelveticaNeueLT Pro 55 Roman"/>
          <w:color w:val="485A5A"/>
        </w:rPr>
        <w:t>Więcej informacji znajduje się w raporcie GLOBALWORTH ANNUAL REPORT 2020</w:t>
      </w:r>
      <w:r w:rsidR="000643F8" w:rsidRPr="001439AE">
        <w:rPr>
          <w:rFonts w:ascii="HelveticaNeueLT Pro 55 Roman" w:hAnsi="HelveticaNeueLT Pro 55 Roman"/>
          <w:color w:val="485A5A"/>
        </w:rPr>
        <w:t xml:space="preserve">, który można pobrać </w:t>
      </w:r>
      <w:hyperlink r:id="rId10" w:history="1">
        <w:r w:rsidR="000643F8" w:rsidRPr="001439AE">
          <w:rPr>
            <w:rStyle w:val="Hipercze"/>
            <w:rFonts w:ascii="HelveticaNeueLT Pro 55 Roman" w:hAnsi="HelveticaNeueLT Pro 55 Roman"/>
          </w:rPr>
          <w:t>TU</w:t>
        </w:r>
        <w:r w:rsidR="000643F8" w:rsidRPr="001439AE">
          <w:rPr>
            <w:rStyle w:val="Hipercze"/>
            <w:rFonts w:ascii="HelveticaNeueLT Pro 55 Roman" w:hAnsi="HelveticaNeueLT Pro 55 Roman"/>
          </w:rPr>
          <w:t>T</w:t>
        </w:r>
        <w:r w:rsidR="000643F8" w:rsidRPr="001439AE">
          <w:rPr>
            <w:rStyle w:val="Hipercze"/>
            <w:rFonts w:ascii="HelveticaNeueLT Pro 55 Roman" w:hAnsi="HelveticaNeueLT Pro 55 Roman"/>
          </w:rPr>
          <w:t>A</w:t>
        </w:r>
        <w:r w:rsidR="000643F8" w:rsidRPr="001439AE">
          <w:rPr>
            <w:rStyle w:val="Hipercze"/>
            <w:rFonts w:ascii="HelveticaNeueLT Pro 55 Roman" w:hAnsi="HelveticaNeueLT Pro 55 Roman"/>
          </w:rPr>
          <w:t>J</w:t>
        </w:r>
      </w:hyperlink>
      <w:r w:rsidR="001439AE">
        <w:rPr>
          <w:rFonts w:ascii="HelveticaNeueLT Pro 55 Roman" w:hAnsi="HelveticaNeueLT Pro 55 Roman"/>
          <w:color w:val="485A5A"/>
        </w:rPr>
        <w:t>.</w:t>
      </w:r>
    </w:p>
    <w:p w14:paraId="22477E6E" w14:textId="77777777" w:rsidR="00CD2DB0" w:rsidRDefault="00CD2DB0" w:rsidP="00CD2DB0">
      <w:pPr>
        <w:spacing w:line="330" w:lineRule="exact"/>
        <w:ind w:left="-567"/>
        <w:rPr>
          <w:rFonts w:ascii="HelveticaNeueLT Pro 45 Lt" w:hAnsi="HelveticaNeueLT Pro 45 Lt"/>
          <w:color w:val="485A5A"/>
        </w:rPr>
      </w:pPr>
    </w:p>
    <w:p w14:paraId="45114376" w14:textId="77777777" w:rsidR="00C423E7" w:rsidRPr="001A7DB2" w:rsidRDefault="00C423E7" w:rsidP="00401709">
      <w:pPr>
        <w:tabs>
          <w:tab w:val="left" w:pos="567"/>
        </w:tabs>
        <w:spacing w:line="260" w:lineRule="exact"/>
        <w:ind w:right="-613"/>
        <w:rPr>
          <w:rFonts w:ascii="HelveticaNeueLT Pro 45 Lt" w:hAnsi="HelveticaNeueLT Pro 45 Lt"/>
          <w:i/>
          <w:iCs/>
          <w:color w:val="485A5A"/>
          <w:sz w:val="20"/>
          <w:szCs w:val="20"/>
        </w:rPr>
      </w:pPr>
    </w:p>
    <w:p w14:paraId="5A9071C1" w14:textId="4211A56E" w:rsidR="00E731CC" w:rsidRPr="001A7DB2" w:rsidRDefault="00E731CC" w:rsidP="002B0269">
      <w:pPr>
        <w:tabs>
          <w:tab w:val="left" w:pos="567"/>
        </w:tabs>
        <w:spacing w:line="340" w:lineRule="exact"/>
        <w:ind w:right="-612"/>
        <w:rPr>
          <w:rFonts w:ascii="HelveticaNeueLT Pro 45 Lt" w:hAnsi="HelveticaNeueLT Pro 45 Lt"/>
          <w:i/>
          <w:iCs/>
          <w:color w:val="485A5A"/>
          <w:sz w:val="20"/>
          <w:szCs w:val="20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D3B62F6" wp14:editId="35D4ED12">
                <wp:simplePos x="0" y="0"/>
                <wp:positionH relativeFrom="column">
                  <wp:posOffset>-368300</wp:posOffset>
                </wp:positionH>
                <wp:positionV relativeFrom="paragraph">
                  <wp:posOffset>3810</wp:posOffset>
                </wp:positionV>
                <wp:extent cx="6438900" cy="0"/>
                <wp:effectExtent l="0" t="0" r="0" b="0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38900" cy="0"/>
                        </a:xfrm>
                        <a:prstGeom prst="line">
                          <a:avLst/>
                        </a:prstGeom>
                        <a:ln w="15875" cap="rnd" cmpd="sng">
                          <a:solidFill>
                            <a:srgbClr val="C7162B"/>
                          </a:solidFill>
                          <a:prstDash val="solid"/>
                          <a:bevel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248D83F" id="Straight Connector 5" o:spid="_x0000_s1026" style="position:absolute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29pt,.3pt" to="478pt,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" strokecolor="#c7162b" strokeweight="1.25pt">
                <v:stroke joinstyle="bevel" endcap="round"/>
              </v:line>
            </w:pict>
          </mc:Fallback>
        </mc:AlternateContent>
      </w:r>
    </w:p>
    <w:p w14:paraId="75708D83" w14:textId="77777777" w:rsidR="002D5B0F" w:rsidRDefault="002D5B0F" w:rsidP="002D5B0F">
      <w:pPr>
        <w:tabs>
          <w:tab w:val="left" w:pos="567"/>
        </w:tabs>
        <w:spacing w:line="260" w:lineRule="exact"/>
        <w:ind w:left="-567" w:right="-613"/>
        <w:rPr>
          <w:rFonts w:ascii="HelveticaNeueLT Pro 45 Lt" w:hAnsi="HelveticaNeueLT Pro 45 Lt"/>
          <w:color w:val="485A5A"/>
          <w:sz w:val="28"/>
          <w:szCs w:val="28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7423C0F" wp14:editId="471D75BE">
                <wp:simplePos x="0" y="0"/>
                <wp:positionH relativeFrom="column">
                  <wp:posOffset>1186815</wp:posOffset>
                </wp:positionH>
                <wp:positionV relativeFrom="paragraph">
                  <wp:posOffset>102235</wp:posOffset>
                </wp:positionV>
                <wp:extent cx="45720" cy="45720"/>
                <wp:effectExtent l="0" t="0" r="0" b="0"/>
                <wp:wrapNone/>
                <wp:docPr id="4" name="Prostoką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720" cy="45720"/>
                        </a:xfrm>
                        <a:prstGeom prst="rect">
                          <a:avLst/>
                        </a:prstGeom>
                        <a:solidFill>
                          <a:srgbClr val="C7162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AD7400" id="Prostokąt 4" o:spid="_x0000_s1026" style="position:absolute;margin-left:93.45pt;margin-top:8.05pt;width:3.6pt;height:3.6pt;flip:y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" fillcolor="#c7162b" stroked="f" strokeweight="1pt"/>
            </w:pict>
          </mc:Fallback>
        </mc:AlternateContent>
      </w:r>
      <w:r>
        <w:rPr>
          <w:rFonts w:ascii="HelveticaNeueLT Pro 45 Lt" w:hAnsi="HelveticaNeueLT Pro 45 Lt"/>
          <w:color w:val="485A5A"/>
          <w:sz w:val="28"/>
          <w:szCs w:val="28"/>
        </w:rPr>
        <w:t>O GLOBALWORTH</w:t>
      </w:r>
    </w:p>
    <w:p w14:paraId="79F1DA1D" w14:textId="77777777" w:rsidR="002D5B0F" w:rsidRDefault="002D5B0F" w:rsidP="002D5B0F">
      <w:pPr>
        <w:tabs>
          <w:tab w:val="left" w:pos="567"/>
        </w:tabs>
        <w:spacing w:line="260" w:lineRule="exact"/>
        <w:ind w:left="-567" w:right="-613"/>
        <w:rPr>
          <w:rFonts w:ascii="HelveticaNeueLT Pro 45 Lt" w:hAnsi="HelveticaNeueLT Pro 45 Lt"/>
          <w:color w:val="485A5A"/>
          <w:sz w:val="28"/>
          <w:szCs w:val="28"/>
        </w:rPr>
      </w:pPr>
    </w:p>
    <w:p w14:paraId="4E4990BB" w14:textId="1463B259" w:rsidR="002D5B0F" w:rsidRDefault="00DF133A" w:rsidP="002D5B0F">
      <w:pPr>
        <w:tabs>
          <w:tab w:val="left" w:pos="567"/>
        </w:tabs>
        <w:spacing w:line="280" w:lineRule="exact"/>
        <w:ind w:left="-567"/>
        <w:rPr>
          <w:rFonts w:ascii="HelveticaNeueLT Pro 45 Lt" w:hAnsi="HelveticaNeueLT Pro 45 Lt"/>
          <w:color w:val="485A5A"/>
          <w:sz w:val="20"/>
          <w:szCs w:val="20"/>
        </w:rPr>
      </w:pPr>
      <w:r w:rsidRPr="00DF133A">
        <w:rPr>
          <w:rFonts w:ascii="HelveticaNeueLT Pro 45 Lt" w:hAnsi="HelveticaNeueLT Pro 45 Lt"/>
          <w:color w:val="485A5A"/>
          <w:sz w:val="20"/>
          <w:szCs w:val="20"/>
        </w:rPr>
        <w:t xml:space="preserve">Globalworth jest giełdową spółką nieruchomościową działającą w Europie Środkowo-Wschodniej, notowaną na alternatywnym rynku inwestycyjnym (AIM) – </w:t>
      </w:r>
      <w:proofErr w:type="spellStart"/>
      <w:r w:rsidRPr="00DF133A">
        <w:rPr>
          <w:rFonts w:ascii="HelveticaNeueLT Pro 45 Lt" w:hAnsi="HelveticaNeueLT Pro 45 Lt"/>
          <w:color w:val="485A5A"/>
          <w:sz w:val="20"/>
          <w:szCs w:val="20"/>
        </w:rPr>
        <w:t>subrynku</w:t>
      </w:r>
      <w:proofErr w:type="spellEnd"/>
      <w:r w:rsidRPr="00DF133A">
        <w:rPr>
          <w:rFonts w:ascii="HelveticaNeueLT Pro 45 Lt" w:hAnsi="HelveticaNeueLT Pro 45 Lt"/>
          <w:color w:val="485A5A"/>
          <w:sz w:val="20"/>
          <w:szCs w:val="20"/>
        </w:rPr>
        <w:t xml:space="preserve"> głównego parkietu Giełdy Papierów Wartościowych w Londynie. Firma jest czołowym inwestorem sektora biurowego w Europie Środkowo-Wschodniej, dzięki wiodącej pozycji zarówno w Rumunii, jak i w Polsce. Globalworth inwestuje w wysokiej jakości nieruchomości biurowe i parki logistyczne w pierwszorzędnych lokalizacjach, dzięki czemu uzyskuje przychody z wynajmu powierzchni renomowanym najemcom z całego świata. Firma buduje nieruchomości, nabywa je, a także bezpośrednio nimi zarządza. Globalworth, kierowany przez 200 specjalistów na Cyprze, Guernsey, w Rumunii i Polsce, posiada portfel aktywów o wartości 3 mld euro (według stanu na 31 grudnia 2020 roku). Około 92,5 proc. portfela to nieruchomości generujące przychody z wynajmu, głównie biurowe, wynajęte szerokiej gamie około 650 międzynarodowych i</w:t>
      </w:r>
      <w:r>
        <w:rPr>
          <w:rFonts w:ascii="HelveticaNeueLT Pro 45 Lt" w:hAnsi="HelveticaNeueLT Pro 45 Lt"/>
          <w:color w:val="485A5A"/>
          <w:sz w:val="20"/>
          <w:szCs w:val="20"/>
        </w:rPr>
        <w:t> </w:t>
      </w:r>
      <w:r w:rsidRPr="00DF133A">
        <w:rPr>
          <w:rFonts w:ascii="HelveticaNeueLT Pro 45 Lt" w:hAnsi="HelveticaNeueLT Pro 45 Lt"/>
          <w:color w:val="485A5A"/>
          <w:sz w:val="20"/>
          <w:szCs w:val="20"/>
        </w:rPr>
        <w:t xml:space="preserve">krajowych firm. W Rumunii spółka posiada nieruchomości w Bukareszcie, </w:t>
      </w:r>
      <w:proofErr w:type="spellStart"/>
      <w:r w:rsidRPr="00DF133A">
        <w:rPr>
          <w:rFonts w:ascii="HelveticaNeueLT Pro 45 Lt" w:hAnsi="HelveticaNeueLT Pro 45 Lt"/>
          <w:color w:val="485A5A"/>
          <w:sz w:val="20"/>
          <w:szCs w:val="20"/>
        </w:rPr>
        <w:t>Timișoarze</w:t>
      </w:r>
      <w:proofErr w:type="spellEnd"/>
      <w:r w:rsidRPr="00DF133A">
        <w:rPr>
          <w:rFonts w:ascii="HelveticaNeueLT Pro 45 Lt" w:hAnsi="HelveticaNeueLT Pro 45 Lt"/>
          <w:color w:val="485A5A"/>
          <w:sz w:val="20"/>
          <w:szCs w:val="20"/>
        </w:rPr>
        <w:t xml:space="preserve">, Konstancy i </w:t>
      </w:r>
      <w:proofErr w:type="spellStart"/>
      <w:r w:rsidRPr="00DF133A">
        <w:rPr>
          <w:rFonts w:ascii="HelveticaNeueLT Pro 45 Lt" w:hAnsi="HelveticaNeueLT Pro 45 Lt"/>
          <w:color w:val="485A5A"/>
          <w:sz w:val="20"/>
          <w:szCs w:val="20"/>
        </w:rPr>
        <w:t>Pitești</w:t>
      </w:r>
      <w:proofErr w:type="spellEnd"/>
      <w:r w:rsidRPr="00DF133A">
        <w:rPr>
          <w:rFonts w:ascii="HelveticaNeueLT Pro 45 Lt" w:hAnsi="HelveticaNeueLT Pro 45 Lt"/>
          <w:color w:val="485A5A"/>
          <w:sz w:val="20"/>
          <w:szCs w:val="20"/>
        </w:rPr>
        <w:t>. Z kolei w</w:t>
      </w:r>
      <w:r>
        <w:rPr>
          <w:rFonts w:ascii="HelveticaNeueLT Pro 45 Lt" w:hAnsi="HelveticaNeueLT Pro 45 Lt"/>
          <w:color w:val="485A5A"/>
          <w:sz w:val="20"/>
          <w:szCs w:val="20"/>
        </w:rPr>
        <w:t> </w:t>
      </w:r>
      <w:r w:rsidRPr="00DF133A">
        <w:rPr>
          <w:rFonts w:ascii="HelveticaNeueLT Pro 45 Lt" w:hAnsi="HelveticaNeueLT Pro 45 Lt"/>
          <w:color w:val="485A5A"/>
          <w:sz w:val="20"/>
          <w:szCs w:val="20"/>
        </w:rPr>
        <w:t>Polsce działa w Warszawie, Gdańsku, Katowicach, Krakowie, Łodzi i we Wrocławiu</w:t>
      </w:r>
      <w:r w:rsidR="002D5B0F">
        <w:rPr>
          <w:rFonts w:ascii="HelveticaNeueLT Pro 45 Lt" w:hAnsi="HelveticaNeueLT Pro 45 Lt"/>
          <w:color w:val="485A5A"/>
          <w:sz w:val="20"/>
          <w:szCs w:val="20"/>
        </w:rPr>
        <w:t xml:space="preserve">. Więcej informacji na stronie </w:t>
      </w:r>
      <w:hyperlink r:id="rId11" w:history="1">
        <w:r w:rsidR="002D5B0F">
          <w:rPr>
            <w:rStyle w:val="Hipercze"/>
            <w:rFonts w:ascii="HelveticaNeueLT Pro 45 Lt" w:hAnsi="HelveticaNeueLT Pro 45 Lt"/>
            <w:sz w:val="20"/>
            <w:szCs w:val="20"/>
          </w:rPr>
          <w:t>www.globalworth.com</w:t>
        </w:r>
      </w:hyperlink>
      <w:r w:rsidR="002D5B0F">
        <w:rPr>
          <w:rFonts w:ascii="HelveticaNeueLT Pro 45 Lt" w:hAnsi="HelveticaNeueLT Pro 45 Lt"/>
          <w:color w:val="485A5A"/>
          <w:sz w:val="20"/>
          <w:szCs w:val="20"/>
        </w:rPr>
        <w:t>.</w:t>
      </w:r>
    </w:p>
    <w:p w14:paraId="5F83AA25" w14:textId="77777777" w:rsidR="00FD2F51" w:rsidRPr="00B977B9" w:rsidRDefault="00FD2F51" w:rsidP="00FD2F51">
      <w:pPr>
        <w:tabs>
          <w:tab w:val="left" w:pos="567"/>
        </w:tabs>
        <w:spacing w:line="100" w:lineRule="exact"/>
        <w:ind w:left="-567" w:right="-612"/>
        <w:rPr>
          <w:rFonts w:ascii="HelveticaNeueLT Pro 45 Lt" w:hAnsi="HelveticaNeueLT Pro 45 Lt"/>
          <w:color w:val="485A5A"/>
          <w:sz w:val="10"/>
          <w:szCs w:val="10"/>
        </w:rPr>
      </w:pPr>
    </w:p>
    <w:p w14:paraId="592329D4" w14:textId="77777777" w:rsidR="00FD2F51" w:rsidRPr="00B977B9" w:rsidRDefault="00FD2F51" w:rsidP="00FD2F51">
      <w:pPr>
        <w:tabs>
          <w:tab w:val="left" w:pos="3060"/>
        </w:tabs>
        <w:ind w:left="-567" w:right="-613"/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082A58C" wp14:editId="4F15A9F9">
                <wp:simplePos x="0" y="0"/>
                <wp:positionH relativeFrom="column">
                  <wp:posOffset>-330200</wp:posOffset>
                </wp:positionH>
                <wp:positionV relativeFrom="paragraph">
                  <wp:posOffset>116205</wp:posOffset>
                </wp:positionV>
                <wp:extent cx="6375400" cy="0"/>
                <wp:effectExtent l="0" t="0" r="0" b="12700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75400" cy="0"/>
                        </a:xfrm>
                        <a:prstGeom prst="line">
                          <a:avLst/>
                        </a:prstGeom>
                        <a:ln w="15875" cap="rnd">
                          <a:solidFill>
                            <a:srgbClr val="485A5A"/>
                          </a:solidFill>
                          <a:prstDash val="sysDot"/>
                          <a:bevel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F38BDD7" id="Straight Connector 7" o:spid="_x0000_s1026" style="position:absolute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6pt,9.15pt" to="476pt,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" strokecolor="#485a5a" strokeweight="1.25pt">
                <v:stroke dashstyle="1 1" joinstyle="bevel" endcap="round"/>
              </v:line>
            </w:pict>
          </mc:Fallback>
        </mc:AlternateContent>
      </w:r>
      <w:r w:rsidRPr="00B977B9">
        <w:tab/>
      </w:r>
    </w:p>
    <w:p w14:paraId="3508826F" w14:textId="77777777" w:rsidR="00FD2F51" w:rsidRPr="00B977B9" w:rsidRDefault="00FD2F51" w:rsidP="00FD2F51">
      <w:pPr>
        <w:tabs>
          <w:tab w:val="left" w:pos="567"/>
        </w:tabs>
        <w:spacing w:line="260" w:lineRule="exact"/>
        <w:ind w:left="-567" w:right="-613"/>
        <w:rPr>
          <w:rFonts w:ascii="HelveticaNeueLT Pro 45 Lt" w:hAnsi="HelveticaNeueLT Pro 45 Lt"/>
          <w:color w:val="485A5A"/>
          <w:sz w:val="28"/>
          <w:szCs w:val="28"/>
        </w:rPr>
      </w:pPr>
    </w:p>
    <w:p w14:paraId="4E226334" w14:textId="77777777" w:rsidR="00630556" w:rsidRPr="001439AE" w:rsidRDefault="00630556" w:rsidP="00630556">
      <w:pPr>
        <w:tabs>
          <w:tab w:val="left" w:pos="567"/>
        </w:tabs>
        <w:spacing w:line="280" w:lineRule="exact"/>
        <w:ind w:left="-567" w:right="-612"/>
        <w:rPr>
          <w:rFonts w:ascii="HelveticaNeueLT Pro 45 Lt" w:hAnsi="HelveticaNeueLT Pro 45 Lt"/>
          <w:color w:val="485A5A"/>
          <w:sz w:val="28"/>
          <w:szCs w:val="28"/>
        </w:rPr>
      </w:pPr>
      <w:r w:rsidRPr="00B30804">
        <w:rPr>
          <w:rFonts w:ascii="HelveticaNeueLT Pro 45 Lt" w:hAnsi="HelveticaNeueLT Pro 45 Lt"/>
          <w:noProof/>
          <w:color w:val="49595B"/>
          <w:sz w:val="52"/>
          <w:szCs w:val="52"/>
          <w:lang w:eastAsia="pl-PL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5B0FFA7" wp14:editId="4264F6BB">
                <wp:simplePos x="0" y="0"/>
                <wp:positionH relativeFrom="column">
                  <wp:posOffset>460375</wp:posOffset>
                </wp:positionH>
                <wp:positionV relativeFrom="paragraph">
                  <wp:posOffset>105410</wp:posOffset>
                </wp:positionV>
                <wp:extent cx="45719" cy="45719"/>
                <wp:effectExtent l="0" t="0" r="0" b="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719" cy="45719"/>
                        </a:xfrm>
                        <a:prstGeom prst="rect">
                          <a:avLst/>
                        </a:prstGeom>
                        <a:solidFill>
                          <a:srgbClr val="C7162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0C2DFE" id="Rectangle 6" o:spid="_x0000_s1026" style="position:absolute;margin-left:36.25pt;margin-top:8.3pt;width:3.6pt;height:3.6pt;flip:y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" fillcolor="#c7162b" stroked="f" strokeweight="1pt"/>
            </w:pict>
          </mc:Fallback>
        </mc:AlternateContent>
      </w:r>
      <w:r w:rsidRPr="001439AE">
        <w:rPr>
          <w:rFonts w:ascii="HelveticaNeueLT Pro 45 Lt" w:hAnsi="HelveticaNeueLT Pro 45 Lt"/>
          <w:color w:val="485A5A"/>
          <w:sz w:val="28"/>
          <w:szCs w:val="28"/>
        </w:rPr>
        <w:t>KONTAKT</w:t>
      </w:r>
    </w:p>
    <w:p w14:paraId="1844A480" w14:textId="77777777" w:rsidR="00630556" w:rsidRPr="001439AE" w:rsidRDefault="00630556" w:rsidP="00630556">
      <w:pPr>
        <w:tabs>
          <w:tab w:val="left" w:pos="567"/>
        </w:tabs>
        <w:spacing w:line="280" w:lineRule="exact"/>
        <w:ind w:left="-567" w:right="-612"/>
        <w:rPr>
          <w:rFonts w:ascii="HelveticaNeueLT Pro 45 Lt" w:hAnsi="HelveticaNeueLT Pro 45 Lt"/>
          <w:color w:val="485A5A"/>
          <w:sz w:val="28"/>
          <w:szCs w:val="28"/>
        </w:rPr>
      </w:pPr>
    </w:p>
    <w:p w14:paraId="1C67777A" w14:textId="77777777" w:rsidR="00630556" w:rsidRPr="006A304E" w:rsidRDefault="00630556" w:rsidP="00630556">
      <w:pPr>
        <w:tabs>
          <w:tab w:val="left" w:pos="567"/>
        </w:tabs>
        <w:spacing w:line="280" w:lineRule="exact"/>
        <w:ind w:left="-567" w:right="-612"/>
        <w:rPr>
          <w:rFonts w:ascii="HelveticaNeueLT Pro 65 Md" w:hAnsi="HelveticaNeueLT Pro 65 Md"/>
          <w:color w:val="485A5A"/>
          <w:sz w:val="20"/>
          <w:szCs w:val="20"/>
        </w:rPr>
      </w:pPr>
      <w:r w:rsidRPr="006A304E">
        <w:rPr>
          <w:rFonts w:ascii="HelveticaNeueLT Pro 65 Md" w:hAnsi="HelveticaNeueLT Pro 65 Md"/>
          <w:color w:val="485A5A"/>
          <w:sz w:val="20"/>
          <w:szCs w:val="20"/>
        </w:rPr>
        <w:t>Michał Nitychoruk</w:t>
      </w:r>
    </w:p>
    <w:p w14:paraId="485F46E8" w14:textId="77777777" w:rsidR="00630556" w:rsidRPr="001439AE" w:rsidRDefault="00630556" w:rsidP="00630556">
      <w:pPr>
        <w:tabs>
          <w:tab w:val="left" w:pos="567"/>
        </w:tabs>
        <w:spacing w:line="280" w:lineRule="exact"/>
        <w:ind w:left="-567" w:right="-612"/>
        <w:rPr>
          <w:rFonts w:ascii="HelveticaNeueLT Pro 45 Lt" w:hAnsi="HelveticaNeueLT Pro 45 Lt"/>
          <w:i/>
          <w:iCs/>
          <w:color w:val="485A5A"/>
          <w:sz w:val="20"/>
          <w:szCs w:val="20"/>
        </w:rPr>
      </w:pPr>
      <w:r w:rsidRPr="001439AE">
        <w:rPr>
          <w:rFonts w:ascii="HelveticaNeueLT Pro 45 Lt" w:hAnsi="HelveticaNeueLT Pro 45 Lt"/>
          <w:i/>
          <w:iCs/>
          <w:color w:val="485A5A"/>
          <w:sz w:val="20"/>
          <w:szCs w:val="20"/>
        </w:rPr>
        <w:t xml:space="preserve">PR &amp; Marketing </w:t>
      </w:r>
      <w:proofErr w:type="spellStart"/>
      <w:r w:rsidRPr="001439AE">
        <w:rPr>
          <w:rFonts w:ascii="HelveticaNeueLT Pro 45 Lt" w:hAnsi="HelveticaNeueLT Pro 45 Lt"/>
          <w:i/>
          <w:iCs/>
          <w:color w:val="485A5A"/>
          <w:sz w:val="20"/>
          <w:szCs w:val="20"/>
        </w:rPr>
        <w:t>Coordinator</w:t>
      </w:r>
      <w:proofErr w:type="spellEnd"/>
    </w:p>
    <w:p w14:paraId="0A3005FB" w14:textId="77777777" w:rsidR="00630556" w:rsidRPr="001439AE" w:rsidRDefault="00630556" w:rsidP="00630556">
      <w:pPr>
        <w:tabs>
          <w:tab w:val="left" w:pos="567"/>
        </w:tabs>
        <w:spacing w:line="140" w:lineRule="exact"/>
        <w:ind w:left="-567" w:right="-612"/>
        <w:rPr>
          <w:rFonts w:ascii="HelveticaNeueLT Pro 45 Lt" w:hAnsi="HelveticaNeueLT Pro 45 Lt"/>
          <w:i/>
          <w:iCs/>
          <w:color w:val="485A5A"/>
          <w:sz w:val="10"/>
          <w:szCs w:val="10"/>
        </w:rPr>
      </w:pPr>
    </w:p>
    <w:p w14:paraId="6F621D89" w14:textId="77777777" w:rsidR="00630556" w:rsidRPr="00DD6D2E" w:rsidRDefault="00630556" w:rsidP="00630556">
      <w:pPr>
        <w:tabs>
          <w:tab w:val="left" w:pos="567"/>
        </w:tabs>
        <w:spacing w:line="280" w:lineRule="exact"/>
        <w:ind w:left="-567" w:right="-612"/>
        <w:jc w:val="both"/>
        <w:rPr>
          <w:rFonts w:ascii="HelveticaNeueLT Pro 65 Md" w:hAnsi="HelveticaNeueLT Pro 65 Md"/>
          <w:color w:val="485A5A"/>
          <w:sz w:val="20"/>
          <w:szCs w:val="20"/>
          <w:lang w:val="en-GB"/>
        </w:rPr>
      </w:pPr>
      <w:r w:rsidRPr="00DD6D2E">
        <w:rPr>
          <w:rFonts w:ascii="HelveticaNeueLT Pro 65 Md" w:hAnsi="HelveticaNeueLT Pro 65 Md"/>
          <w:color w:val="C7162B"/>
          <w:sz w:val="20"/>
          <w:szCs w:val="20"/>
          <w:lang w:val="en-GB"/>
        </w:rPr>
        <w:t xml:space="preserve">T: </w:t>
      </w:r>
      <w:r w:rsidRPr="00DD6D2E">
        <w:rPr>
          <w:rFonts w:ascii="HelveticaNeueLT Pro 65 Md" w:hAnsi="HelveticaNeueLT Pro 65 Md"/>
          <w:color w:val="485A5A"/>
          <w:sz w:val="20"/>
          <w:szCs w:val="20"/>
          <w:lang w:val="en-GB"/>
        </w:rPr>
        <w:t xml:space="preserve">+48 </w:t>
      </w:r>
      <w:r w:rsidRPr="006A304E">
        <w:rPr>
          <w:rFonts w:ascii="HelveticaNeueLT Pro 65 Md" w:hAnsi="HelveticaNeueLT Pro 65 Md"/>
          <w:color w:val="485A5A"/>
          <w:sz w:val="20"/>
          <w:szCs w:val="20"/>
          <w:lang w:val="en-GB"/>
        </w:rPr>
        <w:t>886 201 362</w:t>
      </w:r>
    </w:p>
    <w:p w14:paraId="2214092E" w14:textId="77777777" w:rsidR="00630556" w:rsidRPr="00B30804" w:rsidRDefault="00630556" w:rsidP="00630556">
      <w:pPr>
        <w:tabs>
          <w:tab w:val="left" w:pos="567"/>
        </w:tabs>
        <w:spacing w:line="280" w:lineRule="exact"/>
        <w:ind w:left="-567" w:right="-612"/>
        <w:jc w:val="both"/>
        <w:rPr>
          <w:rFonts w:ascii="HelveticaNeueLT Pro 65 Md" w:hAnsi="HelveticaNeueLT Pro 65 Md"/>
          <w:color w:val="485A5A"/>
          <w:sz w:val="20"/>
          <w:szCs w:val="20"/>
          <w:lang w:val="en-US"/>
        </w:rPr>
      </w:pPr>
      <w:r w:rsidRPr="002E1EA8">
        <w:rPr>
          <w:rFonts w:ascii="HelveticaNeueLT Pro 65 Md" w:hAnsi="HelveticaNeueLT Pro 65 Md"/>
          <w:color w:val="C7162B"/>
          <w:sz w:val="20"/>
          <w:szCs w:val="20"/>
          <w:lang w:val="en-US"/>
        </w:rPr>
        <w:t xml:space="preserve">E: </w:t>
      </w:r>
      <w:r>
        <w:rPr>
          <w:rFonts w:ascii="HelveticaNeueLT Pro 65 Md" w:hAnsi="HelveticaNeueLT Pro 65 Md"/>
          <w:color w:val="485A5A"/>
          <w:sz w:val="20"/>
          <w:szCs w:val="20"/>
          <w:lang w:val="en-US"/>
        </w:rPr>
        <w:t>michal.nitychoruk</w:t>
      </w:r>
      <w:r w:rsidRPr="00B30804">
        <w:rPr>
          <w:rFonts w:ascii="HelveticaNeueLT Pro 65 Md" w:hAnsi="HelveticaNeueLT Pro 65 Md"/>
          <w:color w:val="485A5A"/>
          <w:sz w:val="20"/>
          <w:szCs w:val="20"/>
          <w:lang w:val="en-US"/>
        </w:rPr>
        <w:t>@globalworth.pl</w:t>
      </w:r>
    </w:p>
    <w:p w14:paraId="31A68A68" w14:textId="6A447E0C" w:rsidR="00305D2F" w:rsidRPr="00B30804" w:rsidRDefault="00305D2F" w:rsidP="00FD2F51">
      <w:pPr>
        <w:tabs>
          <w:tab w:val="left" w:pos="567"/>
        </w:tabs>
        <w:spacing w:line="260" w:lineRule="exact"/>
        <w:ind w:left="-567" w:right="-613"/>
        <w:rPr>
          <w:rFonts w:ascii="HelveticaNeueLT Pro 65 Md" w:hAnsi="HelveticaNeueLT Pro 65 Md"/>
          <w:color w:val="485A5A"/>
          <w:sz w:val="20"/>
          <w:szCs w:val="20"/>
          <w:lang w:val="en-US"/>
        </w:rPr>
      </w:pPr>
    </w:p>
    <w:sectPr w:rsidR="00305D2F" w:rsidRPr="00B30804" w:rsidSect="00B25346">
      <w:footerReference w:type="default" r:id="rId12"/>
      <w:pgSz w:w="11906" w:h="16838"/>
      <w:pgMar w:top="567" w:right="851" w:bottom="822" w:left="1440" w:header="709" w:footer="41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5E74B21" w14:textId="77777777" w:rsidR="00175FAE" w:rsidRDefault="00175FAE" w:rsidP="002E2C75">
      <w:r>
        <w:separator/>
      </w:r>
    </w:p>
  </w:endnote>
  <w:endnote w:type="continuationSeparator" w:id="0">
    <w:p w14:paraId="622DD130" w14:textId="77777777" w:rsidR="00175FAE" w:rsidRDefault="00175FAE" w:rsidP="002E2C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eticaNeueLT Pro 45 Lt">
    <w:panose1 w:val="020B0403020202020204"/>
    <w:charset w:val="00"/>
    <w:family w:val="swiss"/>
    <w:notTrueType/>
    <w:pitch w:val="variable"/>
    <w:sig w:usb0="800000AF" w:usb1="5000204A" w:usb2="00000000" w:usb3="00000000" w:csb0="0000009B" w:csb1="00000000"/>
  </w:font>
  <w:font w:name="HelveticaNeueLT Pro 65 Md">
    <w:panose1 w:val="020B0604020202020204"/>
    <w:charset w:val="00"/>
    <w:family w:val="swiss"/>
    <w:notTrueType/>
    <w:pitch w:val="variable"/>
    <w:sig w:usb0="800000AF" w:usb1="5000204A" w:usb2="00000000" w:usb3="00000000" w:csb0="0000009B" w:csb1="00000000"/>
  </w:font>
  <w:font w:name="HelveticaNeueLT Pro 55 Roman">
    <w:panose1 w:val="020B0804020202020204"/>
    <w:charset w:val="00"/>
    <w:family w:val="swiss"/>
    <w:notTrueType/>
    <w:pitch w:val="variable"/>
    <w:sig w:usb0="800000AF" w:usb1="5000204A" w:usb2="00000000" w:usb3="00000000" w:csb0="0000009B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4A59CE1" w14:textId="3A5A1981" w:rsidR="00B25346" w:rsidRDefault="00B25346">
    <w:pPr>
      <w:pStyle w:val="Stopka"/>
      <w:rPr>
        <w:rFonts w:ascii="HelveticaNeueLT Pro 45 Lt" w:hAnsi="HelveticaNeueLT Pro 45 Lt"/>
        <w:sz w:val="16"/>
        <w:szCs w:val="16"/>
      </w:rPr>
    </w:pPr>
    <w:r w:rsidRPr="00B25346">
      <w:rPr>
        <w:rFonts w:ascii="HelveticaNeueLT Pro 45 Lt" w:hAnsi="HelveticaNeueLT Pro 45 Lt"/>
        <w:noProof/>
        <w:sz w:val="16"/>
        <w:szCs w:val="16"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C403884" wp14:editId="498B632A">
              <wp:simplePos x="0" y="0"/>
              <wp:positionH relativeFrom="column">
                <wp:posOffset>-327096</wp:posOffset>
              </wp:positionH>
              <wp:positionV relativeFrom="paragraph">
                <wp:posOffset>121920</wp:posOffset>
              </wp:positionV>
              <wp:extent cx="6438900" cy="0"/>
              <wp:effectExtent l="0" t="0" r="12700" b="12700"/>
              <wp:wrapNone/>
              <wp:docPr id="13" name="Straight Connector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438900" cy="0"/>
                      </a:xfrm>
                      <a:prstGeom prst="line">
                        <a:avLst/>
                      </a:prstGeom>
                      <a:ln w="9525" cap="rnd" cmpd="sng">
                        <a:solidFill>
                          <a:schemeClr val="bg1">
                            <a:lumMod val="75000"/>
                          </a:schemeClr>
                        </a:solidFill>
                        <a:prstDash val="solid"/>
                        <a:bevel/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1401FD48" id="Straight Connector 13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25.75pt,9.6pt" to="481.25pt,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" strokecolor="#bfbfbf [2412]">
              <v:stroke joinstyle="bevel" endcap="round"/>
            </v:line>
          </w:pict>
        </mc:Fallback>
      </mc:AlternateContent>
    </w:r>
  </w:p>
  <w:p w14:paraId="0125A7AE" w14:textId="418EA997" w:rsidR="00B25346" w:rsidRDefault="00B25346" w:rsidP="00B25346">
    <w:pPr>
      <w:pStyle w:val="Stopka"/>
      <w:ind w:left="-567"/>
      <w:rPr>
        <w:rFonts w:ascii="HelveticaNeueLT Pro 45 Lt" w:hAnsi="HelveticaNeueLT Pro 45 Lt"/>
        <w:sz w:val="16"/>
        <w:szCs w:val="16"/>
      </w:rPr>
    </w:pPr>
    <w:r>
      <w:rPr>
        <w:rFonts w:ascii="HelveticaNeueLT Pro 45 Lt" w:hAnsi="HelveticaNeueLT Pro 45 Lt"/>
        <w:noProof/>
        <w:color w:val="9D9A98"/>
        <w:sz w:val="16"/>
        <w:szCs w:val="16"/>
        <w:lang w:eastAsia="pl-PL"/>
      </w:rPr>
      <w:drawing>
        <wp:anchor distT="0" distB="0" distL="114300" distR="114300" simplePos="0" relativeHeight="251660288" behindDoc="0" locked="0" layoutInCell="1" allowOverlap="1" wp14:anchorId="32499632" wp14:editId="50AF55E4">
          <wp:simplePos x="0" y="0"/>
          <wp:positionH relativeFrom="column">
            <wp:posOffset>5557997</wp:posOffset>
          </wp:positionH>
          <wp:positionV relativeFrom="paragraph">
            <wp:posOffset>118110</wp:posOffset>
          </wp:positionV>
          <wp:extent cx="554400" cy="187200"/>
          <wp:effectExtent l="0" t="0" r="4445" b="3810"/>
          <wp:wrapSquare wrapText="bothSides"/>
          <wp:docPr id="14" name="Picture 14" descr="A picture containing drawing, stop, foo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Picture 14" descr="A picture containing drawing, stop, food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4400" cy="187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25346">
      <w:rPr>
        <w:rFonts w:ascii="HelveticaNeueLT Pro 45 Lt" w:hAnsi="HelveticaNeueLT Pro 45 Lt"/>
        <w:sz w:val="16"/>
        <w:szCs w:val="16"/>
      </w:rPr>
      <w:t xml:space="preserve"> </w:t>
    </w:r>
  </w:p>
  <w:p w14:paraId="48BD2E03" w14:textId="274C9F79" w:rsidR="00B25346" w:rsidRPr="00B25346" w:rsidRDefault="00B25346" w:rsidP="00B25346">
    <w:pPr>
      <w:pStyle w:val="Stopka"/>
      <w:ind w:left="-567"/>
      <w:rPr>
        <w:rFonts w:ascii="HelveticaNeueLT Pro 45 Lt" w:hAnsi="HelveticaNeueLT Pro 45 Lt"/>
        <w:color w:val="9D9A98"/>
        <w:sz w:val="16"/>
        <w:szCs w:val="16"/>
      </w:rPr>
    </w:pPr>
    <w:r w:rsidRPr="00B25346">
      <w:rPr>
        <w:rFonts w:ascii="HelveticaNeueLT Pro 45 Lt" w:hAnsi="HelveticaNeueLT Pro 45 Lt"/>
        <w:color w:val="9D9A98"/>
        <w:sz w:val="16"/>
        <w:szCs w:val="16"/>
      </w:rPr>
      <w:t>MEDIA RELEASE</w:t>
    </w:r>
    <w:r>
      <w:rPr>
        <w:rFonts w:ascii="HelveticaNeueLT Pro 45 Lt" w:hAnsi="HelveticaNeueLT Pro 45 Lt"/>
        <w:color w:val="9D9A98"/>
        <w:sz w:val="16"/>
        <w:szCs w:val="16"/>
      </w:rPr>
      <w:t xml:space="preserve">                   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0C3CD6A" w14:textId="77777777" w:rsidR="00175FAE" w:rsidRDefault="00175FAE" w:rsidP="002E2C75">
      <w:r>
        <w:separator/>
      </w:r>
    </w:p>
  </w:footnote>
  <w:footnote w:type="continuationSeparator" w:id="0">
    <w:p w14:paraId="351F96A4" w14:textId="77777777" w:rsidR="00175FAE" w:rsidRDefault="00175FAE" w:rsidP="002E2C7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D365B7C"/>
    <w:multiLevelType w:val="hybridMultilevel"/>
    <w:tmpl w:val="968875B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97C62AF6">
      <w:start w:val="1"/>
      <w:numFmt w:val="bullet"/>
      <w:lvlText w:val="‒"/>
      <w:lvlJc w:val="left"/>
      <w:pPr>
        <w:ind w:left="1080" w:hanging="360"/>
      </w:pPr>
      <w:rPr>
        <w:rFonts w:ascii="Calibri" w:hAnsi="Calibri" w:hint="default"/>
      </w:rPr>
    </w:lvl>
    <w:lvl w:ilvl="2" w:tplc="8B943092">
      <w:start w:val="3"/>
      <w:numFmt w:val="bullet"/>
      <w:lvlText w:val="•"/>
      <w:lvlJc w:val="left"/>
      <w:pPr>
        <w:ind w:left="2160" w:hanging="720"/>
      </w:pPr>
      <w:rPr>
        <w:rFonts w:ascii="Calibri" w:eastAsiaTheme="minorHAnsi" w:hAnsi="Calibri" w:cs="Calibri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embedSystemFonts/>
  <w:saveSubsetFonts/>
  <w:proofState w:spelling="clean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634A"/>
    <w:rsid w:val="00003CC3"/>
    <w:rsid w:val="00042A0C"/>
    <w:rsid w:val="00062110"/>
    <w:rsid w:val="000643F8"/>
    <w:rsid w:val="000826CC"/>
    <w:rsid w:val="000939E0"/>
    <w:rsid w:val="000B68CE"/>
    <w:rsid w:val="000C1CAB"/>
    <w:rsid w:val="000C727B"/>
    <w:rsid w:val="000D53A6"/>
    <w:rsid w:val="000E3EDD"/>
    <w:rsid w:val="00131690"/>
    <w:rsid w:val="001439AE"/>
    <w:rsid w:val="001440A3"/>
    <w:rsid w:val="00161D9C"/>
    <w:rsid w:val="00175FAE"/>
    <w:rsid w:val="001A7DB2"/>
    <w:rsid w:val="001C70A8"/>
    <w:rsid w:val="001D158B"/>
    <w:rsid w:val="001E27E5"/>
    <w:rsid w:val="0020274F"/>
    <w:rsid w:val="00216CE2"/>
    <w:rsid w:val="002643E8"/>
    <w:rsid w:val="002725D9"/>
    <w:rsid w:val="002745EE"/>
    <w:rsid w:val="002772D1"/>
    <w:rsid w:val="00291269"/>
    <w:rsid w:val="002A3D10"/>
    <w:rsid w:val="002A7A24"/>
    <w:rsid w:val="002B0269"/>
    <w:rsid w:val="002D28A0"/>
    <w:rsid w:val="002D5B0F"/>
    <w:rsid w:val="002E1EA8"/>
    <w:rsid w:val="002E2C75"/>
    <w:rsid w:val="0030333D"/>
    <w:rsid w:val="003043D2"/>
    <w:rsid w:val="00305D2F"/>
    <w:rsid w:val="00366A1F"/>
    <w:rsid w:val="00384FC0"/>
    <w:rsid w:val="003A2865"/>
    <w:rsid w:val="003C5AF5"/>
    <w:rsid w:val="003F05B9"/>
    <w:rsid w:val="00401709"/>
    <w:rsid w:val="0042398A"/>
    <w:rsid w:val="00437039"/>
    <w:rsid w:val="00440BD6"/>
    <w:rsid w:val="00445CDB"/>
    <w:rsid w:val="00453D95"/>
    <w:rsid w:val="004969DA"/>
    <w:rsid w:val="00503111"/>
    <w:rsid w:val="00535B29"/>
    <w:rsid w:val="00546CDA"/>
    <w:rsid w:val="005576A4"/>
    <w:rsid w:val="0059007F"/>
    <w:rsid w:val="00592B22"/>
    <w:rsid w:val="005C353C"/>
    <w:rsid w:val="005C5148"/>
    <w:rsid w:val="005D16FD"/>
    <w:rsid w:val="005D17E5"/>
    <w:rsid w:val="005D62E6"/>
    <w:rsid w:val="00623C04"/>
    <w:rsid w:val="00630556"/>
    <w:rsid w:val="006315E6"/>
    <w:rsid w:val="00642E01"/>
    <w:rsid w:val="0064713B"/>
    <w:rsid w:val="00674B1E"/>
    <w:rsid w:val="00675A15"/>
    <w:rsid w:val="006832C0"/>
    <w:rsid w:val="00696458"/>
    <w:rsid w:val="006964F8"/>
    <w:rsid w:val="006C65B4"/>
    <w:rsid w:val="006D2235"/>
    <w:rsid w:val="006F29C2"/>
    <w:rsid w:val="00704942"/>
    <w:rsid w:val="00736C01"/>
    <w:rsid w:val="00745F10"/>
    <w:rsid w:val="00753AB6"/>
    <w:rsid w:val="00762A8D"/>
    <w:rsid w:val="00765686"/>
    <w:rsid w:val="00793177"/>
    <w:rsid w:val="00794F18"/>
    <w:rsid w:val="007A7183"/>
    <w:rsid w:val="007B129D"/>
    <w:rsid w:val="007F0334"/>
    <w:rsid w:val="00807495"/>
    <w:rsid w:val="00810C31"/>
    <w:rsid w:val="00816F98"/>
    <w:rsid w:val="00842D4E"/>
    <w:rsid w:val="00847E73"/>
    <w:rsid w:val="00861D3F"/>
    <w:rsid w:val="00874C28"/>
    <w:rsid w:val="008752AC"/>
    <w:rsid w:val="00894870"/>
    <w:rsid w:val="008A4734"/>
    <w:rsid w:val="008A63FC"/>
    <w:rsid w:val="008B2C1B"/>
    <w:rsid w:val="008D0D4C"/>
    <w:rsid w:val="008F49A4"/>
    <w:rsid w:val="00935331"/>
    <w:rsid w:val="009757D6"/>
    <w:rsid w:val="00975F36"/>
    <w:rsid w:val="00980C4D"/>
    <w:rsid w:val="00981540"/>
    <w:rsid w:val="0098414C"/>
    <w:rsid w:val="00984F09"/>
    <w:rsid w:val="00995D74"/>
    <w:rsid w:val="009C693B"/>
    <w:rsid w:val="009D2143"/>
    <w:rsid w:val="009F3F32"/>
    <w:rsid w:val="00A154BF"/>
    <w:rsid w:val="00A34664"/>
    <w:rsid w:val="00A64F9F"/>
    <w:rsid w:val="00AF1A48"/>
    <w:rsid w:val="00B078AF"/>
    <w:rsid w:val="00B17C13"/>
    <w:rsid w:val="00B25346"/>
    <w:rsid w:val="00B30804"/>
    <w:rsid w:val="00B31BD1"/>
    <w:rsid w:val="00B3357F"/>
    <w:rsid w:val="00B4259B"/>
    <w:rsid w:val="00B466C1"/>
    <w:rsid w:val="00B72653"/>
    <w:rsid w:val="00B81AEA"/>
    <w:rsid w:val="00B82D8A"/>
    <w:rsid w:val="00B977B9"/>
    <w:rsid w:val="00BA6112"/>
    <w:rsid w:val="00BC741E"/>
    <w:rsid w:val="00BD6B57"/>
    <w:rsid w:val="00C027C5"/>
    <w:rsid w:val="00C05994"/>
    <w:rsid w:val="00C32ECB"/>
    <w:rsid w:val="00C423E7"/>
    <w:rsid w:val="00C87538"/>
    <w:rsid w:val="00CA01C8"/>
    <w:rsid w:val="00CA6269"/>
    <w:rsid w:val="00CD2138"/>
    <w:rsid w:val="00CD2DB0"/>
    <w:rsid w:val="00D11198"/>
    <w:rsid w:val="00D43614"/>
    <w:rsid w:val="00D45F12"/>
    <w:rsid w:val="00D56CC8"/>
    <w:rsid w:val="00D62170"/>
    <w:rsid w:val="00DD1404"/>
    <w:rsid w:val="00DD66C3"/>
    <w:rsid w:val="00DF133A"/>
    <w:rsid w:val="00E10B8B"/>
    <w:rsid w:val="00E67C74"/>
    <w:rsid w:val="00E7305C"/>
    <w:rsid w:val="00E731CC"/>
    <w:rsid w:val="00EB1246"/>
    <w:rsid w:val="00EB4F93"/>
    <w:rsid w:val="00EC7946"/>
    <w:rsid w:val="00EE51DB"/>
    <w:rsid w:val="00EE73D2"/>
    <w:rsid w:val="00F0634A"/>
    <w:rsid w:val="00F74FE7"/>
    <w:rsid w:val="00F802BA"/>
    <w:rsid w:val="00F968A0"/>
    <w:rsid w:val="00FA2E2C"/>
    <w:rsid w:val="00FD2F51"/>
    <w:rsid w:val="00FD444A"/>
    <w:rsid w:val="00FD6990"/>
    <w:rsid w:val="00FE1C53"/>
    <w:rsid w:val="00FF67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22E9D2BE"/>
  <w15:docId w15:val="{C239B86E-0C3C-473A-ABF6-2A0EE3259E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unhideWhenUsed/>
    <w:rsid w:val="00F0634A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2E2C75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2E2C75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2E2C75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E731CC"/>
    <w:pPr>
      <w:tabs>
        <w:tab w:val="center" w:pos="4513"/>
        <w:tab w:val="right" w:pos="9026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E731CC"/>
  </w:style>
  <w:style w:type="paragraph" w:styleId="Stopka">
    <w:name w:val="footer"/>
    <w:basedOn w:val="Normalny"/>
    <w:link w:val="StopkaZnak"/>
    <w:uiPriority w:val="99"/>
    <w:unhideWhenUsed/>
    <w:rsid w:val="00E731CC"/>
    <w:pPr>
      <w:tabs>
        <w:tab w:val="center" w:pos="4513"/>
        <w:tab w:val="right" w:pos="9026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E731CC"/>
  </w:style>
  <w:style w:type="character" w:styleId="Hipercze">
    <w:name w:val="Hyperlink"/>
    <w:basedOn w:val="Domylnaczcionkaakapitu"/>
    <w:uiPriority w:val="99"/>
    <w:unhideWhenUsed/>
    <w:rsid w:val="00704942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704942"/>
    <w:rPr>
      <w:color w:val="605E5C"/>
      <w:shd w:val="clear" w:color="auto" w:fill="E1DFDD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79317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793177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793177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9317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93177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E73D2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E73D2"/>
    <w:rPr>
      <w:rFonts w:ascii="Tahoma" w:hAnsi="Tahoma" w:cs="Tahoma"/>
      <w:sz w:val="16"/>
      <w:szCs w:val="16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2643E8"/>
    <w:rPr>
      <w:color w:val="605E5C"/>
      <w:shd w:val="clear" w:color="auto" w:fill="E1DFDD"/>
    </w:rPr>
  </w:style>
  <w:style w:type="paragraph" w:customStyle="1" w:styleId="xapr">
    <w:name w:val="x_apr"/>
    <w:basedOn w:val="Normalny"/>
    <w:rsid w:val="000643F8"/>
    <w:pPr>
      <w:spacing w:before="100" w:beforeAutospacing="1" w:after="100" w:afterAutospacing="1"/>
    </w:pPr>
    <w:rPr>
      <w:rFonts w:ascii="Calibri" w:hAnsi="Calibri" w:cs="Calibri"/>
      <w:sz w:val="22"/>
      <w:szCs w:val="22"/>
      <w:lang w:val="en-GB" w:eastAsia="en-GB"/>
    </w:rPr>
  </w:style>
  <w:style w:type="character" w:customStyle="1" w:styleId="xapq">
    <w:name w:val="x_apq"/>
    <w:basedOn w:val="Domylnaczcionkaakapitu"/>
    <w:rsid w:val="000643F8"/>
  </w:style>
  <w:style w:type="character" w:styleId="UyteHipercze">
    <w:name w:val="FollowedHyperlink"/>
    <w:basedOn w:val="Domylnaczcionkaakapitu"/>
    <w:uiPriority w:val="99"/>
    <w:semiHidden/>
    <w:unhideWhenUsed/>
    <w:rsid w:val="001439AE"/>
    <w:rPr>
      <w:color w:val="954F72" w:themeColor="followedHyperlink"/>
      <w:u w:val="single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1D158B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1D158B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1D158B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9484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46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71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9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50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40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72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44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725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9283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571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4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globalworth.com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s://www.globalworth.com/sites/default/files/2021-03/Globalworth%20Annual%20Report%20and%20Financial%20Statements%202020-compressed.pdf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6BCA27E-30D6-4D8C-B5C3-C8BB63741C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3</Pages>
  <Words>1132</Words>
  <Characters>6459</Characters>
  <Application>Microsoft Office Word</Application>
  <DocSecurity>0</DocSecurity>
  <Lines>53</Lines>
  <Paragraphs>15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7576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Michał Nitychoruk</dc:creator>
  <cp:lastModifiedBy>Michal Nitychoruk</cp:lastModifiedBy>
  <cp:revision>6</cp:revision>
  <cp:lastPrinted>2020-11-20T13:25:00Z</cp:lastPrinted>
  <dcterms:created xsi:type="dcterms:W3CDTF">2021-03-26T07:57:00Z</dcterms:created>
  <dcterms:modified xsi:type="dcterms:W3CDTF">2021-03-26T09:11:00Z</dcterms:modified>
</cp:coreProperties>
</file>