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A6672" w14:textId="774FD4B3" w:rsidR="006105B8" w:rsidRPr="004075FD" w:rsidRDefault="004B5FAA" w:rsidP="006105B8">
      <w:pPr>
        <w:pStyle w:val="BodyA"/>
        <w:widowControl w:val="0"/>
        <w:suppressAutoHyphens/>
        <w:spacing w:after="240" w:line="264" w:lineRule="auto"/>
        <w:jc w:val="center"/>
        <w:rPr>
          <w:b/>
          <w:bCs/>
          <w:spacing w:val="-4"/>
          <w:sz w:val="21"/>
          <w:szCs w:val="21"/>
        </w:rPr>
      </w:pPr>
      <w:bookmarkStart w:id="0" w:name="_Hlk40201835"/>
      <w:r>
        <w:rPr>
          <w:b/>
          <w:bCs/>
          <w:spacing w:val="-4"/>
          <w:sz w:val="21"/>
          <w:szCs w:val="21"/>
        </w:rPr>
        <w:t xml:space="preserve">REDUNIQ </w:t>
      </w:r>
      <w:proofErr w:type="spellStart"/>
      <w:r w:rsidR="003946FB">
        <w:rPr>
          <w:b/>
          <w:bCs/>
          <w:spacing w:val="-4"/>
          <w:sz w:val="21"/>
          <w:szCs w:val="21"/>
        </w:rPr>
        <w:t>Brief</w:t>
      </w:r>
      <w:proofErr w:type="spellEnd"/>
      <w:r w:rsidR="003946FB">
        <w:rPr>
          <w:b/>
          <w:bCs/>
          <w:spacing w:val="-4"/>
          <w:sz w:val="21"/>
          <w:szCs w:val="21"/>
        </w:rPr>
        <w:t xml:space="preserve"> </w:t>
      </w:r>
      <w:r>
        <w:rPr>
          <w:b/>
          <w:bCs/>
          <w:spacing w:val="-4"/>
          <w:sz w:val="21"/>
          <w:szCs w:val="21"/>
        </w:rPr>
        <w:t>Insights</w:t>
      </w:r>
    </w:p>
    <w:p w14:paraId="72591670" w14:textId="17862792" w:rsidR="00805F09" w:rsidRPr="005265FC" w:rsidRDefault="005265FC" w:rsidP="001967F2">
      <w:pPr>
        <w:pStyle w:val="BodyA"/>
        <w:widowControl w:val="0"/>
        <w:suppressAutoHyphens/>
        <w:spacing w:after="240" w:line="264" w:lineRule="auto"/>
        <w:jc w:val="center"/>
        <w:rPr>
          <w:b/>
          <w:bCs/>
          <w:sz w:val="38"/>
          <w:szCs w:val="38"/>
        </w:rPr>
      </w:pPr>
      <w:r w:rsidRPr="005265FC">
        <w:rPr>
          <w:b/>
          <w:bCs/>
          <w:sz w:val="38"/>
          <w:szCs w:val="38"/>
        </w:rPr>
        <w:t>Centros comerciais ultrapassam faturação pré-Covid</w:t>
      </w:r>
    </w:p>
    <w:p w14:paraId="2919E4C4" w14:textId="7D4B9216" w:rsidR="00A36A63" w:rsidRPr="00585886" w:rsidRDefault="005265FC" w:rsidP="00B653EE">
      <w:pPr>
        <w:pStyle w:val="PargrafodaLista"/>
        <w:keepNext/>
        <w:widowControl w:val="0"/>
        <w:numPr>
          <w:ilvl w:val="0"/>
          <w:numId w:val="2"/>
        </w:numPr>
        <w:suppressAutoHyphens/>
        <w:spacing w:after="120" w:line="288" w:lineRule="auto"/>
        <w:ind w:left="567"/>
        <w:rPr>
          <w:rFonts w:cs="Calibri"/>
          <w:b/>
          <w:bCs/>
        </w:rPr>
      </w:pPr>
      <w:r>
        <w:rPr>
          <w:b/>
          <w:bCs/>
        </w:rPr>
        <w:t>Com a reabertura ocorrid</w:t>
      </w:r>
      <w:r w:rsidR="00EA0BEE">
        <w:rPr>
          <w:b/>
          <w:bCs/>
        </w:rPr>
        <w:t>a</w:t>
      </w:r>
      <w:r>
        <w:rPr>
          <w:b/>
          <w:bCs/>
        </w:rPr>
        <w:t xml:space="preserve"> esta segunda-feira, os centros comerciais de todo o país registaram mais 25% de faturação do que na média alcançada nas segundas-feiras de </w:t>
      </w:r>
      <w:r w:rsidR="00EA0BEE">
        <w:rPr>
          <w:b/>
          <w:bCs/>
        </w:rPr>
        <w:t xml:space="preserve">abril de </w:t>
      </w:r>
      <w:r>
        <w:rPr>
          <w:b/>
          <w:bCs/>
        </w:rPr>
        <w:t>2019, ano anterior à pandemia.</w:t>
      </w:r>
    </w:p>
    <w:p w14:paraId="2F0B672B" w14:textId="77777777" w:rsidR="003F35FB" w:rsidRPr="003F35FB" w:rsidRDefault="003F35FB" w:rsidP="003F35FB">
      <w:pPr>
        <w:pStyle w:val="PargrafodaLista"/>
        <w:keepNext/>
        <w:widowControl w:val="0"/>
        <w:suppressAutoHyphens/>
        <w:spacing w:after="120" w:line="288" w:lineRule="auto"/>
        <w:ind w:left="567"/>
        <w:rPr>
          <w:rFonts w:cs="Calibri"/>
        </w:rPr>
      </w:pPr>
    </w:p>
    <w:p w14:paraId="5F26A2DC" w14:textId="6D09B5D5" w:rsidR="003946FB" w:rsidRDefault="00D521C4" w:rsidP="005265FC">
      <w:pPr>
        <w:pStyle w:val="BodyA"/>
        <w:widowControl w:val="0"/>
        <w:suppressAutoHyphens/>
        <w:spacing w:after="240" w:line="288" w:lineRule="auto"/>
      </w:pPr>
      <w:r w:rsidRPr="00D521C4">
        <w:rPr>
          <w:b/>
          <w:bCs/>
        </w:rPr>
        <w:t xml:space="preserve">Lisboa, </w:t>
      </w:r>
      <w:r w:rsidR="003946FB">
        <w:rPr>
          <w:b/>
          <w:bCs/>
        </w:rPr>
        <w:t>22</w:t>
      </w:r>
      <w:r w:rsidRPr="00D521C4">
        <w:rPr>
          <w:b/>
          <w:bCs/>
        </w:rPr>
        <w:t xml:space="preserve"> de </w:t>
      </w:r>
      <w:r w:rsidR="000205B5">
        <w:rPr>
          <w:b/>
          <w:bCs/>
        </w:rPr>
        <w:t>abril</w:t>
      </w:r>
      <w:r w:rsidRPr="00D521C4">
        <w:rPr>
          <w:b/>
          <w:bCs/>
        </w:rPr>
        <w:t xml:space="preserve"> de 2020 –</w:t>
      </w:r>
      <w:r>
        <w:t xml:space="preserve"> </w:t>
      </w:r>
      <w:r w:rsidR="000743C5">
        <w:t xml:space="preserve">A </w:t>
      </w:r>
      <w:hyperlink r:id="rId11" w:history="1">
        <w:r w:rsidR="000743C5" w:rsidRPr="004B5FAA">
          <w:rPr>
            <w:rStyle w:val="Hiperligao"/>
            <w:color w:val="0070C0"/>
            <w:u w:color="2E74B5" w:themeColor="accent5" w:themeShade="BF"/>
          </w:rPr>
          <w:t>REDUNIQ</w:t>
        </w:r>
      </w:hyperlink>
      <w:r w:rsidR="000743C5">
        <w:t xml:space="preserve">, </w:t>
      </w:r>
      <w:r w:rsidR="000743C5" w:rsidRPr="000743C5">
        <w:t>a maior rede nacional de aceitação de cartões nacionais e estrangeiros</w:t>
      </w:r>
      <w:r w:rsidR="000743C5">
        <w:t xml:space="preserve">, </w:t>
      </w:r>
      <w:r w:rsidR="003946FB">
        <w:t xml:space="preserve">divulga os dados </w:t>
      </w:r>
      <w:r w:rsidR="005265FC">
        <w:t xml:space="preserve">mais recentes </w:t>
      </w:r>
      <w:r w:rsidR="003946FB">
        <w:t>sobre a evolução dos pagamentos nas categorias de consumo que avançaram no processo de desconfinamento desta segunda-feira.</w:t>
      </w:r>
    </w:p>
    <w:p w14:paraId="229A1A8D" w14:textId="2C2EA499" w:rsidR="003946FB" w:rsidRDefault="003946FB" w:rsidP="005265FC">
      <w:pPr>
        <w:pStyle w:val="BodyA"/>
        <w:widowControl w:val="0"/>
        <w:suppressAutoHyphens/>
        <w:spacing w:after="240" w:line="288" w:lineRule="auto"/>
      </w:pPr>
      <w:r>
        <w:t xml:space="preserve">De acordo com o </w:t>
      </w:r>
      <w:proofErr w:type="spellStart"/>
      <w:r>
        <w:rPr>
          <w:i/>
          <w:iCs/>
        </w:rPr>
        <w:t>acquirer</w:t>
      </w:r>
      <w:proofErr w:type="spellEnd"/>
      <w:r>
        <w:rPr>
          <w:i/>
          <w:iCs/>
        </w:rPr>
        <w:t xml:space="preserve"> </w:t>
      </w:r>
      <w:r>
        <w:t xml:space="preserve">português, os centros comerciais a nível nacional cresceram 124% esta segunda-feira face à segunda-feira anterior (12 de abril), um aumento que se justifica pelo facto de na semana passada estes estabelecimentos estarem, na sua maioria, encerrados. Contudo, a REDUNIQ fez ainda a comparação da faturação desta segunda-feira nos centros comerciais com a média registada nas segundas-feiras </w:t>
      </w:r>
      <w:r w:rsidRPr="00EA0BEE">
        <w:t>de</w:t>
      </w:r>
      <w:r w:rsidR="00935967" w:rsidRPr="00EA0BEE">
        <w:t xml:space="preserve"> </w:t>
      </w:r>
      <w:r w:rsidR="00EA0BEE" w:rsidRPr="00EA0BEE">
        <w:t>a</w:t>
      </w:r>
      <w:r w:rsidR="00935967" w:rsidRPr="00EA0BEE">
        <w:t>bril de</w:t>
      </w:r>
      <w:r w:rsidRPr="00EA0BEE">
        <w:t xml:space="preserve"> 2019</w:t>
      </w:r>
      <w:r>
        <w:t xml:space="preserve">, ou seja, em período de consumo normal. A partir desta análise, verificou-se que os </w:t>
      </w:r>
      <w:r w:rsidRPr="003946FB">
        <w:t>centros comerciais do país cresceram 25%</w:t>
      </w:r>
      <w:r>
        <w:t>, ficando acima dos valores pré-Covid.</w:t>
      </w:r>
    </w:p>
    <w:p w14:paraId="5010C3DD" w14:textId="4591D448" w:rsidR="003946FB" w:rsidRDefault="00EA0BEE" w:rsidP="005265FC">
      <w:pPr>
        <w:pStyle w:val="BodyA"/>
        <w:widowControl w:val="0"/>
        <w:suppressAutoHyphens/>
        <w:spacing w:after="240" w:line="288" w:lineRule="auto"/>
      </w:pPr>
      <w:r>
        <w:t xml:space="preserve">Também algumas categorias específicas dos centros comerciais verificaram aumentos </w:t>
      </w:r>
      <w:r w:rsidR="003946FB">
        <w:t>face a 2019, nomeadamente os negócios de artigos desportivos (+ 116%), perfumarias (+ 84%), sapatarias (+ 79%), pronto a vestir (+ 35%), e ourivesarias (+ 21%).</w:t>
      </w:r>
    </w:p>
    <w:p w14:paraId="61D4CD29" w14:textId="71A12769" w:rsidR="003946FB" w:rsidRDefault="003946FB" w:rsidP="005265FC">
      <w:pPr>
        <w:pStyle w:val="BodyA"/>
        <w:widowControl w:val="0"/>
        <w:suppressAutoHyphens/>
        <w:spacing w:after="240" w:line="288" w:lineRule="auto"/>
      </w:pPr>
      <w:r>
        <w:t xml:space="preserve">Por outro lado, a restauração atingiu menos 7% de faturação em relação aos valores de 2019, um resultado que, segundo </w:t>
      </w:r>
      <w:r w:rsidRPr="005265FC">
        <w:rPr>
          <w:b/>
          <w:bCs/>
        </w:rPr>
        <w:t>Tiago Oom, Diretor da REDUNIQ</w:t>
      </w:r>
      <w:r>
        <w:t xml:space="preserve">, </w:t>
      </w:r>
      <w:r w:rsidRPr="005265FC">
        <w:rPr>
          <w:i/>
          <w:iCs/>
        </w:rPr>
        <w:t xml:space="preserve">“poderá dever-se às limitações do número de pessoas nestes estabelecimentos, </w:t>
      </w:r>
      <w:r w:rsidR="005265FC">
        <w:rPr>
          <w:i/>
          <w:iCs/>
        </w:rPr>
        <w:t xml:space="preserve">o </w:t>
      </w:r>
      <w:r w:rsidRPr="005265FC">
        <w:rPr>
          <w:i/>
          <w:iCs/>
        </w:rPr>
        <w:t>que os impede de chegar a uma faturação normal</w:t>
      </w:r>
      <w:r w:rsidR="005265FC" w:rsidRPr="005265FC">
        <w:rPr>
          <w:i/>
          <w:iCs/>
        </w:rPr>
        <w:t>”.</w:t>
      </w:r>
      <w:r w:rsidR="005265FC">
        <w:t xml:space="preserve"> Também os supermercados de centros comerciais decresceram 11%, a par dos cinemas, que, apesar da reabertura, decresceram 89% face a 2019.</w:t>
      </w:r>
    </w:p>
    <w:p w14:paraId="372F232A" w14:textId="652B5269" w:rsidR="005265FC" w:rsidRDefault="005265FC" w:rsidP="005265FC">
      <w:pPr>
        <w:pStyle w:val="BodyA"/>
        <w:widowControl w:val="0"/>
        <w:suppressAutoHyphens/>
        <w:spacing w:after="240" w:line="288" w:lineRule="auto"/>
      </w:pPr>
      <w:r>
        <w:t xml:space="preserve">Os dados recolhidos têm como base o </w:t>
      </w:r>
      <w:hyperlink r:id="rId12" w:history="1">
        <w:r w:rsidRPr="005265FC">
          <w:rPr>
            <w:rStyle w:val="Hiperligao"/>
            <w:color w:val="0070C0"/>
            <w:u w:color="0070C0"/>
          </w:rPr>
          <w:t>REDUNIQ Insights</w:t>
        </w:r>
      </w:hyperlink>
      <w:r>
        <w:t>, a</w:t>
      </w:r>
      <w:r w:rsidRPr="005265FC">
        <w:t xml:space="preserve"> solução de conhecimento</w:t>
      </w:r>
      <w:r>
        <w:t xml:space="preserve"> que analisa as transações registadas pela rede de aceitação de pagamentos da REDUNIQ.</w:t>
      </w:r>
    </w:p>
    <w:p w14:paraId="533C65A2" w14:textId="77777777" w:rsidR="005265FC" w:rsidRDefault="005265FC" w:rsidP="00764788">
      <w:pPr>
        <w:pStyle w:val="BodyA"/>
        <w:spacing w:after="80" w:line="288" w:lineRule="auto"/>
        <w:rPr>
          <w:rStyle w:val="None"/>
          <w:b/>
          <w:bCs/>
          <w:sz w:val="20"/>
          <w:szCs w:val="20"/>
        </w:rPr>
      </w:pPr>
    </w:p>
    <w:p w14:paraId="6190B49B" w14:textId="268EE6E3" w:rsidR="00805F09" w:rsidRDefault="00BA13A0" w:rsidP="00764788">
      <w:pPr>
        <w:pStyle w:val="BodyA"/>
        <w:spacing w:after="80" w:line="288" w:lineRule="auto"/>
        <w:rPr>
          <w:rStyle w:val="None"/>
          <w:b/>
          <w:bCs/>
          <w:sz w:val="20"/>
          <w:szCs w:val="20"/>
        </w:rPr>
      </w:pPr>
      <w:r>
        <w:rPr>
          <w:rStyle w:val="None"/>
          <w:b/>
          <w:bCs/>
          <w:sz w:val="20"/>
          <w:szCs w:val="20"/>
        </w:rPr>
        <w:t>Sobre a UNICRE:</w:t>
      </w:r>
    </w:p>
    <w:p w14:paraId="076D985F" w14:textId="6BA8202A" w:rsidR="00805F09" w:rsidRDefault="00BA13A0" w:rsidP="00764788">
      <w:pPr>
        <w:pStyle w:val="BodyA"/>
        <w:spacing w:after="240" w:line="288" w:lineRule="auto"/>
        <w:rPr>
          <w:rStyle w:val="None"/>
          <w:i/>
          <w:iCs/>
          <w:sz w:val="20"/>
          <w:szCs w:val="20"/>
        </w:rPr>
      </w:pPr>
      <w:r>
        <w:rPr>
          <w:rStyle w:val="None"/>
          <w:sz w:val="20"/>
          <w:szCs w:val="20"/>
        </w:rPr>
        <w:t xml:space="preserve">A UNICRE </w:t>
      </w:r>
      <w:r>
        <w:rPr>
          <w:rStyle w:val="None"/>
          <w:sz w:val="20"/>
          <w:szCs w:val="20"/>
          <w:lang w:val="fr-FR"/>
        </w:rPr>
        <w:t xml:space="preserve">é </w:t>
      </w:r>
      <w:r>
        <w:rPr>
          <w:rStyle w:val="None"/>
          <w:sz w:val="20"/>
          <w:szCs w:val="20"/>
        </w:rPr>
        <w:t xml:space="preserve">uma instituição portuguesa que atua no setor financeiro, especialista na gestão, </w:t>
      </w:r>
      <w:proofErr w:type="spellStart"/>
      <w:r>
        <w:rPr>
          <w:rStyle w:val="None"/>
          <w:sz w:val="20"/>
          <w:szCs w:val="20"/>
        </w:rPr>
        <w:t>emissã</w:t>
      </w:r>
      <w:proofErr w:type="spellEnd"/>
      <w:r>
        <w:rPr>
          <w:rStyle w:val="None"/>
          <w:sz w:val="20"/>
          <w:szCs w:val="20"/>
          <w:lang w:val="it-IT"/>
        </w:rPr>
        <w:t>o e disponibiliza</w:t>
      </w:r>
      <w:proofErr w:type="spellStart"/>
      <w:r>
        <w:rPr>
          <w:rStyle w:val="None"/>
          <w:sz w:val="20"/>
          <w:szCs w:val="20"/>
        </w:rPr>
        <w:t>ção</w:t>
      </w:r>
      <w:proofErr w:type="spellEnd"/>
      <w:r>
        <w:rPr>
          <w:rStyle w:val="None"/>
          <w:sz w:val="20"/>
          <w:szCs w:val="20"/>
        </w:rPr>
        <w:t xml:space="preserve"> de soluções de pagamento, cartões de pagamento e </w:t>
      </w:r>
      <w:proofErr w:type="spellStart"/>
      <w:r>
        <w:rPr>
          <w:rStyle w:val="None"/>
          <w:sz w:val="20"/>
          <w:szCs w:val="20"/>
        </w:rPr>
        <w:t>cr</w:t>
      </w:r>
      <w:proofErr w:type="spellEnd"/>
      <w:r>
        <w:rPr>
          <w:rStyle w:val="None"/>
          <w:sz w:val="20"/>
          <w:szCs w:val="20"/>
          <w:lang w:val="fr-FR"/>
        </w:rPr>
        <w:t>é</w:t>
      </w:r>
      <w:r>
        <w:rPr>
          <w:rStyle w:val="None"/>
          <w:sz w:val="20"/>
          <w:szCs w:val="20"/>
        </w:rPr>
        <w:t>dito ao consumo. Com uma experiência de 4</w:t>
      </w:r>
      <w:r w:rsidR="00EA0BEE">
        <w:rPr>
          <w:rStyle w:val="None"/>
          <w:sz w:val="20"/>
          <w:szCs w:val="20"/>
        </w:rPr>
        <w:t>7</w:t>
      </w:r>
      <w:r>
        <w:rPr>
          <w:rStyle w:val="None"/>
          <w:sz w:val="20"/>
          <w:szCs w:val="20"/>
        </w:rPr>
        <w:t xml:space="preserve"> anos, </w:t>
      </w:r>
      <w:proofErr w:type="spellStart"/>
      <w:r>
        <w:rPr>
          <w:rStyle w:val="None"/>
          <w:sz w:val="20"/>
          <w:szCs w:val="20"/>
        </w:rPr>
        <w:t>det</w:t>
      </w:r>
      <w:proofErr w:type="spellEnd"/>
      <w:r>
        <w:rPr>
          <w:rStyle w:val="None"/>
          <w:sz w:val="20"/>
          <w:szCs w:val="20"/>
          <w:lang w:val="fr-FR"/>
        </w:rPr>
        <w:t>é</w:t>
      </w:r>
      <w:r>
        <w:rPr>
          <w:rStyle w:val="None"/>
          <w:sz w:val="20"/>
          <w:szCs w:val="20"/>
        </w:rPr>
        <w:t xml:space="preserve">m a marca UNIBANCO, responsável pela emissão de </w:t>
      </w:r>
      <w:proofErr w:type="spellStart"/>
      <w:r>
        <w:rPr>
          <w:rStyle w:val="None"/>
          <w:sz w:val="20"/>
          <w:szCs w:val="20"/>
        </w:rPr>
        <w:t>cartõ</w:t>
      </w:r>
      <w:proofErr w:type="spellEnd"/>
      <w:r>
        <w:rPr>
          <w:rStyle w:val="None"/>
          <w:sz w:val="20"/>
          <w:szCs w:val="20"/>
          <w:lang w:val="fr-FR"/>
        </w:rPr>
        <w:t xml:space="preserve">es de </w:t>
      </w:r>
      <w:proofErr w:type="spellStart"/>
      <w:r>
        <w:rPr>
          <w:rStyle w:val="None"/>
          <w:sz w:val="20"/>
          <w:szCs w:val="20"/>
          <w:lang w:val="fr-FR"/>
        </w:rPr>
        <w:t>cré</w:t>
      </w:r>
      <w:proofErr w:type="spellEnd"/>
      <w:r>
        <w:rPr>
          <w:rStyle w:val="None"/>
          <w:sz w:val="20"/>
          <w:szCs w:val="20"/>
          <w:lang w:val="it-IT"/>
        </w:rPr>
        <w:t xml:space="preserve">dito, </w:t>
      </w:r>
      <w:r>
        <w:rPr>
          <w:rStyle w:val="None"/>
          <w:sz w:val="20"/>
          <w:szCs w:val="20"/>
          <w:lang w:val="it-IT"/>
        </w:rPr>
        <w:lastRenderedPageBreak/>
        <w:t>cart</w:t>
      </w:r>
      <w:r>
        <w:rPr>
          <w:rStyle w:val="None"/>
          <w:sz w:val="20"/>
          <w:szCs w:val="20"/>
        </w:rPr>
        <w:t>õ</w:t>
      </w:r>
      <w:r>
        <w:rPr>
          <w:rStyle w:val="None"/>
          <w:sz w:val="20"/>
          <w:szCs w:val="20"/>
          <w:lang w:val="fr-FR"/>
        </w:rPr>
        <w:t>es pré</w:t>
      </w:r>
      <w:r>
        <w:rPr>
          <w:rStyle w:val="None"/>
          <w:sz w:val="20"/>
          <w:szCs w:val="20"/>
        </w:rPr>
        <w:t xml:space="preserve">-pagos, cartões </w:t>
      </w:r>
      <w:proofErr w:type="spellStart"/>
      <w:r>
        <w:rPr>
          <w:rStyle w:val="None"/>
          <w:sz w:val="20"/>
          <w:szCs w:val="20"/>
        </w:rPr>
        <w:t>refeiçã</w:t>
      </w:r>
      <w:proofErr w:type="spellEnd"/>
      <w:r>
        <w:rPr>
          <w:rStyle w:val="None"/>
          <w:sz w:val="20"/>
          <w:szCs w:val="20"/>
          <w:lang w:val="it-IT"/>
        </w:rPr>
        <w:t>o, cr</w:t>
      </w:r>
      <w:r>
        <w:rPr>
          <w:rStyle w:val="None"/>
          <w:sz w:val="20"/>
          <w:szCs w:val="20"/>
          <w:lang w:val="fr-FR"/>
        </w:rPr>
        <w:t>é</w:t>
      </w:r>
      <w:r>
        <w:rPr>
          <w:rStyle w:val="None"/>
          <w:sz w:val="20"/>
          <w:szCs w:val="20"/>
        </w:rPr>
        <w:t xml:space="preserve">dito pessoal e </w:t>
      </w:r>
      <w:proofErr w:type="spellStart"/>
      <w:r>
        <w:rPr>
          <w:rStyle w:val="None"/>
          <w:sz w:val="20"/>
          <w:szCs w:val="20"/>
        </w:rPr>
        <w:t>cr</w:t>
      </w:r>
      <w:proofErr w:type="spellEnd"/>
      <w:r>
        <w:rPr>
          <w:rStyle w:val="None"/>
          <w:sz w:val="20"/>
          <w:szCs w:val="20"/>
          <w:lang w:val="fr-FR"/>
        </w:rPr>
        <w:t>é</w:t>
      </w:r>
      <w:r>
        <w:rPr>
          <w:rStyle w:val="None"/>
          <w:sz w:val="20"/>
          <w:szCs w:val="20"/>
        </w:rPr>
        <w:t xml:space="preserve">dito consolidado, e a marca </w:t>
      </w:r>
      <w:r w:rsidRPr="00134AD5">
        <w:rPr>
          <w:rStyle w:val="None"/>
          <w:sz w:val="20"/>
          <w:szCs w:val="20"/>
        </w:rPr>
        <w:t>REDUNIQ</w:t>
      </w:r>
      <w:r>
        <w:rPr>
          <w:rStyle w:val="None"/>
          <w:sz w:val="20"/>
          <w:szCs w:val="20"/>
        </w:rPr>
        <w:t>, que disponibiliza soluções de aceitação de pagamentos para loja física ou com</w:t>
      </w:r>
      <w:r>
        <w:rPr>
          <w:rStyle w:val="None"/>
          <w:sz w:val="20"/>
          <w:szCs w:val="20"/>
          <w:lang w:val="fr-FR"/>
        </w:rPr>
        <w:t>é</w:t>
      </w:r>
      <w:proofErr w:type="spellStart"/>
      <w:r>
        <w:rPr>
          <w:rStyle w:val="None"/>
          <w:sz w:val="20"/>
          <w:szCs w:val="20"/>
        </w:rPr>
        <w:t>rcio</w:t>
      </w:r>
      <w:proofErr w:type="spellEnd"/>
      <w:r>
        <w:rPr>
          <w:rStyle w:val="None"/>
          <w:sz w:val="20"/>
          <w:szCs w:val="20"/>
        </w:rPr>
        <w:t xml:space="preserve"> </w:t>
      </w:r>
      <w:r>
        <w:rPr>
          <w:rStyle w:val="None"/>
          <w:i/>
          <w:iCs/>
          <w:sz w:val="20"/>
          <w:szCs w:val="20"/>
        </w:rPr>
        <w:t>online.</w:t>
      </w:r>
    </w:p>
    <w:p w14:paraId="6020D678" w14:textId="385DD52D" w:rsidR="00157EF5" w:rsidRDefault="00157EF5" w:rsidP="00157EF5">
      <w:pPr>
        <w:pStyle w:val="BodyA"/>
        <w:spacing w:after="80" w:line="288" w:lineRule="auto"/>
        <w:rPr>
          <w:rStyle w:val="None"/>
          <w:b/>
          <w:bCs/>
          <w:sz w:val="20"/>
          <w:szCs w:val="20"/>
        </w:rPr>
      </w:pPr>
      <w:r>
        <w:rPr>
          <w:rStyle w:val="None"/>
          <w:b/>
          <w:bCs/>
          <w:sz w:val="20"/>
          <w:szCs w:val="20"/>
        </w:rPr>
        <w:t>Sobre o REDUNIQ Insights:</w:t>
      </w:r>
    </w:p>
    <w:p w14:paraId="66D09C6C" w14:textId="37A31556" w:rsidR="00157EF5" w:rsidRDefault="00157EF5" w:rsidP="00157EF5">
      <w:pPr>
        <w:pStyle w:val="BodyA"/>
        <w:spacing w:after="240" w:line="288" w:lineRule="auto"/>
        <w:rPr>
          <w:rStyle w:val="None"/>
          <w:i/>
          <w:iCs/>
          <w:sz w:val="20"/>
          <w:szCs w:val="20"/>
        </w:rPr>
      </w:pPr>
      <w:r w:rsidRPr="00157EF5">
        <w:rPr>
          <w:rStyle w:val="None"/>
          <w:sz w:val="20"/>
          <w:szCs w:val="20"/>
        </w:rPr>
        <w:t xml:space="preserve">O REDUNIQ Insights é uma solução de conhecimento que pretende disponibilizar informação analítica aos clientes da REDUNIQ, a maior rede de aceitação de cartões nacionais e estrangeiros em Portugal, com base em informação do retalho nacional, suportando empresas na geração de </w:t>
      </w:r>
      <w:r w:rsidRPr="00157EF5">
        <w:rPr>
          <w:rStyle w:val="None"/>
          <w:i/>
          <w:iCs/>
          <w:sz w:val="20"/>
          <w:szCs w:val="20"/>
        </w:rPr>
        <w:t>insights</w:t>
      </w:r>
      <w:r w:rsidRPr="00157EF5">
        <w:rPr>
          <w:rStyle w:val="None"/>
          <w:sz w:val="20"/>
          <w:szCs w:val="20"/>
        </w:rPr>
        <w:t xml:space="preserve"> e na tomada de decisões de desenvolvimento de negócio. A REDUNIQ, que só em 2019, transacionou 20 mil milhões de euros em compras, num total de 539 milhões de transações, dispõe de informação detalhada sobre os perfis de consumo realizados em estabelecimentos servidos pela sua rede.</w:t>
      </w:r>
    </w:p>
    <w:p w14:paraId="127B23DF" w14:textId="77777777" w:rsidR="00805F09" w:rsidRPr="00484549" w:rsidRDefault="00805F09" w:rsidP="00764788">
      <w:pPr>
        <w:pStyle w:val="BodyA"/>
        <w:rPr>
          <w:rStyle w:val="None"/>
          <w:sz w:val="20"/>
          <w:szCs w:val="20"/>
        </w:rPr>
      </w:pPr>
    </w:p>
    <w:p w14:paraId="191BCDB3" w14:textId="7F958104" w:rsidR="00805F09" w:rsidRDefault="00BA13A0" w:rsidP="00764788">
      <w:pPr>
        <w:pStyle w:val="Rodap"/>
        <w:tabs>
          <w:tab w:val="clear" w:pos="8504"/>
          <w:tab w:val="right" w:pos="8478"/>
        </w:tabs>
        <w:spacing w:after="80"/>
        <w:rPr>
          <w:rStyle w:val="None"/>
          <w:b/>
          <w:bCs/>
          <w:sz w:val="20"/>
          <w:szCs w:val="20"/>
        </w:rPr>
      </w:pPr>
      <w:r>
        <w:rPr>
          <w:rStyle w:val="None"/>
          <w:b/>
          <w:bCs/>
          <w:sz w:val="20"/>
          <w:szCs w:val="20"/>
        </w:rPr>
        <w:t>Para mais informações, contacte:</w:t>
      </w:r>
    </w:p>
    <w:p w14:paraId="5AAEFB88" w14:textId="77777777" w:rsidR="00805F09" w:rsidRDefault="00BA13A0" w:rsidP="00764788">
      <w:pPr>
        <w:pStyle w:val="Rodap"/>
        <w:tabs>
          <w:tab w:val="clear" w:pos="8504"/>
          <w:tab w:val="right" w:pos="8478"/>
        </w:tabs>
        <w:spacing w:after="0"/>
        <w:jc w:val="left"/>
        <w:rPr>
          <w:rStyle w:val="None"/>
          <w:sz w:val="20"/>
          <w:szCs w:val="20"/>
          <w:u w:val="single"/>
        </w:rPr>
      </w:pPr>
      <w:r>
        <w:rPr>
          <w:rStyle w:val="None"/>
          <w:sz w:val="20"/>
          <w:szCs w:val="20"/>
          <w:u w:val="single"/>
        </w:rPr>
        <w:t>Lift Consulting</w:t>
      </w:r>
    </w:p>
    <w:p w14:paraId="53E886BC" w14:textId="77777777" w:rsidR="00E434DB" w:rsidRDefault="00E434DB" w:rsidP="00E434DB">
      <w:pPr>
        <w:pStyle w:val="Rodap"/>
        <w:widowControl w:val="0"/>
        <w:tabs>
          <w:tab w:val="clear" w:pos="8504"/>
          <w:tab w:val="right" w:pos="8478"/>
        </w:tabs>
        <w:spacing w:after="0"/>
        <w:jc w:val="left"/>
      </w:pPr>
      <w:r>
        <w:rPr>
          <w:rStyle w:val="None"/>
          <w:sz w:val="20"/>
          <w:szCs w:val="20"/>
        </w:rPr>
        <w:t>Fábio Duarte | fabio.duarte@lift.com.pt | 911 774 428</w:t>
      </w:r>
    </w:p>
    <w:p w14:paraId="518A5BC5" w14:textId="4B891159" w:rsidR="00E434DB" w:rsidRPr="00663520" w:rsidRDefault="00240B98" w:rsidP="00663520">
      <w:pPr>
        <w:pStyle w:val="Rodap"/>
        <w:widowControl w:val="0"/>
        <w:tabs>
          <w:tab w:val="clear" w:pos="8504"/>
          <w:tab w:val="right" w:pos="8478"/>
        </w:tabs>
        <w:spacing w:after="0"/>
        <w:jc w:val="left"/>
        <w:rPr>
          <w:sz w:val="20"/>
          <w:szCs w:val="20"/>
        </w:rPr>
      </w:pPr>
      <w:r>
        <w:rPr>
          <w:rStyle w:val="None"/>
          <w:sz w:val="20"/>
          <w:szCs w:val="20"/>
        </w:rPr>
        <w:t>André Saramago</w:t>
      </w:r>
      <w:r w:rsidR="00BA13A0">
        <w:rPr>
          <w:rStyle w:val="None"/>
          <w:sz w:val="20"/>
          <w:szCs w:val="20"/>
        </w:rPr>
        <w:t xml:space="preserve"> | </w:t>
      </w:r>
      <w:r>
        <w:rPr>
          <w:rStyle w:val="None"/>
          <w:sz w:val="20"/>
          <w:szCs w:val="20"/>
        </w:rPr>
        <w:t>andre.saramago</w:t>
      </w:r>
      <w:r w:rsidR="00BA13A0">
        <w:rPr>
          <w:rStyle w:val="None"/>
          <w:sz w:val="20"/>
          <w:szCs w:val="20"/>
        </w:rPr>
        <w:t xml:space="preserve">@lift.com.pt | </w:t>
      </w:r>
      <w:r w:rsidRPr="00240B98">
        <w:rPr>
          <w:rStyle w:val="None"/>
          <w:sz w:val="20"/>
          <w:szCs w:val="20"/>
        </w:rPr>
        <w:t>912 896 471</w:t>
      </w:r>
      <w:bookmarkEnd w:id="0"/>
    </w:p>
    <w:sectPr w:rsidR="00E434DB" w:rsidRPr="00663520">
      <w:headerReference w:type="default" r:id="rId13"/>
      <w:footerReference w:type="default" r:id="rId14"/>
      <w:pgSz w:w="11900" w:h="16840"/>
      <w:pgMar w:top="1985" w:right="1701" w:bottom="1702" w:left="1701" w:header="708" w:footer="3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0AAFE" w14:textId="77777777" w:rsidR="00892043" w:rsidRDefault="00892043">
      <w:r>
        <w:separator/>
      </w:r>
    </w:p>
  </w:endnote>
  <w:endnote w:type="continuationSeparator" w:id="0">
    <w:p w14:paraId="3F5C1A4F" w14:textId="77777777" w:rsidR="00892043" w:rsidRDefault="0089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7C2A" w14:textId="47ED75F3" w:rsidR="007568DB" w:rsidRDefault="100EF4CE">
    <w:pPr>
      <w:pStyle w:val="Rodap"/>
      <w:tabs>
        <w:tab w:val="clear" w:pos="8504"/>
        <w:tab w:val="right" w:pos="8478"/>
      </w:tabs>
      <w:jc w:val="right"/>
    </w:pPr>
    <w:r>
      <w:t xml:space="preserve">   </w:t>
    </w:r>
    <w:r>
      <w:rPr>
        <w:noProof/>
      </w:rPr>
      <w:drawing>
        <wp:inline distT="0" distB="0" distL="0" distR="0" wp14:anchorId="28222123" wp14:editId="0C64A771">
          <wp:extent cx="1144270" cy="453507"/>
          <wp:effectExtent l="0" t="0" r="0"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144270" cy="453507"/>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B0C8" w14:textId="77777777" w:rsidR="00892043" w:rsidRDefault="00892043">
      <w:r>
        <w:separator/>
      </w:r>
    </w:p>
  </w:footnote>
  <w:footnote w:type="continuationSeparator" w:id="0">
    <w:p w14:paraId="32B76142" w14:textId="77777777" w:rsidR="00892043" w:rsidRDefault="0089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3901F" w14:textId="3017AA62" w:rsidR="007568DB" w:rsidRDefault="100EF4CE">
    <w:pPr>
      <w:pStyle w:val="Cabealho"/>
      <w:tabs>
        <w:tab w:val="clear" w:pos="8504"/>
        <w:tab w:val="right" w:pos="8478"/>
      </w:tabs>
    </w:pPr>
    <w:r>
      <w:rPr>
        <w:noProof/>
      </w:rPr>
      <w:drawing>
        <wp:inline distT="0" distB="0" distL="0" distR="0" wp14:anchorId="088AC153" wp14:editId="100EF4CE">
          <wp:extent cx="4749023" cy="9735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4749023" cy="973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24B97"/>
    <w:multiLevelType w:val="hybridMultilevel"/>
    <w:tmpl w:val="0DC8FFB0"/>
    <w:numStyleLink w:val="ImportedStyle1"/>
  </w:abstractNum>
  <w:abstractNum w:abstractNumId="1" w15:restartNumberingAfterBreak="0">
    <w:nsid w:val="1E9C078D"/>
    <w:multiLevelType w:val="hybridMultilevel"/>
    <w:tmpl w:val="CC161FBA"/>
    <w:lvl w:ilvl="0" w:tplc="08160001">
      <w:start w:val="1"/>
      <w:numFmt w:val="bullet"/>
      <w:lvlText w:val=""/>
      <w:lvlJc w:val="left"/>
      <w:pPr>
        <w:ind w:left="720" w:hanging="360"/>
      </w:pPr>
      <w:rPr>
        <w:rFonts w:ascii="Symbol" w:hAnsi="Symbol" w:cs="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cs="Wingdings" w:hint="default"/>
      </w:rPr>
    </w:lvl>
    <w:lvl w:ilvl="3" w:tplc="08160001" w:tentative="1">
      <w:start w:val="1"/>
      <w:numFmt w:val="bullet"/>
      <w:lvlText w:val=""/>
      <w:lvlJc w:val="left"/>
      <w:pPr>
        <w:ind w:left="2880" w:hanging="360"/>
      </w:pPr>
      <w:rPr>
        <w:rFonts w:ascii="Symbol" w:hAnsi="Symbol" w:cs="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cs="Wingdings" w:hint="default"/>
      </w:rPr>
    </w:lvl>
    <w:lvl w:ilvl="6" w:tplc="08160001" w:tentative="1">
      <w:start w:val="1"/>
      <w:numFmt w:val="bullet"/>
      <w:lvlText w:val=""/>
      <w:lvlJc w:val="left"/>
      <w:pPr>
        <w:ind w:left="5040" w:hanging="360"/>
      </w:pPr>
      <w:rPr>
        <w:rFonts w:ascii="Symbol" w:hAnsi="Symbol" w:cs="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73472A"/>
    <w:multiLevelType w:val="hybridMultilevel"/>
    <w:tmpl w:val="D026EE70"/>
    <w:lvl w:ilvl="0" w:tplc="08160001">
      <w:start w:val="1"/>
      <w:numFmt w:val="bullet"/>
      <w:lvlText w:val=""/>
      <w:lvlJc w:val="left"/>
      <w:pPr>
        <w:ind w:left="720" w:hanging="360"/>
      </w:pPr>
      <w:rPr>
        <w:rFonts w:ascii="Symbol" w:hAnsi="Symbol" w:cs="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cs="Wingdings" w:hint="default"/>
      </w:rPr>
    </w:lvl>
    <w:lvl w:ilvl="3" w:tplc="08160001">
      <w:start w:val="1"/>
      <w:numFmt w:val="bullet"/>
      <w:lvlText w:val=""/>
      <w:lvlJc w:val="left"/>
      <w:pPr>
        <w:ind w:left="2880" w:hanging="360"/>
      </w:pPr>
      <w:rPr>
        <w:rFonts w:ascii="Symbol" w:hAnsi="Symbol" w:cs="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cs="Wingdings" w:hint="default"/>
      </w:rPr>
    </w:lvl>
    <w:lvl w:ilvl="6" w:tplc="08160001">
      <w:start w:val="1"/>
      <w:numFmt w:val="bullet"/>
      <w:lvlText w:val=""/>
      <w:lvlJc w:val="left"/>
      <w:pPr>
        <w:ind w:left="5040" w:hanging="360"/>
      </w:pPr>
      <w:rPr>
        <w:rFonts w:ascii="Symbol" w:hAnsi="Symbol" w:cs="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cs="Wingdings" w:hint="default"/>
      </w:rPr>
    </w:lvl>
  </w:abstractNum>
  <w:abstractNum w:abstractNumId="3" w15:restartNumberingAfterBreak="0">
    <w:nsid w:val="36994B49"/>
    <w:multiLevelType w:val="hybridMultilevel"/>
    <w:tmpl w:val="E838467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876CE9"/>
    <w:multiLevelType w:val="hybridMultilevel"/>
    <w:tmpl w:val="0DC8FFB0"/>
    <w:styleLink w:val="ImportedStyle1"/>
    <w:lvl w:ilvl="0" w:tplc="AF76E922">
      <w:start w:val="1"/>
      <w:numFmt w:val="bullet"/>
      <w:lvlText w:val="·"/>
      <w:lvlJc w:val="left"/>
      <w:pPr>
        <w:ind w:left="357"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1" w:tplc="5792174A">
      <w:start w:val="1"/>
      <w:numFmt w:val="bullet"/>
      <w:lvlText w:val="o"/>
      <w:lvlJc w:val="left"/>
      <w:pPr>
        <w:ind w:left="86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2" w:tplc="C188071C">
      <w:start w:val="1"/>
      <w:numFmt w:val="bullet"/>
      <w:lvlText w:val="▪"/>
      <w:lvlJc w:val="left"/>
      <w:pPr>
        <w:ind w:left="15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3" w:tplc="36663C2C">
      <w:start w:val="1"/>
      <w:numFmt w:val="bullet"/>
      <w:lvlText w:val="·"/>
      <w:lvlJc w:val="left"/>
      <w:pPr>
        <w:ind w:left="230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4" w:tplc="E9BC83A6">
      <w:start w:val="1"/>
      <w:numFmt w:val="bullet"/>
      <w:lvlText w:val="o"/>
      <w:lvlJc w:val="left"/>
      <w:pPr>
        <w:ind w:left="302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5" w:tplc="F404EA16">
      <w:start w:val="1"/>
      <w:numFmt w:val="bullet"/>
      <w:lvlText w:val="▪"/>
      <w:lvlJc w:val="left"/>
      <w:pPr>
        <w:ind w:left="374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6" w:tplc="02BA0FFA">
      <w:start w:val="1"/>
      <w:numFmt w:val="bullet"/>
      <w:lvlText w:val="·"/>
      <w:lvlJc w:val="left"/>
      <w:pPr>
        <w:ind w:left="4462" w:hanging="357"/>
      </w:pPr>
      <w:rPr>
        <w:rFonts w:ascii="Symbol" w:eastAsia="Symbol" w:hAnsi="Symbol" w:cs="Symbol"/>
        <w:b w:val="0"/>
        <w:bCs w:val="0"/>
        <w:i w:val="0"/>
        <w:iCs w:val="0"/>
        <w:caps w:val="0"/>
        <w:smallCaps w:val="0"/>
        <w:strike w:val="0"/>
        <w:dstrike w:val="0"/>
        <w:outline w:val="0"/>
        <w:emboss w:val="0"/>
        <w:imprint w:val="0"/>
        <w:color w:val="002B48"/>
        <w:spacing w:val="0"/>
        <w:w w:val="100"/>
        <w:kern w:val="0"/>
        <w:position w:val="0"/>
        <w:highlight w:val="none"/>
        <w:vertAlign w:val="baseline"/>
      </w:rPr>
    </w:lvl>
    <w:lvl w:ilvl="7" w:tplc="46EE7A20">
      <w:start w:val="1"/>
      <w:numFmt w:val="bullet"/>
      <w:lvlText w:val="o"/>
      <w:lvlJc w:val="left"/>
      <w:pPr>
        <w:ind w:left="518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lvl w:ilvl="8" w:tplc="9964374E">
      <w:start w:val="1"/>
      <w:numFmt w:val="bullet"/>
      <w:lvlText w:val="▪"/>
      <w:lvlJc w:val="left"/>
      <w:pPr>
        <w:ind w:left="5902" w:hanging="357"/>
      </w:pPr>
      <w:rPr>
        <w:rFonts w:ascii="Arial Unicode MS" w:eastAsia="Arial Unicode MS" w:hAnsi="Arial Unicode MS" w:cs="Arial Unicode MS"/>
        <w:b w:val="0"/>
        <w:bCs w:val="0"/>
        <w:i w:val="0"/>
        <w:iCs w:val="0"/>
        <w:caps w:val="0"/>
        <w:smallCaps w:val="0"/>
        <w:strike w:val="0"/>
        <w:dstrike w:val="0"/>
        <w:outline w:val="0"/>
        <w:emboss w:val="0"/>
        <w:imprint w:val="0"/>
        <w:color w:val="002B48"/>
        <w:spacing w:val="0"/>
        <w:w w:val="100"/>
        <w:kern w:val="0"/>
        <w:position w:val="0"/>
        <w:highlight w:val="none"/>
        <w:vertAlign w:val="baseline"/>
      </w:rPr>
    </w:lvl>
  </w:abstractNum>
  <w:abstractNum w:abstractNumId="5" w15:restartNumberingAfterBreak="0">
    <w:nsid w:val="44925E09"/>
    <w:multiLevelType w:val="hybridMultilevel"/>
    <w:tmpl w:val="9F4A61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doNotHyphenateCap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F09"/>
    <w:rsid w:val="00001A27"/>
    <w:rsid w:val="00001D73"/>
    <w:rsid w:val="00013FB6"/>
    <w:rsid w:val="000205B5"/>
    <w:rsid w:val="00032126"/>
    <w:rsid w:val="00041FC6"/>
    <w:rsid w:val="00045406"/>
    <w:rsid w:val="00047DA1"/>
    <w:rsid w:val="0005069C"/>
    <w:rsid w:val="00053EC8"/>
    <w:rsid w:val="00055E01"/>
    <w:rsid w:val="0006007E"/>
    <w:rsid w:val="00064ACD"/>
    <w:rsid w:val="00067ECD"/>
    <w:rsid w:val="000743C5"/>
    <w:rsid w:val="00074E40"/>
    <w:rsid w:val="00086C76"/>
    <w:rsid w:val="00095221"/>
    <w:rsid w:val="00097FE3"/>
    <w:rsid w:val="000A07A0"/>
    <w:rsid w:val="000B085A"/>
    <w:rsid w:val="000B21D3"/>
    <w:rsid w:val="000B52F4"/>
    <w:rsid w:val="000B7F28"/>
    <w:rsid w:val="000D1BDB"/>
    <w:rsid w:val="000D3F2D"/>
    <w:rsid w:val="000D57AE"/>
    <w:rsid w:val="000D763F"/>
    <w:rsid w:val="000D7FE8"/>
    <w:rsid w:val="000E0564"/>
    <w:rsid w:val="000E2881"/>
    <w:rsid w:val="000E3706"/>
    <w:rsid w:val="000E4E34"/>
    <w:rsid w:val="000F52C4"/>
    <w:rsid w:val="0010128B"/>
    <w:rsid w:val="0010467B"/>
    <w:rsid w:val="00104B37"/>
    <w:rsid w:val="00121014"/>
    <w:rsid w:val="001215B7"/>
    <w:rsid w:val="00126A09"/>
    <w:rsid w:val="00134AD5"/>
    <w:rsid w:val="00134DC8"/>
    <w:rsid w:val="00141547"/>
    <w:rsid w:val="001426EB"/>
    <w:rsid w:val="0014525C"/>
    <w:rsid w:val="001473DD"/>
    <w:rsid w:val="0015045B"/>
    <w:rsid w:val="00157EF5"/>
    <w:rsid w:val="001609F4"/>
    <w:rsid w:val="001643AE"/>
    <w:rsid w:val="00166E29"/>
    <w:rsid w:val="00171DDC"/>
    <w:rsid w:val="001802E8"/>
    <w:rsid w:val="0018045E"/>
    <w:rsid w:val="001834AB"/>
    <w:rsid w:val="001967F2"/>
    <w:rsid w:val="001B33BD"/>
    <w:rsid w:val="001C4EE6"/>
    <w:rsid w:val="001C66B4"/>
    <w:rsid w:val="001D21DA"/>
    <w:rsid w:val="001D26B1"/>
    <w:rsid w:val="001D3A63"/>
    <w:rsid w:val="001D5137"/>
    <w:rsid w:val="001E7572"/>
    <w:rsid w:val="001E781B"/>
    <w:rsid w:val="001E7EEC"/>
    <w:rsid w:val="001F0856"/>
    <w:rsid w:val="001F1C92"/>
    <w:rsid w:val="00204161"/>
    <w:rsid w:val="00211482"/>
    <w:rsid w:val="00214AAF"/>
    <w:rsid w:val="00220FB9"/>
    <w:rsid w:val="0022342B"/>
    <w:rsid w:val="00236AAF"/>
    <w:rsid w:val="00237496"/>
    <w:rsid w:val="00240B98"/>
    <w:rsid w:val="002413C2"/>
    <w:rsid w:val="00252EC8"/>
    <w:rsid w:val="00253F95"/>
    <w:rsid w:val="00256880"/>
    <w:rsid w:val="002570AD"/>
    <w:rsid w:val="002604AA"/>
    <w:rsid w:val="00270064"/>
    <w:rsid w:val="00273930"/>
    <w:rsid w:val="00275FAC"/>
    <w:rsid w:val="00280B1A"/>
    <w:rsid w:val="00285605"/>
    <w:rsid w:val="002857C6"/>
    <w:rsid w:val="00293BAA"/>
    <w:rsid w:val="00294FC1"/>
    <w:rsid w:val="00295A23"/>
    <w:rsid w:val="002B151E"/>
    <w:rsid w:val="002C28EA"/>
    <w:rsid w:val="002D7DE4"/>
    <w:rsid w:val="002F2D76"/>
    <w:rsid w:val="003000CF"/>
    <w:rsid w:val="0033152F"/>
    <w:rsid w:val="00343F71"/>
    <w:rsid w:val="003577D2"/>
    <w:rsid w:val="00367B03"/>
    <w:rsid w:val="0037412F"/>
    <w:rsid w:val="00377502"/>
    <w:rsid w:val="0038131E"/>
    <w:rsid w:val="003946FB"/>
    <w:rsid w:val="003A6EDC"/>
    <w:rsid w:val="003B0EC7"/>
    <w:rsid w:val="003B51E1"/>
    <w:rsid w:val="003C6003"/>
    <w:rsid w:val="003D1580"/>
    <w:rsid w:val="003D5077"/>
    <w:rsid w:val="003E07BE"/>
    <w:rsid w:val="003E4C69"/>
    <w:rsid w:val="003F3068"/>
    <w:rsid w:val="003F35FB"/>
    <w:rsid w:val="003F477B"/>
    <w:rsid w:val="003F58A3"/>
    <w:rsid w:val="004075FD"/>
    <w:rsid w:val="00410916"/>
    <w:rsid w:val="00413997"/>
    <w:rsid w:val="00414A33"/>
    <w:rsid w:val="00422D5E"/>
    <w:rsid w:val="00431173"/>
    <w:rsid w:val="00436832"/>
    <w:rsid w:val="004368AE"/>
    <w:rsid w:val="004377E2"/>
    <w:rsid w:val="00446913"/>
    <w:rsid w:val="00447C8A"/>
    <w:rsid w:val="00447E47"/>
    <w:rsid w:val="00454DF7"/>
    <w:rsid w:val="00455BE9"/>
    <w:rsid w:val="00456E51"/>
    <w:rsid w:val="00465130"/>
    <w:rsid w:val="004669AC"/>
    <w:rsid w:val="00481CDC"/>
    <w:rsid w:val="00484549"/>
    <w:rsid w:val="004847BC"/>
    <w:rsid w:val="00485A04"/>
    <w:rsid w:val="004863D8"/>
    <w:rsid w:val="00492255"/>
    <w:rsid w:val="004922EA"/>
    <w:rsid w:val="004923C9"/>
    <w:rsid w:val="004926D0"/>
    <w:rsid w:val="00492DE3"/>
    <w:rsid w:val="00495E1A"/>
    <w:rsid w:val="00497087"/>
    <w:rsid w:val="004B2B1C"/>
    <w:rsid w:val="004B2DE7"/>
    <w:rsid w:val="004B33B2"/>
    <w:rsid w:val="004B5FAA"/>
    <w:rsid w:val="004C056A"/>
    <w:rsid w:val="004C3651"/>
    <w:rsid w:val="004F4B7B"/>
    <w:rsid w:val="004F5BE3"/>
    <w:rsid w:val="004F6E83"/>
    <w:rsid w:val="005009E2"/>
    <w:rsid w:val="00503D8C"/>
    <w:rsid w:val="00506254"/>
    <w:rsid w:val="005075C1"/>
    <w:rsid w:val="005115DA"/>
    <w:rsid w:val="0051174B"/>
    <w:rsid w:val="00511FC0"/>
    <w:rsid w:val="00515FD6"/>
    <w:rsid w:val="0051695E"/>
    <w:rsid w:val="0052216A"/>
    <w:rsid w:val="005253A1"/>
    <w:rsid w:val="005265FC"/>
    <w:rsid w:val="00527BDA"/>
    <w:rsid w:val="005353F1"/>
    <w:rsid w:val="00547D92"/>
    <w:rsid w:val="005532D3"/>
    <w:rsid w:val="00560715"/>
    <w:rsid w:val="0056131B"/>
    <w:rsid w:val="00565F86"/>
    <w:rsid w:val="00566FC4"/>
    <w:rsid w:val="00581297"/>
    <w:rsid w:val="00581304"/>
    <w:rsid w:val="0058549D"/>
    <w:rsid w:val="00585886"/>
    <w:rsid w:val="00596420"/>
    <w:rsid w:val="005A4AB9"/>
    <w:rsid w:val="005A580B"/>
    <w:rsid w:val="005A6A2B"/>
    <w:rsid w:val="005A7953"/>
    <w:rsid w:val="005B2F4D"/>
    <w:rsid w:val="005B4276"/>
    <w:rsid w:val="005B7497"/>
    <w:rsid w:val="005C137D"/>
    <w:rsid w:val="005C17FC"/>
    <w:rsid w:val="005C6072"/>
    <w:rsid w:val="005C6833"/>
    <w:rsid w:val="005D0313"/>
    <w:rsid w:val="005D48F8"/>
    <w:rsid w:val="005D4C45"/>
    <w:rsid w:val="005D4E4E"/>
    <w:rsid w:val="005E1964"/>
    <w:rsid w:val="005F5DB1"/>
    <w:rsid w:val="006105B8"/>
    <w:rsid w:val="00613191"/>
    <w:rsid w:val="0061435B"/>
    <w:rsid w:val="00615669"/>
    <w:rsid w:val="00615A2E"/>
    <w:rsid w:val="0061646C"/>
    <w:rsid w:val="00617E39"/>
    <w:rsid w:val="00623336"/>
    <w:rsid w:val="0063222A"/>
    <w:rsid w:val="0063660C"/>
    <w:rsid w:val="006408DC"/>
    <w:rsid w:val="00642790"/>
    <w:rsid w:val="00646175"/>
    <w:rsid w:val="00652BE4"/>
    <w:rsid w:val="006546D2"/>
    <w:rsid w:val="00657248"/>
    <w:rsid w:val="00660159"/>
    <w:rsid w:val="00663520"/>
    <w:rsid w:val="00665969"/>
    <w:rsid w:val="006659C7"/>
    <w:rsid w:val="00674AC4"/>
    <w:rsid w:val="0068115B"/>
    <w:rsid w:val="00686DE8"/>
    <w:rsid w:val="00695969"/>
    <w:rsid w:val="006B4349"/>
    <w:rsid w:val="006B4D07"/>
    <w:rsid w:val="006C27EE"/>
    <w:rsid w:val="006C5E6F"/>
    <w:rsid w:val="006C6069"/>
    <w:rsid w:val="006D03B5"/>
    <w:rsid w:val="006D3C06"/>
    <w:rsid w:val="006D6A69"/>
    <w:rsid w:val="006E1D9D"/>
    <w:rsid w:val="006E52EE"/>
    <w:rsid w:val="00701CF2"/>
    <w:rsid w:val="007024F6"/>
    <w:rsid w:val="007041FE"/>
    <w:rsid w:val="007050D9"/>
    <w:rsid w:val="00706A10"/>
    <w:rsid w:val="00707072"/>
    <w:rsid w:val="00707752"/>
    <w:rsid w:val="00712928"/>
    <w:rsid w:val="00712B2F"/>
    <w:rsid w:val="00716226"/>
    <w:rsid w:val="00726F65"/>
    <w:rsid w:val="00732043"/>
    <w:rsid w:val="00742B34"/>
    <w:rsid w:val="00743E95"/>
    <w:rsid w:val="00743EE0"/>
    <w:rsid w:val="00744B4D"/>
    <w:rsid w:val="00750D4E"/>
    <w:rsid w:val="007568DB"/>
    <w:rsid w:val="00764788"/>
    <w:rsid w:val="00771221"/>
    <w:rsid w:val="007731F4"/>
    <w:rsid w:val="00786F93"/>
    <w:rsid w:val="007A2332"/>
    <w:rsid w:val="007A353C"/>
    <w:rsid w:val="007B1964"/>
    <w:rsid w:val="007B5DE8"/>
    <w:rsid w:val="007D1D7F"/>
    <w:rsid w:val="007D22C6"/>
    <w:rsid w:val="007D5A01"/>
    <w:rsid w:val="007D7098"/>
    <w:rsid w:val="007E2907"/>
    <w:rsid w:val="007F31D2"/>
    <w:rsid w:val="007F66C1"/>
    <w:rsid w:val="00801AF4"/>
    <w:rsid w:val="008045B1"/>
    <w:rsid w:val="00805F09"/>
    <w:rsid w:val="00807CFC"/>
    <w:rsid w:val="0081146A"/>
    <w:rsid w:val="00812EF8"/>
    <w:rsid w:val="008139F1"/>
    <w:rsid w:val="008150FA"/>
    <w:rsid w:val="0082237F"/>
    <w:rsid w:val="00830F91"/>
    <w:rsid w:val="00833654"/>
    <w:rsid w:val="0083479C"/>
    <w:rsid w:val="00834B19"/>
    <w:rsid w:val="00836E9D"/>
    <w:rsid w:val="00846D9F"/>
    <w:rsid w:val="0085123F"/>
    <w:rsid w:val="008513E1"/>
    <w:rsid w:val="00860180"/>
    <w:rsid w:val="008623B4"/>
    <w:rsid w:val="00864092"/>
    <w:rsid w:val="00864B24"/>
    <w:rsid w:val="008675D4"/>
    <w:rsid w:val="00876447"/>
    <w:rsid w:val="00876841"/>
    <w:rsid w:val="00891FC1"/>
    <w:rsid w:val="00892043"/>
    <w:rsid w:val="00896050"/>
    <w:rsid w:val="008977B1"/>
    <w:rsid w:val="008A3EF0"/>
    <w:rsid w:val="008A6B49"/>
    <w:rsid w:val="008B196B"/>
    <w:rsid w:val="008B1E28"/>
    <w:rsid w:val="008B22DB"/>
    <w:rsid w:val="008B3DEA"/>
    <w:rsid w:val="008C1059"/>
    <w:rsid w:val="008C2E2D"/>
    <w:rsid w:val="008D3917"/>
    <w:rsid w:val="008D40B3"/>
    <w:rsid w:val="008E5E53"/>
    <w:rsid w:val="008F2358"/>
    <w:rsid w:val="008F3AB0"/>
    <w:rsid w:val="00911237"/>
    <w:rsid w:val="00911320"/>
    <w:rsid w:val="00913EB7"/>
    <w:rsid w:val="00935967"/>
    <w:rsid w:val="009457E4"/>
    <w:rsid w:val="00945826"/>
    <w:rsid w:val="00950044"/>
    <w:rsid w:val="00955033"/>
    <w:rsid w:val="00956A80"/>
    <w:rsid w:val="00962C8E"/>
    <w:rsid w:val="00965593"/>
    <w:rsid w:val="00970B69"/>
    <w:rsid w:val="00972857"/>
    <w:rsid w:val="009772DB"/>
    <w:rsid w:val="00977FA1"/>
    <w:rsid w:val="009802BC"/>
    <w:rsid w:val="009815BB"/>
    <w:rsid w:val="00984EF9"/>
    <w:rsid w:val="009874C2"/>
    <w:rsid w:val="0099292E"/>
    <w:rsid w:val="00994E40"/>
    <w:rsid w:val="00996108"/>
    <w:rsid w:val="00997A76"/>
    <w:rsid w:val="009A4E72"/>
    <w:rsid w:val="009A7039"/>
    <w:rsid w:val="009B0377"/>
    <w:rsid w:val="009B1106"/>
    <w:rsid w:val="009B51B1"/>
    <w:rsid w:val="009B652B"/>
    <w:rsid w:val="009B7642"/>
    <w:rsid w:val="009C1815"/>
    <w:rsid w:val="009C1DD4"/>
    <w:rsid w:val="009C2CAE"/>
    <w:rsid w:val="009C3985"/>
    <w:rsid w:val="009C5BBB"/>
    <w:rsid w:val="009C7F87"/>
    <w:rsid w:val="009D4FD5"/>
    <w:rsid w:val="00A115B2"/>
    <w:rsid w:val="00A121EB"/>
    <w:rsid w:val="00A250E9"/>
    <w:rsid w:val="00A25F2B"/>
    <w:rsid w:val="00A267C9"/>
    <w:rsid w:val="00A27021"/>
    <w:rsid w:val="00A27CBB"/>
    <w:rsid w:val="00A35D14"/>
    <w:rsid w:val="00A36A63"/>
    <w:rsid w:val="00A40957"/>
    <w:rsid w:val="00A43098"/>
    <w:rsid w:val="00A4642D"/>
    <w:rsid w:val="00A47A25"/>
    <w:rsid w:val="00A545FD"/>
    <w:rsid w:val="00A60770"/>
    <w:rsid w:val="00A63F18"/>
    <w:rsid w:val="00A67E4C"/>
    <w:rsid w:val="00A74C83"/>
    <w:rsid w:val="00A85CDD"/>
    <w:rsid w:val="00A868EA"/>
    <w:rsid w:val="00A914EB"/>
    <w:rsid w:val="00A9257B"/>
    <w:rsid w:val="00A94752"/>
    <w:rsid w:val="00A95379"/>
    <w:rsid w:val="00AA24D3"/>
    <w:rsid w:val="00AA3E07"/>
    <w:rsid w:val="00AA45CB"/>
    <w:rsid w:val="00AA4C5B"/>
    <w:rsid w:val="00AA54E0"/>
    <w:rsid w:val="00AB1214"/>
    <w:rsid w:val="00AB3244"/>
    <w:rsid w:val="00AB5510"/>
    <w:rsid w:val="00AB56A3"/>
    <w:rsid w:val="00AC1302"/>
    <w:rsid w:val="00AD5F5F"/>
    <w:rsid w:val="00AE008D"/>
    <w:rsid w:val="00AF0659"/>
    <w:rsid w:val="00B04AF7"/>
    <w:rsid w:val="00B04C14"/>
    <w:rsid w:val="00B07DD2"/>
    <w:rsid w:val="00B1039E"/>
    <w:rsid w:val="00B17C3D"/>
    <w:rsid w:val="00B308DE"/>
    <w:rsid w:val="00B3345E"/>
    <w:rsid w:val="00B34A24"/>
    <w:rsid w:val="00B41851"/>
    <w:rsid w:val="00B517E8"/>
    <w:rsid w:val="00B57F4F"/>
    <w:rsid w:val="00B653EE"/>
    <w:rsid w:val="00B718C1"/>
    <w:rsid w:val="00B72636"/>
    <w:rsid w:val="00B764C3"/>
    <w:rsid w:val="00B77B0E"/>
    <w:rsid w:val="00B8559F"/>
    <w:rsid w:val="00B92BDB"/>
    <w:rsid w:val="00B93431"/>
    <w:rsid w:val="00B9464C"/>
    <w:rsid w:val="00B95DF3"/>
    <w:rsid w:val="00B978BC"/>
    <w:rsid w:val="00B978F6"/>
    <w:rsid w:val="00BA13A0"/>
    <w:rsid w:val="00BB0C5F"/>
    <w:rsid w:val="00BB3AD0"/>
    <w:rsid w:val="00BB55FE"/>
    <w:rsid w:val="00BC1299"/>
    <w:rsid w:val="00BC135A"/>
    <w:rsid w:val="00BC402E"/>
    <w:rsid w:val="00BC591F"/>
    <w:rsid w:val="00BC698D"/>
    <w:rsid w:val="00BD13D1"/>
    <w:rsid w:val="00BE050C"/>
    <w:rsid w:val="00BF559D"/>
    <w:rsid w:val="00BF7044"/>
    <w:rsid w:val="00C04CEE"/>
    <w:rsid w:val="00C05179"/>
    <w:rsid w:val="00C05A88"/>
    <w:rsid w:val="00C05FB1"/>
    <w:rsid w:val="00C07720"/>
    <w:rsid w:val="00C12B31"/>
    <w:rsid w:val="00C15987"/>
    <w:rsid w:val="00C1687E"/>
    <w:rsid w:val="00C16C6B"/>
    <w:rsid w:val="00C25508"/>
    <w:rsid w:val="00C2655D"/>
    <w:rsid w:val="00C272CC"/>
    <w:rsid w:val="00C32E93"/>
    <w:rsid w:val="00C34F69"/>
    <w:rsid w:val="00C371CC"/>
    <w:rsid w:val="00C40583"/>
    <w:rsid w:val="00C41B45"/>
    <w:rsid w:val="00C471BC"/>
    <w:rsid w:val="00C52325"/>
    <w:rsid w:val="00C55DC9"/>
    <w:rsid w:val="00C57D11"/>
    <w:rsid w:val="00C61BAA"/>
    <w:rsid w:val="00C6551C"/>
    <w:rsid w:val="00C66BF2"/>
    <w:rsid w:val="00C6759C"/>
    <w:rsid w:val="00C734EA"/>
    <w:rsid w:val="00C866D8"/>
    <w:rsid w:val="00C94519"/>
    <w:rsid w:val="00CA3B83"/>
    <w:rsid w:val="00CA6CD2"/>
    <w:rsid w:val="00CB5BE3"/>
    <w:rsid w:val="00CB652A"/>
    <w:rsid w:val="00CC0BCB"/>
    <w:rsid w:val="00CD6725"/>
    <w:rsid w:val="00CE2BB2"/>
    <w:rsid w:val="00CE5E87"/>
    <w:rsid w:val="00CF1DCA"/>
    <w:rsid w:val="00CF72E0"/>
    <w:rsid w:val="00D011A3"/>
    <w:rsid w:val="00D11F44"/>
    <w:rsid w:val="00D15491"/>
    <w:rsid w:val="00D23E13"/>
    <w:rsid w:val="00D27EE7"/>
    <w:rsid w:val="00D3148C"/>
    <w:rsid w:val="00D402EB"/>
    <w:rsid w:val="00D45F66"/>
    <w:rsid w:val="00D521C4"/>
    <w:rsid w:val="00D53BD7"/>
    <w:rsid w:val="00D54E42"/>
    <w:rsid w:val="00D55C9C"/>
    <w:rsid w:val="00D65289"/>
    <w:rsid w:val="00D8129C"/>
    <w:rsid w:val="00D82307"/>
    <w:rsid w:val="00D8284A"/>
    <w:rsid w:val="00D94EBF"/>
    <w:rsid w:val="00DA01D3"/>
    <w:rsid w:val="00DA0E36"/>
    <w:rsid w:val="00DA172F"/>
    <w:rsid w:val="00DB7312"/>
    <w:rsid w:val="00DB73AF"/>
    <w:rsid w:val="00DC5A41"/>
    <w:rsid w:val="00DC7929"/>
    <w:rsid w:val="00DD2F40"/>
    <w:rsid w:val="00DD2F58"/>
    <w:rsid w:val="00DD5200"/>
    <w:rsid w:val="00DD5CD4"/>
    <w:rsid w:val="00DD672A"/>
    <w:rsid w:val="00DE49D4"/>
    <w:rsid w:val="00DE726E"/>
    <w:rsid w:val="00DF5512"/>
    <w:rsid w:val="00E007A8"/>
    <w:rsid w:val="00E00B0A"/>
    <w:rsid w:val="00E01EC6"/>
    <w:rsid w:val="00E0239D"/>
    <w:rsid w:val="00E03192"/>
    <w:rsid w:val="00E069C7"/>
    <w:rsid w:val="00E06DF5"/>
    <w:rsid w:val="00E0700D"/>
    <w:rsid w:val="00E11CD5"/>
    <w:rsid w:val="00E210EE"/>
    <w:rsid w:val="00E31E03"/>
    <w:rsid w:val="00E33B0D"/>
    <w:rsid w:val="00E41001"/>
    <w:rsid w:val="00E434DB"/>
    <w:rsid w:val="00E51DFD"/>
    <w:rsid w:val="00E529D8"/>
    <w:rsid w:val="00E67E26"/>
    <w:rsid w:val="00E8183A"/>
    <w:rsid w:val="00E9566F"/>
    <w:rsid w:val="00E979A8"/>
    <w:rsid w:val="00EA0BEE"/>
    <w:rsid w:val="00EA22B1"/>
    <w:rsid w:val="00EA7F6C"/>
    <w:rsid w:val="00EB679C"/>
    <w:rsid w:val="00ED6094"/>
    <w:rsid w:val="00EF1A10"/>
    <w:rsid w:val="00EF272E"/>
    <w:rsid w:val="00EF3A16"/>
    <w:rsid w:val="00EF6006"/>
    <w:rsid w:val="00EF6182"/>
    <w:rsid w:val="00F00D33"/>
    <w:rsid w:val="00F01B87"/>
    <w:rsid w:val="00F02A85"/>
    <w:rsid w:val="00F05850"/>
    <w:rsid w:val="00F07810"/>
    <w:rsid w:val="00F07FDC"/>
    <w:rsid w:val="00F12A12"/>
    <w:rsid w:val="00F14355"/>
    <w:rsid w:val="00F257EC"/>
    <w:rsid w:val="00F258EA"/>
    <w:rsid w:val="00F3269B"/>
    <w:rsid w:val="00F36291"/>
    <w:rsid w:val="00F43993"/>
    <w:rsid w:val="00F66F44"/>
    <w:rsid w:val="00F673CC"/>
    <w:rsid w:val="00F83E66"/>
    <w:rsid w:val="00F926FE"/>
    <w:rsid w:val="00F947DD"/>
    <w:rsid w:val="00F97FBC"/>
    <w:rsid w:val="00FA28E9"/>
    <w:rsid w:val="00FA51DE"/>
    <w:rsid w:val="00FA6E83"/>
    <w:rsid w:val="00FB2420"/>
    <w:rsid w:val="00FB500E"/>
    <w:rsid w:val="00FC2E1B"/>
    <w:rsid w:val="00FC74A9"/>
    <w:rsid w:val="00FD040A"/>
    <w:rsid w:val="00FD3498"/>
    <w:rsid w:val="00FD4CCB"/>
    <w:rsid w:val="00FF4305"/>
    <w:rsid w:val="00FF4BD5"/>
    <w:rsid w:val="00FF6D86"/>
    <w:rsid w:val="00FF7294"/>
    <w:rsid w:val="100EF4C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7609"/>
  <w15:docId w15:val="{5C8B511A-8911-49CC-91DB-AEADB48C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spacing w:after="240"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Pr>
      <w:u w:val="single"/>
    </w:rPr>
  </w:style>
  <w:style w:type="paragraph" w:styleId="Cabealho">
    <w:name w:val="header"/>
    <w:pPr>
      <w:tabs>
        <w:tab w:val="center" w:pos="4252"/>
        <w:tab w:val="right" w:pos="8504"/>
      </w:tabs>
    </w:pPr>
    <w:rPr>
      <w:rFonts w:ascii="Calibri" w:hAnsi="Calibri" w:cs="Arial Unicode MS"/>
      <w:color w:val="000000"/>
      <w:sz w:val="22"/>
      <w:szCs w:val="22"/>
      <w:u w:color="000000"/>
    </w:rPr>
  </w:style>
  <w:style w:type="paragraph" w:styleId="Rodap">
    <w:name w:val="footer"/>
    <w:pPr>
      <w:tabs>
        <w:tab w:val="center" w:pos="4252"/>
        <w:tab w:val="right" w:pos="8504"/>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paragraph" w:styleId="PargrafodaLista">
    <w:name w:val="List Paragraph"/>
    <w:uiPriority w:val="34"/>
    <w:qFormat/>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563C1"/>
      <w:u w:val="single" w:color="0563C1"/>
      <w:lang w:val="pt-PT"/>
    </w:rPr>
  </w:style>
  <w:style w:type="character" w:customStyle="1" w:styleId="Hyperlink1">
    <w:name w:val="Hyperlink.1"/>
    <w:basedOn w:val="None"/>
    <w:rPr>
      <w:outline w:val="0"/>
      <w:color w:val="0563C1"/>
      <w:u w:val="single" w:color="0563C1"/>
      <w:lang w:val="fr-FR"/>
    </w:rPr>
  </w:style>
  <w:style w:type="character" w:customStyle="1" w:styleId="Hyperlink2">
    <w:name w:val="Hyperlink.2"/>
    <w:basedOn w:val="None"/>
    <w:rPr>
      <w:outline w:val="0"/>
      <w:color w:val="0563C1"/>
      <w:u w:val="single" w:color="0563C1"/>
      <w:lang w:val="de-DE"/>
    </w:rPr>
  </w:style>
  <w:style w:type="paragraph" w:styleId="Textodecomentrio">
    <w:name w:val="annotation text"/>
    <w:basedOn w:val="Normal"/>
    <w:link w:val="TextodecomentrioCarter"/>
    <w:uiPriority w:val="99"/>
    <w:semiHidden/>
    <w:unhideWhenUsed/>
    <w:rPr>
      <w:sz w:val="20"/>
      <w:szCs w:val="20"/>
    </w:rPr>
  </w:style>
  <w:style w:type="character" w:customStyle="1" w:styleId="TextodecomentrioCarter">
    <w:name w:val="Texto de comentário Caráter"/>
    <w:basedOn w:val="Tipodeletrapredefinidodopargrafo"/>
    <w:link w:val="Textodecomentrio"/>
    <w:uiPriority w:val="99"/>
    <w:semiHidden/>
    <w:rPr>
      <w:lang w:val="en-US" w:eastAsia="en-US"/>
    </w:rPr>
  </w:style>
  <w:style w:type="character" w:styleId="Refdecomentrio">
    <w:name w:val="annotation reference"/>
    <w:basedOn w:val="Tipodeletrapredefinidodopargrafo"/>
    <w:uiPriority w:val="99"/>
    <w:semiHidden/>
    <w:unhideWhenUsed/>
    <w:rPr>
      <w:sz w:val="16"/>
      <w:szCs w:val="16"/>
    </w:rPr>
  </w:style>
  <w:style w:type="paragraph" w:styleId="Textodebalo">
    <w:name w:val="Balloon Text"/>
    <w:basedOn w:val="Normal"/>
    <w:link w:val="TextodebaloCarter"/>
    <w:uiPriority w:val="99"/>
    <w:semiHidden/>
    <w:unhideWhenUsed/>
    <w:rsid w:val="005009E2"/>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5009E2"/>
    <w:rPr>
      <w:rFonts w:ascii="Segoe UI" w:hAnsi="Segoe UI" w:cs="Segoe UI"/>
      <w:sz w:val="18"/>
      <w:szCs w:val="18"/>
      <w:lang w:val="en-US" w:eastAsia="en-US"/>
    </w:rPr>
  </w:style>
  <w:style w:type="character" w:styleId="MenoNoResolvida">
    <w:name w:val="Unresolved Mention"/>
    <w:basedOn w:val="Tipodeletrapredefinidodopargrafo"/>
    <w:uiPriority w:val="99"/>
    <w:semiHidden/>
    <w:unhideWhenUsed/>
    <w:rsid w:val="008C2E2D"/>
    <w:rPr>
      <w:color w:val="605E5C"/>
      <w:shd w:val="clear" w:color="auto" w:fill="E1DFDD"/>
    </w:rPr>
  </w:style>
  <w:style w:type="paragraph" w:styleId="Assuntodecomentrio">
    <w:name w:val="annotation subject"/>
    <w:basedOn w:val="Textodecomentrio"/>
    <w:next w:val="Textodecomentrio"/>
    <w:link w:val="AssuntodecomentrioCarter"/>
    <w:uiPriority w:val="99"/>
    <w:semiHidden/>
    <w:unhideWhenUsed/>
    <w:rsid w:val="00294FC1"/>
    <w:pPr>
      <w:spacing w:line="240" w:lineRule="auto"/>
    </w:pPr>
    <w:rPr>
      <w:b/>
      <w:bCs/>
    </w:rPr>
  </w:style>
  <w:style w:type="character" w:customStyle="1" w:styleId="AssuntodecomentrioCarter">
    <w:name w:val="Assunto de comentário Caráter"/>
    <w:basedOn w:val="TextodecomentrioCarter"/>
    <w:link w:val="Assuntodecomentrio"/>
    <w:uiPriority w:val="99"/>
    <w:semiHidden/>
    <w:rsid w:val="00294FC1"/>
    <w:rPr>
      <w:b/>
      <w:bCs/>
      <w:lang w:val="en-US" w:eastAsia="en-US"/>
    </w:rPr>
  </w:style>
  <w:style w:type="paragraph" w:customStyle="1" w:styleId="default0">
    <w:name w:val="default"/>
    <w:basedOn w:val="Normal"/>
    <w:rsid w:val="007647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jc w:val="left"/>
    </w:pPr>
    <w:rPr>
      <w:rFonts w:ascii="Arial Nova" w:eastAsiaTheme="minorHAnsi" w:hAnsi="Arial Nova" w:cs="Calibri"/>
      <w:color w:val="000000"/>
      <w:bdr w:val="none" w:sz="0" w:space="0" w:color="auto"/>
      <w:lang w:val="pt-PT" w:eastAsia="pt-PT"/>
    </w:rPr>
  </w:style>
  <w:style w:type="paragraph" w:styleId="NormalWeb">
    <w:name w:val="Normal (Web)"/>
    <w:basedOn w:val="Normal"/>
    <w:uiPriority w:val="99"/>
    <w:unhideWhenUsed/>
    <w:rsid w:val="00C405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jc w:val="left"/>
    </w:pPr>
    <w:rPr>
      <w:rFonts w:eastAsia="Times New Roman"/>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3209">
      <w:bodyDiv w:val="1"/>
      <w:marLeft w:val="0"/>
      <w:marRight w:val="0"/>
      <w:marTop w:val="0"/>
      <w:marBottom w:val="0"/>
      <w:divBdr>
        <w:top w:val="none" w:sz="0" w:space="0" w:color="auto"/>
        <w:left w:val="none" w:sz="0" w:space="0" w:color="auto"/>
        <w:bottom w:val="none" w:sz="0" w:space="0" w:color="auto"/>
        <w:right w:val="none" w:sz="0" w:space="0" w:color="auto"/>
      </w:divBdr>
    </w:div>
    <w:div w:id="437720844">
      <w:bodyDiv w:val="1"/>
      <w:marLeft w:val="0"/>
      <w:marRight w:val="0"/>
      <w:marTop w:val="0"/>
      <w:marBottom w:val="0"/>
      <w:divBdr>
        <w:top w:val="none" w:sz="0" w:space="0" w:color="auto"/>
        <w:left w:val="none" w:sz="0" w:space="0" w:color="auto"/>
        <w:bottom w:val="none" w:sz="0" w:space="0" w:color="auto"/>
        <w:right w:val="none" w:sz="0" w:space="0" w:color="auto"/>
      </w:divBdr>
    </w:div>
    <w:div w:id="463734922">
      <w:bodyDiv w:val="1"/>
      <w:marLeft w:val="0"/>
      <w:marRight w:val="0"/>
      <w:marTop w:val="0"/>
      <w:marBottom w:val="0"/>
      <w:divBdr>
        <w:top w:val="none" w:sz="0" w:space="0" w:color="auto"/>
        <w:left w:val="none" w:sz="0" w:space="0" w:color="auto"/>
        <w:bottom w:val="none" w:sz="0" w:space="0" w:color="auto"/>
        <w:right w:val="none" w:sz="0" w:space="0" w:color="auto"/>
      </w:divBdr>
      <w:divsChild>
        <w:div w:id="1855849016">
          <w:marLeft w:val="0"/>
          <w:marRight w:val="0"/>
          <w:marTop w:val="0"/>
          <w:marBottom w:val="0"/>
          <w:divBdr>
            <w:top w:val="none" w:sz="0" w:space="0" w:color="auto"/>
            <w:left w:val="none" w:sz="0" w:space="0" w:color="auto"/>
            <w:bottom w:val="none" w:sz="0" w:space="0" w:color="auto"/>
            <w:right w:val="none" w:sz="0" w:space="0" w:color="auto"/>
          </w:divBdr>
        </w:div>
      </w:divsChild>
    </w:div>
    <w:div w:id="465510551">
      <w:bodyDiv w:val="1"/>
      <w:marLeft w:val="0"/>
      <w:marRight w:val="0"/>
      <w:marTop w:val="0"/>
      <w:marBottom w:val="0"/>
      <w:divBdr>
        <w:top w:val="none" w:sz="0" w:space="0" w:color="auto"/>
        <w:left w:val="none" w:sz="0" w:space="0" w:color="auto"/>
        <w:bottom w:val="none" w:sz="0" w:space="0" w:color="auto"/>
        <w:right w:val="none" w:sz="0" w:space="0" w:color="auto"/>
      </w:divBdr>
      <w:divsChild>
        <w:div w:id="506867576">
          <w:marLeft w:val="0"/>
          <w:marRight w:val="0"/>
          <w:marTop w:val="0"/>
          <w:marBottom w:val="0"/>
          <w:divBdr>
            <w:top w:val="none" w:sz="0" w:space="0" w:color="auto"/>
            <w:left w:val="none" w:sz="0" w:space="0" w:color="auto"/>
            <w:bottom w:val="none" w:sz="0" w:space="0" w:color="auto"/>
            <w:right w:val="none" w:sz="0" w:space="0" w:color="auto"/>
          </w:divBdr>
        </w:div>
      </w:divsChild>
    </w:div>
    <w:div w:id="482817487">
      <w:bodyDiv w:val="1"/>
      <w:marLeft w:val="0"/>
      <w:marRight w:val="0"/>
      <w:marTop w:val="0"/>
      <w:marBottom w:val="0"/>
      <w:divBdr>
        <w:top w:val="none" w:sz="0" w:space="0" w:color="auto"/>
        <w:left w:val="none" w:sz="0" w:space="0" w:color="auto"/>
        <w:bottom w:val="none" w:sz="0" w:space="0" w:color="auto"/>
        <w:right w:val="none" w:sz="0" w:space="0" w:color="auto"/>
      </w:divBdr>
      <w:divsChild>
        <w:div w:id="1879198756">
          <w:marLeft w:val="0"/>
          <w:marRight w:val="0"/>
          <w:marTop w:val="0"/>
          <w:marBottom w:val="0"/>
          <w:divBdr>
            <w:top w:val="none" w:sz="0" w:space="0" w:color="auto"/>
            <w:left w:val="none" w:sz="0" w:space="0" w:color="auto"/>
            <w:bottom w:val="none" w:sz="0" w:space="0" w:color="auto"/>
            <w:right w:val="none" w:sz="0" w:space="0" w:color="auto"/>
          </w:divBdr>
        </w:div>
      </w:divsChild>
    </w:div>
    <w:div w:id="1006902084">
      <w:bodyDiv w:val="1"/>
      <w:marLeft w:val="0"/>
      <w:marRight w:val="0"/>
      <w:marTop w:val="0"/>
      <w:marBottom w:val="0"/>
      <w:divBdr>
        <w:top w:val="none" w:sz="0" w:space="0" w:color="auto"/>
        <w:left w:val="none" w:sz="0" w:space="0" w:color="auto"/>
        <w:bottom w:val="none" w:sz="0" w:space="0" w:color="auto"/>
        <w:right w:val="none" w:sz="0" w:space="0" w:color="auto"/>
      </w:divBdr>
    </w:div>
    <w:div w:id="1089808214">
      <w:bodyDiv w:val="1"/>
      <w:marLeft w:val="0"/>
      <w:marRight w:val="0"/>
      <w:marTop w:val="0"/>
      <w:marBottom w:val="0"/>
      <w:divBdr>
        <w:top w:val="none" w:sz="0" w:space="0" w:color="auto"/>
        <w:left w:val="none" w:sz="0" w:space="0" w:color="auto"/>
        <w:bottom w:val="none" w:sz="0" w:space="0" w:color="auto"/>
        <w:right w:val="none" w:sz="0" w:space="0" w:color="auto"/>
      </w:divBdr>
    </w:div>
    <w:div w:id="1931624568">
      <w:bodyDiv w:val="1"/>
      <w:marLeft w:val="0"/>
      <w:marRight w:val="0"/>
      <w:marTop w:val="0"/>
      <w:marBottom w:val="0"/>
      <w:divBdr>
        <w:top w:val="none" w:sz="0" w:space="0" w:color="auto"/>
        <w:left w:val="none" w:sz="0" w:space="0" w:color="auto"/>
        <w:bottom w:val="none" w:sz="0" w:space="0" w:color="auto"/>
        <w:right w:val="none" w:sz="0" w:space="0" w:color="auto"/>
      </w:divBdr>
    </w:div>
    <w:div w:id="1971784386">
      <w:bodyDiv w:val="1"/>
      <w:marLeft w:val="0"/>
      <w:marRight w:val="0"/>
      <w:marTop w:val="0"/>
      <w:marBottom w:val="0"/>
      <w:divBdr>
        <w:top w:val="none" w:sz="0" w:space="0" w:color="auto"/>
        <w:left w:val="none" w:sz="0" w:space="0" w:color="auto"/>
        <w:bottom w:val="none" w:sz="0" w:space="0" w:color="auto"/>
        <w:right w:val="none" w:sz="0" w:space="0" w:color="auto"/>
      </w:divBdr>
    </w:div>
    <w:div w:id="1984315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duniq.pt/reduniq-insigh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duniq.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03F9EB7AF8249A5621BC0F5EB4822" ma:contentTypeVersion="7" ma:contentTypeDescription="Create a new document." ma:contentTypeScope="" ma:versionID="7abb6b6621986a72429715487ac013e9">
  <xsd:schema xmlns:xsd="http://www.w3.org/2001/XMLSchema" xmlns:xs="http://www.w3.org/2001/XMLSchema" xmlns:p="http://schemas.microsoft.com/office/2006/metadata/properties" xmlns:ns2="22fd6428-680e-44a5-a04b-6b8417e31569" targetNamespace="http://schemas.microsoft.com/office/2006/metadata/properties" ma:root="true" ma:fieldsID="299aa5b9276073223ffc2dd580005381" ns2:_="">
    <xsd:import namespace="22fd6428-680e-44a5-a04b-6b8417e315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d6428-680e-44a5-a04b-6b8417e31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A81523-CA40-4A15-AB69-C97B4C58A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fd6428-680e-44a5-a04b-6b8417e3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5FA2A-6952-49FF-BA63-CCF8F021047C}">
  <ds:schemaRefs>
    <ds:schemaRef ds:uri="http://schemas.openxmlformats.org/officeDocument/2006/bibliography"/>
  </ds:schemaRefs>
</ds:datastoreItem>
</file>

<file path=customXml/itemProps3.xml><?xml version="1.0" encoding="utf-8"?>
<ds:datastoreItem xmlns:ds="http://schemas.openxmlformats.org/officeDocument/2006/customXml" ds:itemID="{3E934FFC-436A-4625-9FF8-6AFA435804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F3392D-CCF1-4F40-885C-29871C1B6D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2798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Inês Saltão</dc:creator>
  <cp:lastModifiedBy>Fábio Duarte</cp:lastModifiedBy>
  <cp:revision>3</cp:revision>
  <dcterms:created xsi:type="dcterms:W3CDTF">2021-04-22T09:43:00Z</dcterms:created>
  <dcterms:modified xsi:type="dcterms:W3CDTF">2021-04-22T13:29:00Z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0x010100CD603F9EB7AF8249A5621BC0F5EB4822</vt:lpwstr>
  </property>
</Properties>
</file>