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BAEF" w14:textId="288F711F" w:rsidR="00211C34" w:rsidRDefault="00211C34" w:rsidP="00ED3428">
      <w:pPr>
        <w:spacing w:before="240" w:after="240"/>
        <w:jc w:val="right"/>
        <w:rPr>
          <w:b/>
          <w:sz w:val="26"/>
          <w:szCs w:val="26"/>
        </w:rPr>
      </w:pPr>
    </w:p>
    <w:p w14:paraId="2059672D" w14:textId="77777777" w:rsidR="00ED3428" w:rsidRPr="00EA4F0E" w:rsidRDefault="00ED3428" w:rsidP="00ED3428">
      <w:pPr>
        <w:spacing w:before="240" w:after="240" w:line="240" w:lineRule="auto"/>
        <w:jc w:val="right"/>
        <w:rPr>
          <w:rFonts w:asciiTheme="majorHAnsi" w:hAnsiTheme="majorHAnsi" w:cstheme="majorHAnsi"/>
          <w:b/>
          <w:lang w:val="pt-PT"/>
        </w:rPr>
      </w:pPr>
      <w:r w:rsidRPr="00EA4F0E">
        <w:rPr>
          <w:rFonts w:asciiTheme="majorHAnsi" w:hAnsiTheme="majorHAnsi" w:cstheme="majorHAnsi"/>
          <w:b/>
          <w:lang w:val="pt-PT"/>
        </w:rPr>
        <w:t>Comunicado de Imprensa</w:t>
      </w:r>
    </w:p>
    <w:p w14:paraId="1C36EFBF" w14:textId="05896588" w:rsidR="003931CF" w:rsidRPr="003931CF" w:rsidRDefault="00ED3428" w:rsidP="003931CF">
      <w:pPr>
        <w:spacing w:before="240" w:after="240" w:line="240" w:lineRule="auto"/>
        <w:jc w:val="right"/>
        <w:rPr>
          <w:rFonts w:asciiTheme="majorHAnsi" w:hAnsiTheme="majorHAnsi" w:cstheme="majorHAnsi"/>
          <w:bCs/>
          <w:lang w:val="pt-PT"/>
        </w:rPr>
      </w:pPr>
      <w:r w:rsidRPr="00EA4F0E">
        <w:rPr>
          <w:rFonts w:asciiTheme="majorHAnsi" w:hAnsiTheme="majorHAnsi" w:cstheme="majorHAnsi"/>
          <w:bCs/>
          <w:lang w:val="pt-PT"/>
        </w:rPr>
        <w:t>Julho 2021</w:t>
      </w:r>
    </w:p>
    <w:p w14:paraId="21132CC1" w14:textId="780773AB" w:rsidR="00D07785" w:rsidRPr="003931CF" w:rsidRDefault="00211C34" w:rsidP="003931CF">
      <w:pPr>
        <w:spacing w:before="240" w:after="240"/>
        <w:jc w:val="center"/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</w:pPr>
      <w:r w:rsidRPr="00D07785">
        <w:rPr>
          <w:rFonts w:asciiTheme="majorHAnsi" w:eastAsia="Times New Roman" w:hAnsiTheme="majorHAnsi" w:cstheme="majorHAnsi"/>
          <w:b/>
          <w:bCs/>
          <w:noProof/>
          <w:color w:val="EA5B0C"/>
          <w:sz w:val="28"/>
          <w:szCs w:val="28"/>
          <w:lang w:eastAsia="pt-PT" w:bidi="ar-SA"/>
        </w:rPr>
        <w:drawing>
          <wp:anchor distT="0" distB="0" distL="114300" distR="114300" simplePos="0" relativeHeight="251659264" behindDoc="0" locked="0" layoutInCell="1" allowOverlap="1" wp14:anchorId="4DA154B5" wp14:editId="1B314FEA">
            <wp:simplePos x="0" y="0"/>
            <wp:positionH relativeFrom="margin">
              <wp:posOffset>4572000</wp:posOffset>
            </wp:positionH>
            <wp:positionV relativeFrom="margin">
              <wp:posOffset>-210185</wp:posOffset>
            </wp:positionV>
            <wp:extent cx="1834272" cy="475200"/>
            <wp:effectExtent l="0" t="0" r="0" b="0"/>
            <wp:wrapSquare wrapText="bothSides"/>
            <wp:docPr id="3" name="Image 1" descr="C:\Users\Vincent\Desktop\Relation Client\Visuels\gnx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Relation Client\Visuels\gnx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72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Generix</w:t>
      </w:r>
      <w:proofErr w:type="spellEnd"/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 Group distinguid</w:t>
      </w:r>
      <w:r w:rsidR="00D07785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a</w:t>
      </w:r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 </w:t>
      </w:r>
      <w:r w:rsidR="007A01F0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no</w:t>
      </w:r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 </w:t>
      </w:r>
      <w:bookmarkStart w:id="0" w:name="_Hlk76393589"/>
      <w:proofErr w:type="spellStart"/>
      <w:r w:rsidR="00D07785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Magic</w:t>
      </w:r>
      <w:proofErr w:type="spellEnd"/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 </w:t>
      </w:r>
      <w:proofErr w:type="spellStart"/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Quadrant</w:t>
      </w:r>
      <w:bookmarkEnd w:id="0"/>
      <w:proofErr w:type="spellEnd"/>
      <w:r w:rsidR="00D07785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 </w:t>
      </w:r>
      <w:r w:rsidR="00B90F1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2021 </w:t>
      </w:r>
      <w:r w:rsidR="00D07785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da Gartner </w:t>
      </w:r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para Sistemas de Gestão de Armazéns (WMS)</w:t>
      </w:r>
      <w:r w:rsidR="00B90F1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 xml:space="preserve">, </w:t>
      </w:r>
      <w:r w:rsidR="004F1146" w:rsidRPr="00D07785">
        <w:rPr>
          <w:rFonts w:asciiTheme="majorHAnsi" w:eastAsia="Times New Roman" w:hAnsiTheme="majorHAnsi" w:cstheme="majorHAnsi"/>
          <w:b/>
          <w:bCs/>
          <w:color w:val="EA5B0C"/>
          <w:sz w:val="28"/>
          <w:szCs w:val="28"/>
          <w:lang w:val="pt-PT" w:eastAsia="pt-PT" w:bidi="ar-SA"/>
        </w:rPr>
        <w:t>pelo 3º ano consecutivo</w:t>
      </w:r>
    </w:p>
    <w:p w14:paraId="339FDF3A" w14:textId="69042BCE" w:rsidR="004F1146" w:rsidRPr="00B90F15" w:rsidRDefault="004F1146" w:rsidP="00BD42FC">
      <w:pPr>
        <w:spacing w:before="240" w:after="240"/>
        <w:jc w:val="both"/>
        <w:rPr>
          <w:rFonts w:asciiTheme="majorHAnsi" w:hAnsiTheme="majorHAnsi" w:cstheme="majorHAnsi"/>
          <w:b/>
          <w:bCs/>
          <w:lang w:val="pt-PT"/>
        </w:rPr>
      </w:pPr>
      <w:r w:rsidRPr="00B90F15">
        <w:rPr>
          <w:rFonts w:asciiTheme="majorHAnsi" w:hAnsiTheme="majorHAnsi" w:cstheme="majorHAnsi"/>
          <w:b/>
          <w:bCs/>
          <w:lang w:val="pt-PT"/>
        </w:rPr>
        <w:t xml:space="preserve">A </w:t>
      </w:r>
      <w:proofErr w:type="spellStart"/>
      <w:r w:rsidRPr="00B90F15">
        <w:rPr>
          <w:rFonts w:asciiTheme="majorHAnsi" w:hAnsiTheme="majorHAnsi" w:cstheme="majorHAnsi"/>
          <w:b/>
          <w:bCs/>
          <w:lang w:val="pt-PT"/>
        </w:rPr>
        <w:t>Generix</w:t>
      </w:r>
      <w:proofErr w:type="spellEnd"/>
      <w:r w:rsidRPr="00B90F15">
        <w:rPr>
          <w:rFonts w:asciiTheme="majorHAnsi" w:hAnsiTheme="majorHAnsi" w:cstheme="majorHAnsi"/>
          <w:b/>
          <w:bCs/>
          <w:lang w:val="pt-PT"/>
        </w:rPr>
        <w:t xml:space="preserve"> Group, </w:t>
      </w:r>
      <w:r w:rsidR="007A01F0" w:rsidRPr="00B90F15">
        <w:rPr>
          <w:rFonts w:asciiTheme="majorHAnsi" w:hAnsiTheme="majorHAnsi" w:cstheme="majorHAnsi"/>
          <w:b/>
          <w:bCs/>
          <w:lang w:val="pt-PT"/>
        </w:rPr>
        <w:t>editor</w:t>
      </w:r>
      <w:r w:rsidRPr="00B90F15">
        <w:rPr>
          <w:rFonts w:asciiTheme="majorHAnsi" w:hAnsiTheme="majorHAnsi" w:cstheme="majorHAnsi"/>
          <w:b/>
          <w:bCs/>
          <w:lang w:val="pt-PT"/>
        </w:rPr>
        <w:t xml:space="preserve"> de soluções </w:t>
      </w:r>
      <w:r w:rsidR="00B90F15" w:rsidRPr="00B90F15">
        <w:rPr>
          <w:rFonts w:asciiTheme="majorHAnsi" w:hAnsiTheme="majorHAnsi" w:cstheme="majorHAnsi"/>
          <w:b/>
          <w:bCs/>
          <w:lang w:val="pt-PT"/>
        </w:rPr>
        <w:t xml:space="preserve">colaborativas </w:t>
      </w:r>
      <w:r w:rsidRPr="00B90F15">
        <w:rPr>
          <w:rFonts w:asciiTheme="majorHAnsi" w:hAnsiTheme="majorHAnsi" w:cstheme="majorHAnsi"/>
          <w:b/>
          <w:bCs/>
          <w:lang w:val="pt-PT"/>
        </w:rPr>
        <w:t xml:space="preserve">SaaS para </w:t>
      </w:r>
      <w:r w:rsidR="00B90F15" w:rsidRPr="00B90F15">
        <w:rPr>
          <w:rFonts w:asciiTheme="majorHAnsi" w:hAnsiTheme="majorHAnsi" w:cstheme="majorHAnsi"/>
          <w:b/>
          <w:bCs/>
          <w:lang w:val="pt-PT"/>
        </w:rPr>
        <w:t>o ecossistema da</w:t>
      </w:r>
      <w:r w:rsidR="007A01F0"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proofErr w:type="spellStart"/>
      <w:r w:rsidRPr="00B90F15">
        <w:rPr>
          <w:rFonts w:asciiTheme="majorHAnsi" w:hAnsiTheme="majorHAnsi" w:cstheme="majorHAnsi"/>
          <w:b/>
          <w:bCs/>
          <w:lang w:val="pt-PT"/>
        </w:rPr>
        <w:t>Supply</w:t>
      </w:r>
      <w:proofErr w:type="spellEnd"/>
      <w:r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proofErr w:type="spellStart"/>
      <w:r w:rsidRPr="00B90F15">
        <w:rPr>
          <w:rFonts w:asciiTheme="majorHAnsi" w:hAnsiTheme="majorHAnsi" w:cstheme="majorHAnsi"/>
          <w:b/>
          <w:bCs/>
          <w:lang w:val="pt-PT"/>
        </w:rPr>
        <w:t>Chain</w:t>
      </w:r>
      <w:proofErr w:type="spellEnd"/>
      <w:r w:rsidRPr="00B90F15">
        <w:rPr>
          <w:rFonts w:asciiTheme="majorHAnsi" w:hAnsiTheme="majorHAnsi" w:cstheme="majorHAnsi"/>
          <w:b/>
          <w:bCs/>
          <w:lang w:val="pt-PT"/>
        </w:rPr>
        <w:t xml:space="preserve">, foi </w:t>
      </w:r>
      <w:r w:rsidR="007A01F0" w:rsidRPr="00B90F15">
        <w:rPr>
          <w:rFonts w:asciiTheme="majorHAnsi" w:hAnsiTheme="majorHAnsi" w:cstheme="majorHAnsi"/>
          <w:b/>
          <w:bCs/>
          <w:lang w:val="pt-PT"/>
        </w:rPr>
        <w:t>reconhecida</w:t>
      </w:r>
      <w:r w:rsidRPr="00B90F15">
        <w:rPr>
          <w:rFonts w:asciiTheme="majorHAnsi" w:hAnsiTheme="majorHAnsi" w:cstheme="majorHAnsi"/>
          <w:b/>
          <w:bCs/>
          <w:lang w:val="pt-PT"/>
        </w:rPr>
        <w:t xml:space="preserve">, pelo 3º ano consecutivo, </w:t>
      </w:r>
      <w:r w:rsidR="00E1107E" w:rsidRPr="00B90F15">
        <w:rPr>
          <w:rFonts w:asciiTheme="majorHAnsi" w:hAnsiTheme="majorHAnsi" w:cstheme="majorHAnsi"/>
          <w:b/>
          <w:bCs/>
          <w:lang w:val="pt-PT"/>
        </w:rPr>
        <w:t>no</w:t>
      </w:r>
      <w:r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proofErr w:type="spellStart"/>
      <w:r w:rsidRPr="00B90F15">
        <w:rPr>
          <w:rFonts w:asciiTheme="majorHAnsi" w:hAnsiTheme="majorHAnsi" w:cstheme="majorHAnsi"/>
          <w:b/>
          <w:bCs/>
          <w:lang w:val="pt-PT"/>
        </w:rPr>
        <w:t>Magic</w:t>
      </w:r>
      <w:proofErr w:type="spellEnd"/>
      <w:r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proofErr w:type="spellStart"/>
      <w:r w:rsidRPr="00B90F15">
        <w:rPr>
          <w:rFonts w:asciiTheme="majorHAnsi" w:hAnsiTheme="majorHAnsi" w:cstheme="majorHAnsi"/>
          <w:b/>
          <w:bCs/>
          <w:lang w:val="pt-PT"/>
        </w:rPr>
        <w:t>Quadrant</w:t>
      </w:r>
      <w:proofErr w:type="spellEnd"/>
      <w:r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r w:rsidR="00EA4F0E" w:rsidRPr="00B90F15">
        <w:rPr>
          <w:rFonts w:asciiTheme="majorHAnsi" w:hAnsiTheme="majorHAnsi" w:cstheme="majorHAnsi"/>
          <w:b/>
          <w:bCs/>
          <w:lang w:val="pt-PT"/>
        </w:rPr>
        <w:t xml:space="preserve">2021 da Gartner </w:t>
      </w:r>
      <w:r w:rsidRPr="00B90F15">
        <w:rPr>
          <w:rFonts w:asciiTheme="majorHAnsi" w:hAnsiTheme="majorHAnsi" w:cstheme="majorHAnsi"/>
          <w:b/>
          <w:bCs/>
          <w:lang w:val="pt-PT"/>
        </w:rPr>
        <w:t>para Sistemas de Gestão de Armazéns (WMS).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r w:rsidR="00D07785" w:rsidRPr="00B90F15">
        <w:rPr>
          <w:rFonts w:asciiTheme="majorHAnsi" w:hAnsiTheme="majorHAnsi" w:cstheme="majorHAnsi"/>
          <w:b/>
          <w:bCs/>
          <w:lang w:val="pt-PT"/>
        </w:rPr>
        <w:t>As duas soluções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WMS d</w:t>
      </w:r>
      <w:r w:rsidR="00E1107E" w:rsidRPr="00B90F15">
        <w:rPr>
          <w:rFonts w:asciiTheme="majorHAnsi" w:hAnsiTheme="majorHAnsi" w:cstheme="majorHAnsi"/>
          <w:b/>
          <w:bCs/>
          <w:lang w:val="pt-PT"/>
        </w:rPr>
        <w:t>esenvolvidas pela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proofErr w:type="spellStart"/>
      <w:r w:rsidR="0082471A" w:rsidRPr="00B90F15">
        <w:rPr>
          <w:rFonts w:asciiTheme="majorHAnsi" w:hAnsiTheme="majorHAnsi" w:cstheme="majorHAnsi"/>
          <w:b/>
          <w:bCs/>
          <w:lang w:val="pt-PT"/>
        </w:rPr>
        <w:t>Generix</w:t>
      </w:r>
      <w:proofErr w:type="spellEnd"/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Group</w:t>
      </w:r>
      <w:r w:rsidR="00E1107E"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foram </w:t>
      </w:r>
      <w:r w:rsidR="000F780C" w:rsidRPr="00B90F15">
        <w:rPr>
          <w:rFonts w:asciiTheme="majorHAnsi" w:hAnsiTheme="majorHAnsi" w:cstheme="majorHAnsi"/>
          <w:b/>
          <w:bCs/>
          <w:lang w:val="pt-PT"/>
        </w:rPr>
        <w:t>distinguidas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no </w:t>
      </w:r>
      <w:r w:rsidR="007B2724" w:rsidRPr="00B90F15">
        <w:rPr>
          <w:rFonts w:asciiTheme="majorHAnsi" w:hAnsiTheme="majorHAnsi" w:cstheme="majorHAnsi"/>
          <w:b/>
          <w:bCs/>
          <w:lang w:val="pt-PT"/>
        </w:rPr>
        <w:t xml:space="preserve">reconhecido 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>relatório</w:t>
      </w:r>
      <w:r w:rsidR="000F780C" w:rsidRPr="00B90F15">
        <w:rPr>
          <w:rFonts w:asciiTheme="majorHAnsi" w:hAnsiTheme="majorHAnsi" w:cstheme="majorHAnsi"/>
          <w:b/>
          <w:bCs/>
          <w:lang w:val="pt-PT"/>
        </w:rPr>
        <w:t xml:space="preserve"> da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Gartner, com base n</w:t>
      </w:r>
      <w:r w:rsidR="00E1107E" w:rsidRPr="00B90F15">
        <w:rPr>
          <w:rFonts w:asciiTheme="majorHAnsi" w:hAnsiTheme="majorHAnsi" w:cstheme="majorHAnsi"/>
          <w:b/>
          <w:bCs/>
          <w:lang w:val="pt-PT"/>
        </w:rPr>
        <w:t xml:space="preserve">a experiência 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>comprovad</w:t>
      </w:r>
      <w:r w:rsidR="00E1107E" w:rsidRPr="00B90F15">
        <w:rPr>
          <w:rFonts w:asciiTheme="majorHAnsi" w:hAnsiTheme="majorHAnsi" w:cstheme="majorHAnsi"/>
          <w:b/>
          <w:bCs/>
          <w:lang w:val="pt-PT"/>
        </w:rPr>
        <w:t>a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</w:t>
      </w:r>
      <w:r w:rsidR="00B90F15" w:rsidRPr="00B90F15">
        <w:rPr>
          <w:rFonts w:asciiTheme="majorHAnsi" w:hAnsiTheme="majorHAnsi" w:cstheme="majorHAnsi"/>
          <w:b/>
          <w:bCs/>
          <w:lang w:val="pt-PT"/>
        </w:rPr>
        <w:t>na simplificação da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automatização de </w:t>
      </w:r>
      <w:r w:rsidR="00B90F15" w:rsidRPr="00B90F15">
        <w:rPr>
          <w:rFonts w:asciiTheme="majorHAnsi" w:hAnsiTheme="majorHAnsi" w:cstheme="majorHAnsi"/>
          <w:b/>
          <w:bCs/>
          <w:lang w:val="pt-PT"/>
        </w:rPr>
        <w:t>circuitos</w:t>
      </w:r>
      <w:r w:rsidR="0082471A" w:rsidRPr="00B90F15">
        <w:rPr>
          <w:rFonts w:asciiTheme="majorHAnsi" w:hAnsiTheme="majorHAnsi" w:cstheme="majorHAnsi"/>
          <w:b/>
          <w:bCs/>
          <w:lang w:val="pt-PT"/>
        </w:rPr>
        <w:t xml:space="preserve"> de distribuição internaciona</w:t>
      </w:r>
      <w:r w:rsidR="00E1107E" w:rsidRPr="00B90F15">
        <w:rPr>
          <w:rFonts w:asciiTheme="majorHAnsi" w:hAnsiTheme="majorHAnsi" w:cstheme="majorHAnsi"/>
          <w:b/>
          <w:bCs/>
          <w:lang w:val="pt-PT"/>
        </w:rPr>
        <w:t>is complexos.</w:t>
      </w:r>
    </w:p>
    <w:p w14:paraId="7A6CB109" w14:textId="5D76A41B" w:rsidR="0082471A" w:rsidRPr="00D07785" w:rsidRDefault="0082471A">
      <w:pPr>
        <w:spacing w:before="240" w:after="240"/>
        <w:jc w:val="both"/>
        <w:rPr>
          <w:rFonts w:asciiTheme="majorHAnsi" w:eastAsia="Times New Roman" w:hAnsiTheme="majorHAnsi" w:cstheme="majorHAnsi"/>
          <w:lang w:val="pt-PT" w:eastAsia="pt-PT" w:bidi="ar-SA"/>
        </w:rPr>
      </w:pPr>
      <w:r w:rsidRPr="00D07785">
        <w:rPr>
          <w:rFonts w:asciiTheme="majorHAnsi" w:eastAsia="Times New Roman" w:hAnsiTheme="majorHAnsi" w:cstheme="majorHAnsi"/>
          <w:lang w:val="pt-PT" w:eastAsia="pt-PT" w:bidi="ar-SA"/>
        </w:rPr>
        <w:t>"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Estamos convencidos de que o sucesso das nossas operações está ligado à escolha d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os nossos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parceiros, que sã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o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também ele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s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bem-sucedidos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>.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O relatório da Gartner, que posiciona </w:t>
      </w:r>
      <w:r w:rsidR="00033335"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a </w:t>
      </w:r>
      <w:proofErr w:type="spellStart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Generix</w:t>
      </w:r>
      <w:proofErr w:type="spellEnd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Group entre as melhores empresas de WMS, é um 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justo 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reconhecimento. Nos últimos 15 anos, 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escolhemos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as soluções WMS d</w:t>
      </w:r>
      <w:r w:rsidR="00033335"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a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proofErr w:type="spellStart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Generix</w:t>
      </w:r>
      <w:proofErr w:type="spellEnd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Group e 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a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experiência das suas 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equipas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para as nossas operações </w:t>
      </w:r>
      <w:proofErr w:type="spellStart"/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Supply</w:t>
      </w:r>
      <w:proofErr w:type="spellEnd"/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proofErr w:type="spellStart"/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Chain</w:t>
      </w:r>
      <w:proofErr w:type="spellEnd"/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em 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todos os nossos armazéns a nível mundial. 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Desde então,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construímos uma relação de confiança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, 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baseada n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uma dinâmica de </w:t>
      </w:r>
      <w:proofErr w:type="spellStart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co-desenvolvimento</w:t>
      </w:r>
      <w:proofErr w:type="spellEnd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e </w:t>
      </w:r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de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proofErr w:type="spellStart"/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co-inovação</w:t>
      </w:r>
      <w:proofErr w:type="spellEnd"/>
      <w:r w:rsidR="00B90F15">
        <w:rPr>
          <w:rFonts w:asciiTheme="majorHAnsi" w:eastAsia="Times New Roman" w:hAnsiTheme="majorHAnsi" w:cstheme="majorHAnsi"/>
          <w:i/>
          <w:iCs/>
          <w:lang w:val="pt-PT" w:eastAsia="pt-PT" w:bidi="ar-SA"/>
        </w:rPr>
        <w:t>,</w:t>
      </w:r>
      <w:r w:rsidRPr="00EA4F0E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para o benefício da satisfação dos nossos clientes finais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", refere </w:t>
      </w:r>
      <w:r w:rsidRP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Vincent </w:t>
      </w:r>
      <w:proofErr w:type="spellStart"/>
      <w:r w:rsidRP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>Barale</w:t>
      </w:r>
      <w:proofErr w:type="spellEnd"/>
      <w:r w:rsidRP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, Diretor </w:t>
      </w:r>
      <w:r w:rsid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de Logística e </w:t>
      </w:r>
      <w:proofErr w:type="spellStart"/>
      <w:r w:rsid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>Supply</w:t>
      </w:r>
      <w:proofErr w:type="spellEnd"/>
      <w:r w:rsid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 </w:t>
      </w:r>
      <w:proofErr w:type="spellStart"/>
      <w:r w:rsid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>Chain</w:t>
      </w:r>
      <w:proofErr w:type="spellEnd"/>
      <w:r w:rsid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 </w:t>
      </w:r>
      <w:r w:rsidRPr="00EA4F0E">
        <w:rPr>
          <w:rFonts w:asciiTheme="majorHAnsi" w:eastAsia="Times New Roman" w:hAnsiTheme="majorHAnsi" w:cstheme="majorHAnsi"/>
          <w:b/>
          <w:bCs/>
          <w:lang w:val="pt-PT" w:eastAsia="pt-PT" w:bidi="ar-SA"/>
        </w:rPr>
        <w:t>da Louis Vuitton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>.</w:t>
      </w:r>
    </w:p>
    <w:p w14:paraId="30EFF68E" w14:textId="5D0098FE" w:rsidR="0082471A" w:rsidRPr="00D07785" w:rsidRDefault="0082471A" w:rsidP="0082471A">
      <w:pPr>
        <w:spacing w:before="240" w:after="240"/>
        <w:jc w:val="both"/>
        <w:rPr>
          <w:rFonts w:asciiTheme="majorHAnsi" w:eastAsia="Times New Roman" w:hAnsiTheme="majorHAnsi" w:cstheme="majorHAnsi"/>
          <w:lang w:val="pt-PT" w:eastAsia="pt-PT" w:bidi="ar-SA"/>
        </w:rPr>
      </w:pPr>
      <w:r w:rsidRPr="00D07785">
        <w:rPr>
          <w:rFonts w:asciiTheme="majorHAnsi" w:eastAsia="Times New Roman" w:hAnsiTheme="majorHAnsi" w:cstheme="majorHAnsi"/>
          <w:lang w:val="pt-PT" w:eastAsia="pt-PT" w:bidi="ar-SA"/>
        </w:rPr>
        <w:t>Com a</w:t>
      </w:r>
      <w:r w:rsidR="00B90F15">
        <w:rPr>
          <w:rFonts w:asciiTheme="majorHAnsi" w:eastAsia="Times New Roman" w:hAnsiTheme="majorHAnsi" w:cstheme="majorHAnsi"/>
          <w:lang w:val="pt-PT" w:eastAsia="pt-PT" w:bidi="ar-SA"/>
        </w:rPr>
        <w:t>s dificuldades encontradas durante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B90F15">
        <w:rPr>
          <w:rFonts w:asciiTheme="majorHAnsi" w:eastAsia="Times New Roman" w:hAnsiTheme="majorHAnsi" w:cstheme="majorHAnsi"/>
          <w:lang w:val="pt-PT" w:eastAsia="pt-PT" w:bidi="ar-SA"/>
        </w:rPr>
        <w:t>a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B90F15">
        <w:rPr>
          <w:rFonts w:asciiTheme="majorHAnsi" w:eastAsia="Times New Roman" w:hAnsiTheme="majorHAnsi" w:cstheme="majorHAnsi"/>
          <w:lang w:val="pt-PT" w:eastAsia="pt-PT" w:bidi="ar-SA"/>
        </w:rPr>
        <w:t>crise da Covid-19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,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as </w:t>
      </w:r>
      <w:r w:rsidR="00B90F15">
        <w:rPr>
          <w:rFonts w:asciiTheme="majorHAnsi" w:eastAsia="Times New Roman" w:hAnsiTheme="majorHAnsi" w:cstheme="majorHAnsi"/>
          <w:lang w:val="pt-PT" w:eastAsia="pt-PT" w:bidi="ar-SA"/>
        </w:rPr>
        <w:t>empresas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enfrentam 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 xml:space="preserve">um ambiente incerto e expectativas cada vez maiores dos seus clientes. 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Para 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poder responder a pedidos dentro do prazo estabelecido, as</w:t>
      </w:r>
      <w:r w:rsidR="004A1667">
        <w:rPr>
          <w:rFonts w:asciiTheme="majorHAnsi" w:eastAsia="Times New Roman" w:hAnsiTheme="majorHAnsi" w:cstheme="majorHAnsi"/>
          <w:lang w:val="pt-PT" w:eastAsia="pt-PT" w:bidi="ar-SA"/>
        </w:rPr>
        <w:t xml:space="preserve"> empresas 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devem acelerar a sua transição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para um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a</w:t>
      </w:r>
      <w:r w:rsidR="00EA4F0E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proofErr w:type="spellStart"/>
      <w:r w:rsidR="00EA4F0E">
        <w:rPr>
          <w:rFonts w:asciiTheme="majorHAnsi" w:eastAsia="Times New Roman" w:hAnsiTheme="majorHAnsi" w:cstheme="majorHAnsi"/>
          <w:lang w:val="pt-PT" w:eastAsia="pt-PT" w:bidi="ar-SA"/>
        </w:rPr>
        <w:t>Supply</w:t>
      </w:r>
      <w:proofErr w:type="spellEnd"/>
      <w:r w:rsidR="00EA4F0E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proofErr w:type="spellStart"/>
      <w:r w:rsidR="00EA4F0E">
        <w:rPr>
          <w:rFonts w:asciiTheme="majorHAnsi" w:eastAsia="Times New Roman" w:hAnsiTheme="majorHAnsi" w:cstheme="majorHAnsi"/>
          <w:lang w:val="pt-PT" w:eastAsia="pt-PT" w:bidi="ar-SA"/>
        </w:rPr>
        <w:t>Chain</w:t>
      </w:r>
      <w:proofErr w:type="spellEnd"/>
      <w:r w:rsidR="00EA4F0E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digital. Isto </w:t>
      </w:r>
      <w:r w:rsidR="004A1667">
        <w:rPr>
          <w:rFonts w:asciiTheme="majorHAnsi" w:eastAsia="Times New Roman" w:hAnsiTheme="majorHAnsi" w:cstheme="majorHAnsi"/>
          <w:lang w:val="pt-PT" w:eastAsia="pt-PT" w:bidi="ar-SA"/>
        </w:rPr>
        <w:t>permit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irá</w:t>
      </w:r>
      <w:r w:rsidR="004A1667">
        <w:rPr>
          <w:rFonts w:asciiTheme="majorHAnsi" w:eastAsia="Times New Roman" w:hAnsiTheme="majorHAnsi" w:cstheme="majorHAnsi"/>
          <w:lang w:val="pt-PT" w:eastAsia="pt-PT" w:bidi="ar-SA"/>
        </w:rPr>
        <w:t xml:space="preserve"> aumentar 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a agilidade </w:t>
      </w:r>
      <w:r w:rsidR="004A1667">
        <w:rPr>
          <w:rFonts w:asciiTheme="majorHAnsi" w:eastAsia="Times New Roman" w:hAnsiTheme="majorHAnsi" w:cstheme="majorHAnsi"/>
          <w:lang w:val="pt-PT" w:eastAsia="pt-PT" w:bidi="ar-SA"/>
        </w:rPr>
        <w:t>dos negócios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>, sincroniz</w:t>
      </w:r>
      <w:r w:rsidR="004A1667">
        <w:rPr>
          <w:rFonts w:asciiTheme="majorHAnsi" w:eastAsia="Times New Roman" w:hAnsiTheme="majorHAnsi" w:cstheme="majorHAnsi"/>
          <w:lang w:val="pt-PT" w:eastAsia="pt-PT" w:bidi="ar-SA"/>
        </w:rPr>
        <w:t xml:space="preserve">ar 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>as operações de armazém e melhorar a produtividade da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s</w:t>
      </w:r>
      <w:r w:rsidR="004A1667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>cadeia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s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de </w:t>
      </w:r>
      <w:r w:rsidR="00D57FF2">
        <w:rPr>
          <w:rFonts w:asciiTheme="majorHAnsi" w:eastAsia="Times New Roman" w:hAnsiTheme="majorHAnsi" w:cstheme="majorHAnsi"/>
          <w:lang w:val="pt-PT" w:eastAsia="pt-PT" w:bidi="ar-SA"/>
        </w:rPr>
        <w:t>aprovisionamento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,</w:t>
      </w:r>
      <w:r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desde a compra até à entrega final.</w:t>
      </w:r>
    </w:p>
    <w:p w14:paraId="56BF7788" w14:textId="3C8CBD46" w:rsidR="004B75AD" w:rsidRPr="0014405E" w:rsidRDefault="00A03AF7" w:rsidP="004B75AD">
      <w:pPr>
        <w:spacing w:before="240" w:after="240"/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eastAsia="Times New Roman" w:hAnsiTheme="majorHAnsi" w:cstheme="majorHAnsi"/>
          <w:lang w:val="pt-PT" w:eastAsia="pt-PT" w:bidi="ar-SA"/>
        </w:rPr>
        <w:t>Através das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duas soluções WMS, </w:t>
      </w:r>
      <w:proofErr w:type="spellStart"/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Solochain</w:t>
      </w:r>
      <w:proofErr w:type="spellEnd"/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WMS e </w:t>
      </w:r>
      <w:proofErr w:type="spellStart"/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Generix</w:t>
      </w:r>
      <w:proofErr w:type="spellEnd"/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WMS, </w:t>
      </w:r>
      <w:r w:rsidR="00EB45BF">
        <w:rPr>
          <w:rFonts w:asciiTheme="majorHAnsi" w:eastAsia="Times New Roman" w:hAnsiTheme="majorHAnsi" w:cstheme="majorHAnsi"/>
          <w:lang w:val="pt-PT" w:eastAsia="pt-PT" w:bidi="ar-SA"/>
        </w:rPr>
        <w:t>a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proofErr w:type="spellStart"/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Generix</w:t>
      </w:r>
      <w:proofErr w:type="spellEnd"/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Group </w:t>
      </w:r>
      <w:r w:rsidR="00EB45BF">
        <w:rPr>
          <w:rFonts w:asciiTheme="majorHAnsi" w:eastAsia="Times New Roman" w:hAnsiTheme="majorHAnsi" w:cstheme="majorHAnsi"/>
          <w:lang w:val="pt-PT" w:eastAsia="pt-PT" w:bidi="ar-SA"/>
        </w:rPr>
        <w:t xml:space="preserve">disponibiliza </w:t>
      </w:r>
      <w:r>
        <w:rPr>
          <w:rFonts w:asciiTheme="majorHAnsi" w:eastAsia="Times New Roman" w:hAnsiTheme="majorHAnsi" w:cstheme="majorHAnsi"/>
          <w:lang w:val="pt-PT" w:eastAsia="pt-PT" w:bidi="ar-SA"/>
        </w:rPr>
        <w:t>uma oferta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WMS completa</w:t>
      </w:r>
      <w:r>
        <w:rPr>
          <w:rFonts w:asciiTheme="majorHAnsi" w:eastAsia="Times New Roman" w:hAnsiTheme="majorHAnsi" w:cstheme="majorHAnsi"/>
          <w:lang w:val="pt-PT" w:eastAsia="pt-PT" w:bidi="ar-SA"/>
        </w:rPr>
        <w:t xml:space="preserve"> com várias vantagens para os clientes: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>
        <w:rPr>
          <w:rFonts w:asciiTheme="majorHAnsi" w:eastAsia="Times New Roman" w:hAnsiTheme="majorHAnsi" w:cstheme="majorHAnsi"/>
          <w:lang w:val="pt-PT" w:eastAsia="pt-PT" w:bidi="ar-SA"/>
        </w:rPr>
        <w:t>melhor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visibilidade e rastreabilidade</w:t>
      </w:r>
      <w:r>
        <w:rPr>
          <w:rFonts w:asciiTheme="majorHAnsi" w:eastAsia="Times New Roman" w:hAnsiTheme="majorHAnsi" w:cstheme="majorHAnsi"/>
          <w:lang w:val="pt-PT" w:eastAsia="pt-PT" w:bidi="ar-SA"/>
        </w:rPr>
        <w:t xml:space="preserve"> da atividade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, plataformas de automa</w:t>
      </w:r>
      <w:r>
        <w:rPr>
          <w:rFonts w:asciiTheme="majorHAnsi" w:eastAsia="Times New Roman" w:hAnsiTheme="majorHAnsi" w:cstheme="majorHAnsi"/>
          <w:lang w:val="pt-PT" w:eastAsia="pt-PT" w:bidi="ar-SA"/>
        </w:rPr>
        <w:t>tiza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ção </w:t>
      </w:r>
      <w:r w:rsidR="00EA4F0E">
        <w:rPr>
          <w:rFonts w:asciiTheme="majorHAnsi" w:eastAsia="Times New Roman" w:hAnsiTheme="majorHAnsi" w:cstheme="majorHAnsi"/>
          <w:lang w:val="pt-PT" w:eastAsia="pt-PT" w:bidi="ar-SA"/>
        </w:rPr>
        <w:t>parametrizáveis</w:t>
      </w:r>
      <w:r>
        <w:rPr>
          <w:rFonts w:asciiTheme="majorHAnsi" w:eastAsia="Times New Roman" w:hAnsiTheme="majorHAnsi" w:cstheme="majorHAnsi"/>
          <w:lang w:val="pt-PT" w:eastAsia="pt-PT" w:bidi="ar-SA"/>
        </w:rPr>
        <w:t xml:space="preserve"> e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>
        <w:rPr>
          <w:rFonts w:asciiTheme="majorHAnsi" w:eastAsia="Times New Roman" w:hAnsiTheme="majorHAnsi" w:cstheme="majorHAnsi"/>
          <w:lang w:val="pt-PT" w:eastAsia="pt-PT" w:bidi="ar-SA"/>
        </w:rPr>
        <w:t>de acordo com as necessidades, e a possibilidade de implementar remotamente armazéns à distância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. A interface visual moderna e intuitiva </w:t>
      </w:r>
      <w:r>
        <w:rPr>
          <w:rFonts w:asciiTheme="majorHAnsi" w:eastAsia="Times New Roman" w:hAnsiTheme="majorHAnsi" w:cstheme="majorHAnsi"/>
          <w:lang w:val="pt-PT" w:eastAsia="pt-PT" w:bidi="ar-SA"/>
        </w:rPr>
        <w:t xml:space="preserve">permite tomar 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>decisões em tempo real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 e responder às </w:t>
      </w:r>
      <w:r w:rsidR="004B75AD" w:rsidRPr="00D07785">
        <w:rPr>
          <w:rFonts w:asciiTheme="majorHAnsi" w:eastAsia="Times New Roman" w:hAnsiTheme="majorHAnsi" w:cstheme="majorHAnsi"/>
          <w:lang w:val="pt-PT" w:eastAsia="pt-PT" w:bidi="ar-SA"/>
        </w:rPr>
        <w:t xml:space="preserve">necessidades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imediatas</w:t>
      </w:r>
      <w:r w:rsid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das</w:t>
      </w:r>
      <w:r w:rsid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empresas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,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nomeadamente as do</w:t>
      </w:r>
      <w:r w:rsidR="00B07422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setor da</w:t>
      </w:r>
      <w:r w:rsid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>indústria FMCG</w:t>
      </w:r>
      <w:r w:rsid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 w:rsidRPr="00586FAE">
        <w:rPr>
          <w:rFonts w:asciiTheme="majorHAnsi" w:hAnsiTheme="majorHAnsi" w:cstheme="majorHAnsi"/>
          <w:lang w:val="fr-FR"/>
        </w:rPr>
        <w:t xml:space="preserve">(Fast Moving Consumer </w:t>
      </w:r>
      <w:proofErr w:type="spellStart"/>
      <w:r w:rsidR="0014405E" w:rsidRPr="00586FAE">
        <w:rPr>
          <w:rFonts w:asciiTheme="majorHAnsi" w:hAnsiTheme="majorHAnsi" w:cstheme="majorHAnsi"/>
          <w:lang w:val="fr-FR"/>
        </w:rPr>
        <w:t>Goods</w:t>
      </w:r>
      <w:proofErr w:type="spellEnd"/>
      <w:r w:rsidR="0014405E" w:rsidRPr="00586FAE">
        <w:rPr>
          <w:rFonts w:asciiTheme="majorHAnsi" w:hAnsiTheme="majorHAnsi" w:cstheme="majorHAnsi"/>
          <w:lang w:val="fr-FR"/>
        </w:rPr>
        <w:t>)</w:t>
      </w:r>
      <w:r w:rsidR="0014405E" w:rsidRPr="00B13966">
        <w:rPr>
          <w:rFonts w:asciiTheme="majorHAnsi" w:hAnsiTheme="majorHAnsi" w:cstheme="majorHAnsi"/>
          <w:lang w:val="fr-FR"/>
        </w:rPr>
        <w:t xml:space="preserve"> </w:t>
      </w:r>
      <w:r w:rsidR="003C3502">
        <w:rPr>
          <w:rFonts w:asciiTheme="majorHAnsi" w:eastAsia="Times New Roman" w:hAnsiTheme="majorHAnsi" w:cstheme="majorHAnsi"/>
          <w:lang w:val="pt-PT" w:eastAsia="pt-PT" w:bidi="ar-SA"/>
        </w:rPr>
        <w:t xml:space="preserve">e 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>SMCG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 w:rsidRPr="00586FAE">
        <w:rPr>
          <w:rFonts w:asciiTheme="majorHAnsi" w:hAnsiTheme="majorHAnsi" w:cstheme="majorHAnsi"/>
          <w:lang w:val="fr-FR"/>
        </w:rPr>
        <w:t>(</w:t>
      </w:r>
      <w:r w:rsidR="0014405E">
        <w:rPr>
          <w:rFonts w:asciiTheme="majorHAnsi" w:hAnsiTheme="majorHAnsi" w:cstheme="majorHAnsi"/>
          <w:lang w:val="fr-FR"/>
        </w:rPr>
        <w:t>Slow</w:t>
      </w:r>
      <w:r w:rsidR="0014405E" w:rsidRPr="00586FAE">
        <w:rPr>
          <w:rFonts w:asciiTheme="majorHAnsi" w:hAnsiTheme="majorHAnsi" w:cstheme="majorHAnsi"/>
          <w:lang w:val="fr-FR"/>
        </w:rPr>
        <w:t xml:space="preserve"> Moving Consumer </w:t>
      </w:r>
      <w:proofErr w:type="spellStart"/>
      <w:r w:rsidR="0014405E" w:rsidRPr="00586FAE">
        <w:rPr>
          <w:rFonts w:asciiTheme="majorHAnsi" w:hAnsiTheme="majorHAnsi" w:cstheme="majorHAnsi"/>
          <w:lang w:val="fr-FR"/>
        </w:rPr>
        <w:t>Goods</w:t>
      </w:r>
      <w:proofErr w:type="spellEnd"/>
      <w:r w:rsidR="0014405E" w:rsidRPr="00586FAE">
        <w:rPr>
          <w:rFonts w:asciiTheme="majorHAnsi" w:hAnsiTheme="majorHAnsi" w:cstheme="majorHAnsi"/>
          <w:lang w:val="fr-FR"/>
        </w:rPr>
        <w:t>)</w:t>
      </w:r>
      <w:r w:rsidR="0014405E" w:rsidRPr="00B13966">
        <w:rPr>
          <w:rFonts w:asciiTheme="majorHAnsi" w:hAnsiTheme="majorHAnsi" w:cstheme="majorHAnsi"/>
          <w:lang w:val="fr-FR"/>
        </w:rPr>
        <w:t>.</w:t>
      </w:r>
      <w:r w:rsidR="0014405E">
        <w:rPr>
          <w:rFonts w:asciiTheme="majorHAnsi" w:hAnsiTheme="majorHAnsi" w:cstheme="majorHAnsi"/>
          <w:lang w:val="fr-FR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Com </w:t>
      </w:r>
      <w:r w:rsidR="0014405E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mudanças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cada vez maiores a ocorrer 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na indústria, </w:t>
      </w:r>
      <w:r w:rsidR="00DF0F99" w:rsidRPr="003C3502">
        <w:rPr>
          <w:rFonts w:asciiTheme="majorHAnsi" w:eastAsia="Times New Roman" w:hAnsiTheme="majorHAnsi" w:cstheme="majorHAnsi"/>
          <w:lang w:val="pt-PT" w:eastAsia="pt-PT" w:bidi="ar-SA"/>
        </w:rPr>
        <w:t>a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s soluções da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proofErr w:type="spellStart"/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>Generix</w:t>
      </w:r>
      <w:proofErr w:type="spellEnd"/>
      <w:r w:rsidR="00DF0F99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Group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permitem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responder 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>rapidamente</w:t>
      </w:r>
      <w:r w:rsidR="003C3502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às 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necessidades de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automatização das 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operações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em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armazém 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d</w:t>
      </w:r>
      <w:r w:rsidR="00082DCA">
        <w:rPr>
          <w:rFonts w:asciiTheme="majorHAnsi" w:eastAsia="Times New Roman" w:hAnsiTheme="majorHAnsi" w:cstheme="majorHAnsi"/>
          <w:lang w:val="pt-PT" w:eastAsia="pt-PT" w:bidi="ar-SA"/>
        </w:rPr>
        <w:t>e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 xml:space="preserve"> empresas em forte crescimento, desde o</w:t>
      </w:r>
      <w:r w:rsidR="004B75AD" w:rsidRPr="003C3502">
        <w:rPr>
          <w:rFonts w:asciiTheme="majorHAnsi" w:eastAsia="Times New Roman" w:hAnsiTheme="majorHAnsi" w:cstheme="majorHAnsi"/>
          <w:lang w:val="pt-PT" w:eastAsia="pt-PT" w:bidi="ar-SA"/>
        </w:rPr>
        <w:t xml:space="preserve"> nível 1 até ao nível 5</w:t>
      </w:r>
      <w:r w:rsidR="0014405E">
        <w:rPr>
          <w:rFonts w:asciiTheme="majorHAnsi" w:eastAsia="Times New Roman" w:hAnsiTheme="majorHAnsi" w:cstheme="majorHAnsi"/>
          <w:lang w:val="pt-PT" w:eastAsia="pt-PT" w:bidi="ar-SA"/>
        </w:rPr>
        <w:t>.</w:t>
      </w:r>
    </w:p>
    <w:p w14:paraId="0A5987DB" w14:textId="510D5488" w:rsidR="004B75AD" w:rsidRPr="00374789" w:rsidRDefault="00D80624" w:rsidP="004B75AD">
      <w:pPr>
        <w:spacing w:before="240" w:after="240"/>
        <w:jc w:val="both"/>
        <w:rPr>
          <w:rFonts w:asciiTheme="majorHAnsi" w:eastAsia="Times New Roman" w:hAnsiTheme="majorHAnsi" w:cstheme="majorHAnsi"/>
          <w:lang w:val="pt-PT" w:eastAsia="pt-PT" w:bidi="ar-SA"/>
        </w:rPr>
      </w:pPr>
      <w:r w:rsidRPr="00374789">
        <w:rPr>
          <w:rFonts w:asciiTheme="majorHAnsi" w:eastAsia="Times New Roman" w:hAnsiTheme="majorHAnsi" w:cstheme="majorHAnsi"/>
          <w:lang w:val="pt-PT" w:eastAsia="pt-PT" w:bidi="ar-SA"/>
        </w:rPr>
        <w:t>"</w:t>
      </w:r>
      <w:r w:rsidR="00082DCA">
        <w:rPr>
          <w:rFonts w:asciiTheme="majorHAnsi" w:eastAsia="Times New Roman" w:hAnsiTheme="majorHAnsi" w:cstheme="majorHAnsi"/>
          <w:lang w:val="pt-PT" w:eastAsia="pt-PT" w:bidi="ar-SA"/>
        </w:rPr>
        <w:t xml:space="preserve">Desde 2003, trabalhamos em colaboração estreita com a equipas </w:t>
      </w:r>
      <w:r w:rsidR="00082DCA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da </w:t>
      </w:r>
      <w:proofErr w:type="spellStart"/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Generix</w:t>
      </w:r>
      <w:proofErr w:type="spellEnd"/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WMS</w:t>
      </w:r>
      <w:r w:rsidR="00082DCA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, a fim de propor aos nossos clientes - empresas </w:t>
      </w:r>
      <w:r w:rsidR="00082DCA"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relevantes do setor do retalho, e-commerce e FMCG</w:t>
      </w:r>
      <w:r w:rsidR="00082DCA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, soluções de melhoria de performance operacional do armazém. 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="00082DCA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A solução </w:t>
      </w:r>
      <w:proofErr w:type="spellStart"/>
      <w:r w:rsidR="00082DCA">
        <w:rPr>
          <w:rFonts w:asciiTheme="majorHAnsi" w:eastAsia="Times New Roman" w:hAnsiTheme="majorHAnsi" w:cstheme="majorHAnsi"/>
          <w:i/>
          <w:iCs/>
          <w:lang w:val="pt-PT" w:eastAsia="pt-PT" w:bidi="ar-SA"/>
        </w:rPr>
        <w:t>Generix</w:t>
      </w:r>
      <w:proofErr w:type="spellEnd"/>
      <w:r w:rsidR="00082DCA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WMS permite-nos</w:t>
      </w:r>
      <w:r w:rsidR="00A25F07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="00910D32">
        <w:rPr>
          <w:rFonts w:asciiTheme="majorHAnsi" w:eastAsia="Times New Roman" w:hAnsiTheme="majorHAnsi" w:cstheme="majorHAnsi"/>
          <w:i/>
          <w:iCs/>
          <w:lang w:val="pt-PT" w:eastAsia="pt-PT" w:bidi="ar-SA"/>
        </w:rPr>
        <w:t>implementar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="00A25F07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muito 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rapidamente </w:t>
      </w:r>
      <w:r w:rsidR="00EA4F0E"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armazéns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tradicionais ou totalmente </w:t>
      </w:r>
      <w:r w:rsidR="00A25F07">
        <w:rPr>
          <w:rFonts w:asciiTheme="majorHAnsi" w:eastAsia="Times New Roman" w:hAnsiTheme="majorHAnsi" w:cstheme="majorHAnsi"/>
          <w:i/>
          <w:iCs/>
          <w:lang w:val="pt-PT" w:eastAsia="pt-PT" w:bidi="ar-SA"/>
        </w:rPr>
        <w:t>mecanizados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,</w:t>
      </w:r>
      <w:r w:rsidR="00EA4F0E"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Pr="00910D32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independentemente do país </w:t>
      </w:r>
      <w:r w:rsidR="00910D32">
        <w:rPr>
          <w:rFonts w:asciiTheme="majorHAnsi" w:eastAsia="Times New Roman" w:hAnsiTheme="majorHAnsi" w:cstheme="majorHAnsi"/>
          <w:i/>
          <w:iCs/>
          <w:lang w:val="pt-PT" w:eastAsia="pt-PT" w:bidi="ar-SA"/>
        </w:rPr>
        <w:lastRenderedPageBreak/>
        <w:t xml:space="preserve">em que </w:t>
      </w:r>
      <w:r w:rsidRPr="00910D32">
        <w:rPr>
          <w:rFonts w:asciiTheme="majorHAnsi" w:eastAsia="Times New Roman" w:hAnsiTheme="majorHAnsi" w:cstheme="majorHAnsi"/>
          <w:i/>
          <w:iCs/>
          <w:lang w:val="pt-PT" w:eastAsia="pt-PT" w:bidi="ar-SA"/>
        </w:rPr>
        <w:t>implementamos.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="00A25F07">
        <w:rPr>
          <w:rFonts w:asciiTheme="majorHAnsi" w:eastAsia="Times New Roman" w:hAnsiTheme="majorHAnsi" w:cstheme="majorHAnsi"/>
          <w:i/>
          <w:iCs/>
          <w:lang w:val="pt-PT" w:eastAsia="pt-PT" w:bidi="ar-SA"/>
        </w:rPr>
        <w:t>Juntos, colocaremos nos próximos dia</w:t>
      </w:r>
      <w:r w:rsidR="00EB494E">
        <w:rPr>
          <w:rFonts w:asciiTheme="majorHAnsi" w:eastAsia="Times New Roman" w:hAnsiTheme="majorHAnsi" w:cstheme="majorHAnsi"/>
          <w:i/>
          <w:iCs/>
          <w:lang w:val="pt-PT" w:eastAsia="pt-PT" w:bidi="ar-SA"/>
        </w:rPr>
        <w:t>s</w:t>
      </w:r>
      <w:r w:rsidR="00A25F07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</w:t>
      </w:r>
      <w:r w:rsidR="00BF533B"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em </w:t>
      </w:r>
      <w:r w:rsidR="005B55F9"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produção o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80º armazém </w:t>
      </w:r>
      <w:r w:rsidR="00BF533B"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gerido</w:t>
      </w:r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pela solução </w:t>
      </w:r>
      <w:proofErr w:type="spellStart"/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>Generix</w:t>
      </w:r>
      <w:proofErr w:type="spellEnd"/>
      <w:r w:rsidRPr="00BF533B">
        <w:rPr>
          <w:rFonts w:asciiTheme="majorHAnsi" w:eastAsia="Times New Roman" w:hAnsiTheme="majorHAnsi" w:cstheme="majorHAnsi"/>
          <w:i/>
          <w:iCs/>
          <w:lang w:val="pt-PT" w:eastAsia="pt-PT" w:bidi="ar-SA"/>
        </w:rPr>
        <w:t xml:space="preserve"> WMS</w:t>
      </w:r>
      <w:r w:rsidRPr="00374789">
        <w:rPr>
          <w:rFonts w:asciiTheme="majorHAnsi" w:eastAsia="Times New Roman" w:hAnsiTheme="majorHAnsi" w:cstheme="majorHAnsi"/>
          <w:lang w:val="pt-PT" w:eastAsia="pt-PT" w:bidi="ar-SA"/>
        </w:rPr>
        <w:t xml:space="preserve">", menciona </w:t>
      </w:r>
      <w:r w:rsidRPr="00BF533B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Laurent </w:t>
      </w:r>
      <w:proofErr w:type="spellStart"/>
      <w:r w:rsidRPr="00BF533B">
        <w:rPr>
          <w:rFonts w:asciiTheme="majorHAnsi" w:eastAsia="Times New Roman" w:hAnsiTheme="majorHAnsi" w:cstheme="majorHAnsi"/>
          <w:b/>
          <w:bCs/>
          <w:lang w:val="pt-PT" w:eastAsia="pt-PT" w:bidi="ar-SA"/>
        </w:rPr>
        <w:t>Condamine</w:t>
      </w:r>
      <w:proofErr w:type="spellEnd"/>
      <w:r w:rsidRPr="00BF533B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, Chief </w:t>
      </w:r>
      <w:proofErr w:type="spellStart"/>
      <w:r w:rsidRPr="00BF533B">
        <w:rPr>
          <w:rFonts w:asciiTheme="majorHAnsi" w:eastAsia="Times New Roman" w:hAnsiTheme="majorHAnsi" w:cstheme="majorHAnsi"/>
          <w:b/>
          <w:bCs/>
          <w:lang w:val="pt-PT" w:eastAsia="pt-PT" w:bidi="ar-SA"/>
        </w:rPr>
        <w:t>Information</w:t>
      </w:r>
      <w:proofErr w:type="spellEnd"/>
      <w:r w:rsidRPr="00BF533B">
        <w:rPr>
          <w:rFonts w:asciiTheme="majorHAnsi" w:eastAsia="Times New Roman" w:hAnsiTheme="majorHAnsi" w:cstheme="majorHAnsi"/>
          <w:b/>
          <w:bCs/>
          <w:lang w:val="pt-PT" w:eastAsia="pt-PT" w:bidi="ar-SA"/>
        </w:rPr>
        <w:t xml:space="preserve"> Officer da ID </w:t>
      </w:r>
      <w:proofErr w:type="spellStart"/>
      <w:r w:rsidRPr="00BF533B">
        <w:rPr>
          <w:rFonts w:asciiTheme="majorHAnsi" w:eastAsia="Times New Roman" w:hAnsiTheme="majorHAnsi" w:cstheme="majorHAnsi"/>
          <w:b/>
          <w:bCs/>
          <w:lang w:val="pt-PT" w:eastAsia="pt-PT" w:bidi="ar-SA"/>
        </w:rPr>
        <w:t>Logistics</w:t>
      </w:r>
      <w:proofErr w:type="spellEnd"/>
      <w:r w:rsidRPr="00374789">
        <w:rPr>
          <w:rFonts w:asciiTheme="majorHAnsi" w:eastAsia="Times New Roman" w:hAnsiTheme="majorHAnsi" w:cstheme="majorHAnsi"/>
          <w:lang w:val="pt-PT" w:eastAsia="pt-PT" w:bidi="ar-SA"/>
        </w:rPr>
        <w:t>.</w:t>
      </w:r>
    </w:p>
    <w:p w14:paraId="504E202F" w14:textId="115CA13F" w:rsidR="004B75AD" w:rsidRPr="00D07785" w:rsidRDefault="00171F11">
      <w:pPr>
        <w:spacing w:before="240" w:after="240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Para responder às </w:t>
      </w:r>
      <w:r w:rsidR="004B75AD" w:rsidRPr="00D07785">
        <w:rPr>
          <w:rFonts w:asciiTheme="majorHAnsi" w:hAnsiTheme="majorHAnsi" w:cstheme="majorHAnsi"/>
          <w:lang w:val="pt-PT"/>
        </w:rPr>
        <w:t xml:space="preserve">necessidades </w:t>
      </w:r>
      <w:r>
        <w:rPr>
          <w:rFonts w:asciiTheme="majorHAnsi" w:hAnsiTheme="majorHAnsi" w:cstheme="majorHAnsi"/>
          <w:lang w:val="pt-PT"/>
        </w:rPr>
        <w:t xml:space="preserve">crescentes em termos </w:t>
      </w:r>
      <w:r w:rsidR="004B75AD" w:rsidRPr="00D07785">
        <w:rPr>
          <w:rFonts w:asciiTheme="majorHAnsi" w:hAnsiTheme="majorHAnsi" w:cstheme="majorHAnsi"/>
          <w:lang w:val="pt-PT"/>
        </w:rPr>
        <w:t xml:space="preserve">de </w:t>
      </w:r>
      <w:r w:rsidR="002D59A6">
        <w:rPr>
          <w:rFonts w:asciiTheme="majorHAnsi" w:hAnsiTheme="majorHAnsi" w:cstheme="majorHAnsi"/>
          <w:lang w:val="pt-PT"/>
        </w:rPr>
        <w:t>agilidade</w:t>
      </w:r>
      <w:r w:rsidR="004B75AD" w:rsidRPr="00D07785">
        <w:rPr>
          <w:rFonts w:asciiTheme="majorHAnsi" w:hAnsiTheme="majorHAnsi" w:cstheme="majorHAnsi"/>
          <w:lang w:val="pt-PT"/>
        </w:rPr>
        <w:t xml:space="preserve"> logística, </w:t>
      </w:r>
      <w:r>
        <w:rPr>
          <w:rFonts w:asciiTheme="majorHAnsi" w:hAnsiTheme="majorHAnsi" w:cstheme="majorHAnsi"/>
          <w:lang w:val="pt-PT"/>
        </w:rPr>
        <w:t xml:space="preserve">de </w:t>
      </w:r>
      <w:r w:rsidR="004B75AD" w:rsidRPr="00D07785">
        <w:rPr>
          <w:rFonts w:asciiTheme="majorHAnsi" w:hAnsiTheme="majorHAnsi" w:cstheme="majorHAnsi"/>
          <w:lang w:val="pt-PT"/>
        </w:rPr>
        <w:t>melhor visibilidade da</w:t>
      </w:r>
      <w:r w:rsidR="00E70FCE">
        <w:rPr>
          <w:rFonts w:asciiTheme="majorHAnsi" w:hAnsiTheme="majorHAnsi" w:cstheme="majorHAnsi"/>
          <w:lang w:val="pt-PT"/>
        </w:rPr>
        <w:t xml:space="preserve"> cadeia de </w:t>
      </w:r>
      <w:r>
        <w:rPr>
          <w:rFonts w:asciiTheme="majorHAnsi" w:hAnsiTheme="majorHAnsi" w:cstheme="majorHAnsi"/>
          <w:lang w:val="pt-PT"/>
        </w:rPr>
        <w:t>abastecimento</w:t>
      </w:r>
      <w:r w:rsidR="002D59A6">
        <w:rPr>
          <w:rFonts w:asciiTheme="majorHAnsi" w:hAnsiTheme="majorHAnsi" w:cstheme="majorHAnsi"/>
          <w:lang w:val="pt-PT"/>
        </w:rPr>
        <w:t xml:space="preserve"> </w:t>
      </w:r>
      <w:r w:rsidR="004B75AD" w:rsidRPr="00D07785">
        <w:rPr>
          <w:rFonts w:asciiTheme="majorHAnsi" w:hAnsiTheme="majorHAnsi" w:cstheme="majorHAnsi"/>
          <w:lang w:val="pt-PT"/>
        </w:rPr>
        <w:t>e</w:t>
      </w:r>
      <w:r w:rsidR="002D59A6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 xml:space="preserve">de </w:t>
      </w:r>
      <w:r w:rsidR="004B75AD" w:rsidRPr="002D59A6">
        <w:rPr>
          <w:rFonts w:asciiTheme="majorHAnsi" w:hAnsiTheme="majorHAnsi" w:cstheme="majorHAnsi"/>
          <w:lang w:val="pt-PT"/>
        </w:rPr>
        <w:t xml:space="preserve">capacidade de </w:t>
      </w:r>
      <w:r>
        <w:rPr>
          <w:rFonts w:asciiTheme="majorHAnsi" w:hAnsiTheme="majorHAnsi" w:cstheme="majorHAnsi"/>
          <w:lang w:val="pt-PT"/>
        </w:rPr>
        <w:t>gestão</w:t>
      </w:r>
      <w:r w:rsidR="004B75AD" w:rsidRPr="002D59A6">
        <w:rPr>
          <w:rFonts w:asciiTheme="majorHAnsi" w:hAnsiTheme="majorHAnsi" w:cstheme="majorHAnsi"/>
          <w:lang w:val="pt-PT"/>
        </w:rPr>
        <w:t xml:space="preserve"> de fornecedores, </w:t>
      </w:r>
      <w:r w:rsidR="00E94200" w:rsidRPr="002D59A6">
        <w:rPr>
          <w:rFonts w:asciiTheme="majorHAnsi" w:hAnsiTheme="majorHAnsi" w:cstheme="majorHAnsi"/>
          <w:lang w:val="pt-PT"/>
        </w:rPr>
        <w:t>a</w:t>
      </w:r>
      <w:r>
        <w:rPr>
          <w:rFonts w:asciiTheme="majorHAnsi" w:hAnsiTheme="majorHAnsi" w:cstheme="majorHAnsi"/>
          <w:lang w:val="pt-PT"/>
        </w:rPr>
        <w:t>s soluções da</w:t>
      </w:r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proofErr w:type="spellStart"/>
      <w:r w:rsidR="004B75AD" w:rsidRPr="00D07785">
        <w:rPr>
          <w:rFonts w:asciiTheme="majorHAnsi" w:hAnsiTheme="majorHAnsi" w:cstheme="majorHAnsi"/>
          <w:lang w:val="pt-PT"/>
        </w:rPr>
        <w:t>Generix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 Group </w:t>
      </w:r>
      <w:r>
        <w:rPr>
          <w:rFonts w:asciiTheme="majorHAnsi" w:hAnsiTheme="majorHAnsi" w:cstheme="majorHAnsi"/>
          <w:lang w:val="pt-PT"/>
        </w:rPr>
        <w:t>apoiam-se n</w:t>
      </w:r>
      <w:r w:rsidR="004B75AD" w:rsidRPr="00D07785">
        <w:rPr>
          <w:rFonts w:asciiTheme="majorHAnsi" w:hAnsiTheme="majorHAnsi" w:cstheme="majorHAnsi"/>
          <w:lang w:val="pt-PT"/>
        </w:rPr>
        <w:t xml:space="preserve">uma plataforma digital única para todos os intervenientes </w:t>
      </w:r>
      <w:r w:rsidR="00E70FCE">
        <w:rPr>
          <w:rFonts w:asciiTheme="majorHAnsi" w:hAnsiTheme="majorHAnsi" w:cstheme="majorHAnsi"/>
          <w:lang w:val="pt-PT"/>
        </w:rPr>
        <w:t xml:space="preserve">da </w:t>
      </w:r>
      <w:proofErr w:type="spellStart"/>
      <w:r>
        <w:rPr>
          <w:rFonts w:asciiTheme="majorHAnsi" w:hAnsiTheme="majorHAnsi" w:cstheme="majorHAnsi"/>
          <w:lang w:val="pt-PT"/>
        </w:rPr>
        <w:t>Supply</w:t>
      </w:r>
      <w:proofErr w:type="spellEnd"/>
      <w:r>
        <w:rPr>
          <w:rFonts w:asciiTheme="majorHAnsi" w:hAnsiTheme="majorHAnsi" w:cstheme="majorHAnsi"/>
          <w:lang w:val="pt-PT"/>
        </w:rPr>
        <w:t xml:space="preserve"> </w:t>
      </w:r>
      <w:proofErr w:type="spellStart"/>
      <w:r>
        <w:rPr>
          <w:rFonts w:asciiTheme="majorHAnsi" w:hAnsiTheme="majorHAnsi" w:cstheme="majorHAnsi"/>
          <w:lang w:val="pt-PT"/>
        </w:rPr>
        <w:t>Chain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. </w:t>
      </w:r>
      <w:r w:rsidR="00E70FCE">
        <w:rPr>
          <w:rFonts w:asciiTheme="majorHAnsi" w:hAnsiTheme="majorHAnsi" w:cstheme="majorHAnsi"/>
          <w:lang w:val="pt-PT"/>
        </w:rPr>
        <w:t>A</w:t>
      </w:r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proofErr w:type="spellStart"/>
      <w:r w:rsidR="004B75AD" w:rsidRPr="00D07785">
        <w:rPr>
          <w:rFonts w:asciiTheme="majorHAnsi" w:hAnsiTheme="majorHAnsi" w:cstheme="majorHAnsi"/>
          <w:lang w:val="pt-PT"/>
        </w:rPr>
        <w:t>Generix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 Digital </w:t>
      </w:r>
      <w:proofErr w:type="spellStart"/>
      <w:r w:rsidR="004B75AD" w:rsidRPr="00D07785">
        <w:rPr>
          <w:rFonts w:asciiTheme="majorHAnsi" w:hAnsiTheme="majorHAnsi" w:cstheme="majorHAnsi"/>
          <w:lang w:val="pt-PT"/>
        </w:rPr>
        <w:t>Supply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proofErr w:type="spellStart"/>
      <w:r w:rsidR="004B75AD" w:rsidRPr="00D07785">
        <w:rPr>
          <w:rFonts w:asciiTheme="majorHAnsi" w:hAnsiTheme="majorHAnsi" w:cstheme="majorHAnsi"/>
          <w:lang w:val="pt-PT"/>
        </w:rPr>
        <w:t>Chain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proofErr w:type="spellStart"/>
      <w:r w:rsidR="004B75AD" w:rsidRPr="00D07785">
        <w:rPr>
          <w:rFonts w:asciiTheme="majorHAnsi" w:hAnsiTheme="majorHAnsi" w:cstheme="majorHAnsi"/>
          <w:lang w:val="pt-PT"/>
        </w:rPr>
        <w:t>Hub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 xml:space="preserve">permite às empresas conectarem-se com todos </w:t>
      </w:r>
      <w:r w:rsidR="004B75AD" w:rsidRPr="00D07785">
        <w:rPr>
          <w:rFonts w:asciiTheme="majorHAnsi" w:hAnsiTheme="majorHAnsi" w:cstheme="majorHAnsi"/>
          <w:lang w:val="pt-PT"/>
        </w:rPr>
        <w:t xml:space="preserve">os </w:t>
      </w:r>
      <w:proofErr w:type="spellStart"/>
      <w:r w:rsidR="00E70FCE">
        <w:rPr>
          <w:rFonts w:asciiTheme="majorHAnsi" w:hAnsiTheme="majorHAnsi" w:cstheme="majorHAnsi"/>
          <w:lang w:val="pt-PT"/>
        </w:rPr>
        <w:t>stakeholders</w:t>
      </w:r>
      <w:proofErr w:type="spellEnd"/>
      <w:r w:rsidR="004B75AD" w:rsidRPr="00D07785">
        <w:rPr>
          <w:rFonts w:asciiTheme="majorHAnsi" w:hAnsiTheme="majorHAnsi" w:cstheme="majorHAnsi"/>
          <w:lang w:val="pt-PT"/>
        </w:rPr>
        <w:t xml:space="preserve"> para que, em conjunto, </w:t>
      </w:r>
      <w:r>
        <w:rPr>
          <w:rFonts w:asciiTheme="majorHAnsi" w:hAnsiTheme="majorHAnsi" w:cstheme="majorHAnsi"/>
          <w:lang w:val="pt-PT"/>
        </w:rPr>
        <w:t>melhorem</w:t>
      </w:r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r w:rsidR="00DE58C9">
        <w:rPr>
          <w:rFonts w:asciiTheme="majorHAnsi" w:hAnsiTheme="majorHAnsi" w:cstheme="majorHAnsi"/>
          <w:lang w:val="pt-PT"/>
        </w:rPr>
        <w:t>a eficiência dos f</w:t>
      </w:r>
      <w:r w:rsidR="004B75AD" w:rsidRPr="00D07785">
        <w:rPr>
          <w:rFonts w:asciiTheme="majorHAnsi" w:hAnsiTheme="majorHAnsi" w:cstheme="majorHAnsi"/>
          <w:lang w:val="pt-PT"/>
        </w:rPr>
        <w:t>luxos físicos</w:t>
      </w:r>
      <w:r>
        <w:rPr>
          <w:rFonts w:asciiTheme="majorHAnsi" w:hAnsiTheme="majorHAnsi" w:cstheme="majorHAnsi"/>
          <w:lang w:val="pt-PT"/>
        </w:rPr>
        <w:t xml:space="preserve"> e </w:t>
      </w:r>
      <w:r w:rsidR="00DE58C9">
        <w:rPr>
          <w:rFonts w:asciiTheme="majorHAnsi" w:hAnsiTheme="majorHAnsi" w:cstheme="majorHAnsi"/>
          <w:lang w:val="pt-PT"/>
        </w:rPr>
        <w:t>a digitalização</w:t>
      </w:r>
      <w:r>
        <w:rPr>
          <w:rFonts w:asciiTheme="majorHAnsi" w:hAnsiTheme="majorHAnsi" w:cstheme="majorHAnsi"/>
          <w:lang w:val="pt-PT"/>
        </w:rPr>
        <w:t>, o que</w:t>
      </w:r>
      <w:r w:rsidR="004B75AD" w:rsidRPr="00D07785">
        <w:rPr>
          <w:rFonts w:asciiTheme="majorHAnsi" w:hAnsiTheme="majorHAnsi" w:cstheme="majorHAnsi"/>
          <w:lang w:val="pt-PT"/>
        </w:rPr>
        <w:t xml:space="preserve"> </w:t>
      </w:r>
      <w:r w:rsidR="00DE58C9">
        <w:rPr>
          <w:rFonts w:asciiTheme="majorHAnsi" w:hAnsiTheme="majorHAnsi" w:cstheme="majorHAnsi"/>
          <w:lang w:val="pt-PT"/>
        </w:rPr>
        <w:t>possibilita</w:t>
      </w:r>
      <w:r w:rsidR="004B75AD" w:rsidRPr="00D07785">
        <w:rPr>
          <w:rFonts w:asciiTheme="majorHAnsi" w:hAnsiTheme="majorHAnsi" w:cstheme="majorHAnsi"/>
          <w:lang w:val="pt-PT"/>
        </w:rPr>
        <w:t xml:space="preserve"> a cooperação</w:t>
      </w:r>
      <w:r>
        <w:rPr>
          <w:rFonts w:asciiTheme="majorHAnsi" w:hAnsiTheme="majorHAnsi" w:cstheme="majorHAnsi"/>
          <w:lang w:val="pt-PT"/>
        </w:rPr>
        <w:t xml:space="preserve"> eficiente</w:t>
      </w:r>
      <w:r w:rsidR="004B75AD" w:rsidRPr="00D07785">
        <w:rPr>
          <w:rFonts w:asciiTheme="majorHAnsi" w:hAnsiTheme="majorHAnsi" w:cstheme="majorHAnsi"/>
          <w:lang w:val="pt-PT"/>
        </w:rPr>
        <w:t xml:space="preserve"> entre todos </w:t>
      </w:r>
      <w:r>
        <w:rPr>
          <w:rFonts w:asciiTheme="majorHAnsi" w:hAnsiTheme="majorHAnsi" w:cstheme="majorHAnsi"/>
          <w:lang w:val="pt-PT"/>
        </w:rPr>
        <w:t xml:space="preserve">os </w:t>
      </w:r>
      <w:proofErr w:type="spellStart"/>
      <w:r>
        <w:rPr>
          <w:rFonts w:asciiTheme="majorHAnsi" w:hAnsiTheme="majorHAnsi" w:cstheme="majorHAnsi"/>
          <w:lang w:val="pt-PT"/>
        </w:rPr>
        <w:t>stakeholders</w:t>
      </w:r>
      <w:proofErr w:type="spellEnd"/>
      <w:r>
        <w:rPr>
          <w:rFonts w:asciiTheme="majorHAnsi" w:hAnsiTheme="majorHAnsi" w:cstheme="majorHAnsi"/>
          <w:lang w:val="pt-PT"/>
        </w:rPr>
        <w:t xml:space="preserve"> </w:t>
      </w:r>
      <w:r w:rsidR="004B75AD" w:rsidRPr="00D07785">
        <w:rPr>
          <w:rFonts w:asciiTheme="majorHAnsi" w:hAnsiTheme="majorHAnsi" w:cstheme="majorHAnsi"/>
          <w:lang w:val="pt-PT"/>
        </w:rPr>
        <w:t>envolvid</w:t>
      </w:r>
      <w:r>
        <w:rPr>
          <w:rFonts w:asciiTheme="majorHAnsi" w:hAnsiTheme="majorHAnsi" w:cstheme="majorHAnsi"/>
          <w:lang w:val="pt-PT"/>
        </w:rPr>
        <w:t>o</w:t>
      </w:r>
      <w:r w:rsidR="004B75AD" w:rsidRPr="00D07785">
        <w:rPr>
          <w:rFonts w:asciiTheme="majorHAnsi" w:hAnsiTheme="majorHAnsi" w:cstheme="majorHAnsi"/>
          <w:lang w:val="pt-PT"/>
        </w:rPr>
        <w:t xml:space="preserve">s na circulação de bens e serviços </w:t>
      </w:r>
      <w:r w:rsidR="002D59A6">
        <w:rPr>
          <w:rFonts w:asciiTheme="majorHAnsi" w:hAnsiTheme="majorHAnsi" w:cstheme="majorHAnsi"/>
          <w:lang w:val="pt-PT"/>
        </w:rPr>
        <w:t>d</w:t>
      </w:r>
      <w:r w:rsidR="004B75AD" w:rsidRPr="00D07785">
        <w:rPr>
          <w:rFonts w:asciiTheme="majorHAnsi" w:hAnsiTheme="majorHAnsi" w:cstheme="majorHAnsi"/>
          <w:lang w:val="pt-PT"/>
        </w:rPr>
        <w:t>o seu ecossistema.</w:t>
      </w:r>
    </w:p>
    <w:p w14:paraId="0FF8E814" w14:textId="0E766788" w:rsidR="004B75AD" w:rsidRPr="003931CF" w:rsidRDefault="004B75AD">
      <w:pPr>
        <w:spacing w:before="240" w:after="240"/>
        <w:jc w:val="both"/>
        <w:rPr>
          <w:rFonts w:asciiTheme="majorHAnsi" w:hAnsiTheme="majorHAnsi" w:cstheme="majorHAnsi"/>
          <w:b/>
          <w:bCs/>
          <w:lang w:val="pt-PT"/>
        </w:rPr>
      </w:pPr>
      <w:r w:rsidRPr="002D59A6">
        <w:rPr>
          <w:rFonts w:asciiTheme="majorHAnsi" w:hAnsiTheme="majorHAnsi" w:cstheme="majorHAnsi"/>
          <w:lang w:val="pt-PT"/>
        </w:rPr>
        <w:t>"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Acreditamos que o relatório da Gartner </w:t>
      </w:r>
      <w:r w:rsidR="00171F11">
        <w:rPr>
          <w:rFonts w:asciiTheme="majorHAnsi" w:hAnsiTheme="majorHAnsi" w:cstheme="majorHAnsi"/>
          <w:i/>
          <w:iCs/>
          <w:lang w:val="pt-PT"/>
        </w:rPr>
        <w:t xml:space="preserve">confirma a importância </w:t>
      </w:r>
      <w:r w:rsidR="00915860">
        <w:rPr>
          <w:rFonts w:asciiTheme="majorHAnsi" w:hAnsiTheme="majorHAnsi" w:cstheme="majorHAnsi"/>
          <w:i/>
          <w:iCs/>
          <w:lang w:val="pt-PT"/>
        </w:rPr>
        <w:t>d</w:t>
      </w:r>
      <w:r w:rsidR="001561FB" w:rsidRPr="002D59A6">
        <w:rPr>
          <w:rFonts w:asciiTheme="majorHAnsi" w:hAnsiTheme="majorHAnsi" w:cstheme="majorHAnsi"/>
          <w:i/>
          <w:iCs/>
          <w:lang w:val="pt-PT"/>
        </w:rPr>
        <w:t>a nossa aposta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</w:t>
      </w:r>
      <w:r w:rsidR="007953DE" w:rsidRPr="002D59A6">
        <w:rPr>
          <w:rFonts w:asciiTheme="majorHAnsi" w:hAnsiTheme="majorHAnsi" w:cstheme="majorHAnsi"/>
          <w:i/>
          <w:iCs/>
          <w:lang w:val="pt-PT"/>
        </w:rPr>
        <w:t>de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investimento nas </w:t>
      </w:r>
      <w:r w:rsidR="00E70FCE" w:rsidRPr="002D59A6">
        <w:rPr>
          <w:rFonts w:asciiTheme="majorHAnsi" w:hAnsiTheme="majorHAnsi" w:cstheme="majorHAnsi"/>
          <w:i/>
          <w:iCs/>
          <w:lang w:val="pt-PT"/>
        </w:rPr>
        <w:t>mais recentes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inovações e</w:t>
      </w:r>
      <w:r w:rsidR="00915860">
        <w:rPr>
          <w:rFonts w:asciiTheme="majorHAnsi" w:hAnsiTheme="majorHAnsi" w:cstheme="majorHAnsi"/>
          <w:i/>
          <w:iCs/>
          <w:lang w:val="pt-PT"/>
        </w:rPr>
        <w:t xml:space="preserve"> qualidade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de serviço ao cliente, </w:t>
      </w:r>
      <w:r w:rsidR="00915860">
        <w:rPr>
          <w:rFonts w:asciiTheme="majorHAnsi" w:hAnsiTheme="majorHAnsi" w:cstheme="majorHAnsi"/>
          <w:i/>
          <w:iCs/>
          <w:lang w:val="pt-PT"/>
        </w:rPr>
        <w:t xml:space="preserve">a fim de reforçar 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o 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>padrão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de excelência no mercado d</w:t>
      </w:r>
      <w:r w:rsidR="00915860">
        <w:rPr>
          <w:rFonts w:asciiTheme="majorHAnsi" w:hAnsiTheme="majorHAnsi" w:cstheme="majorHAnsi"/>
          <w:i/>
          <w:iCs/>
          <w:lang w:val="pt-PT"/>
        </w:rPr>
        <w:t>as soluções</w:t>
      </w:r>
      <w:r w:rsidR="00E70FCE" w:rsidRPr="002D59A6">
        <w:rPr>
          <w:rFonts w:asciiTheme="majorHAnsi" w:hAnsiTheme="majorHAnsi" w:cstheme="majorHAnsi"/>
          <w:i/>
          <w:iCs/>
          <w:lang w:val="pt-PT"/>
        </w:rPr>
        <w:t xml:space="preserve"> WMS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. Este reconhecimento 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 xml:space="preserve">é um testemunho 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do nosso compromisso em </w:t>
      </w:r>
      <w:r w:rsidR="00915860">
        <w:rPr>
          <w:rFonts w:asciiTheme="majorHAnsi" w:hAnsiTheme="majorHAnsi" w:cstheme="majorHAnsi"/>
          <w:i/>
          <w:iCs/>
          <w:lang w:val="pt-PT"/>
        </w:rPr>
        <w:t>acompanhar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as empresas 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>na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transformação digital da </w:t>
      </w:r>
      <w:proofErr w:type="spellStart"/>
      <w:r w:rsidR="003931CF" w:rsidRPr="002D59A6">
        <w:rPr>
          <w:rFonts w:asciiTheme="majorHAnsi" w:hAnsiTheme="majorHAnsi" w:cstheme="majorHAnsi"/>
          <w:i/>
          <w:iCs/>
          <w:lang w:val="pt-PT"/>
        </w:rPr>
        <w:t>Supply</w:t>
      </w:r>
      <w:proofErr w:type="spellEnd"/>
      <w:r w:rsidR="003931CF" w:rsidRPr="002D59A6">
        <w:rPr>
          <w:rFonts w:asciiTheme="majorHAnsi" w:hAnsiTheme="majorHAnsi" w:cstheme="majorHAnsi"/>
          <w:i/>
          <w:iCs/>
          <w:lang w:val="pt-PT"/>
        </w:rPr>
        <w:t xml:space="preserve"> </w:t>
      </w:r>
      <w:proofErr w:type="spellStart"/>
      <w:r w:rsidR="003931CF" w:rsidRPr="002D59A6">
        <w:rPr>
          <w:rFonts w:asciiTheme="majorHAnsi" w:hAnsiTheme="majorHAnsi" w:cstheme="majorHAnsi"/>
          <w:i/>
          <w:iCs/>
          <w:lang w:val="pt-PT"/>
        </w:rPr>
        <w:t>Chain</w:t>
      </w:r>
      <w:proofErr w:type="spellEnd"/>
      <w:r w:rsidRPr="002D59A6">
        <w:rPr>
          <w:rFonts w:asciiTheme="majorHAnsi" w:hAnsiTheme="majorHAnsi" w:cstheme="majorHAnsi"/>
          <w:i/>
          <w:iCs/>
          <w:lang w:val="pt-PT"/>
        </w:rPr>
        <w:t xml:space="preserve">, ao mesmo tempo que </w:t>
      </w:r>
      <w:r w:rsidR="007953DE" w:rsidRPr="002D59A6">
        <w:rPr>
          <w:rFonts w:asciiTheme="majorHAnsi" w:hAnsiTheme="majorHAnsi" w:cstheme="majorHAnsi"/>
          <w:i/>
          <w:iCs/>
          <w:lang w:val="pt-PT"/>
        </w:rPr>
        <w:t>disponibilizamos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a nossa experiência</w:t>
      </w:r>
      <w:r w:rsidR="00915860">
        <w:rPr>
          <w:rFonts w:asciiTheme="majorHAnsi" w:hAnsiTheme="majorHAnsi" w:cstheme="majorHAnsi"/>
          <w:i/>
          <w:iCs/>
          <w:lang w:val="pt-PT"/>
        </w:rPr>
        <w:t xml:space="preserve"> 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e </w:t>
      </w:r>
      <w:r w:rsidR="003931CF" w:rsidRPr="002D59A6">
        <w:rPr>
          <w:rFonts w:asciiTheme="majorHAnsi" w:hAnsiTheme="majorHAnsi" w:cstheme="majorHAnsi"/>
          <w:i/>
          <w:iCs/>
          <w:lang w:val="pt-PT"/>
        </w:rPr>
        <w:t>suporte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para que </w:t>
      </w:r>
      <w:r w:rsidR="00915860">
        <w:rPr>
          <w:rFonts w:asciiTheme="majorHAnsi" w:hAnsiTheme="majorHAnsi" w:cstheme="majorHAnsi"/>
          <w:i/>
          <w:iCs/>
          <w:lang w:val="pt-PT"/>
        </w:rPr>
        <w:t>possam prosperar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, 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>especialmente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durante períodos de mudança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>s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>grandes</w:t>
      </w:r>
      <w:r w:rsidRPr="002D59A6">
        <w:rPr>
          <w:rFonts w:asciiTheme="majorHAnsi" w:hAnsiTheme="majorHAnsi" w:cstheme="majorHAnsi"/>
          <w:i/>
          <w:iCs/>
          <w:lang w:val="pt-PT"/>
        </w:rPr>
        <w:t xml:space="preserve"> e </w:t>
      </w:r>
      <w:r w:rsidR="002D59A6" w:rsidRPr="002D59A6">
        <w:rPr>
          <w:rFonts w:asciiTheme="majorHAnsi" w:hAnsiTheme="majorHAnsi" w:cstheme="majorHAnsi"/>
          <w:i/>
          <w:iCs/>
          <w:lang w:val="pt-PT"/>
        </w:rPr>
        <w:t>impactantes</w:t>
      </w:r>
      <w:r w:rsidRPr="002D59A6">
        <w:rPr>
          <w:rFonts w:asciiTheme="majorHAnsi" w:hAnsiTheme="majorHAnsi" w:cstheme="majorHAnsi"/>
          <w:lang w:val="pt-PT"/>
        </w:rPr>
        <w:t xml:space="preserve">", conclui </w:t>
      </w:r>
      <w:r w:rsidRPr="002D59A6">
        <w:rPr>
          <w:rFonts w:asciiTheme="majorHAnsi" w:hAnsiTheme="majorHAnsi" w:cstheme="majorHAnsi"/>
          <w:b/>
          <w:bCs/>
          <w:lang w:val="pt-PT"/>
        </w:rPr>
        <w:t xml:space="preserve">Jean-Charles </w:t>
      </w:r>
      <w:proofErr w:type="spellStart"/>
      <w:r w:rsidRPr="002D59A6">
        <w:rPr>
          <w:rFonts w:asciiTheme="majorHAnsi" w:hAnsiTheme="majorHAnsi" w:cstheme="majorHAnsi"/>
          <w:b/>
          <w:bCs/>
          <w:lang w:val="pt-PT"/>
        </w:rPr>
        <w:t>Deconninck</w:t>
      </w:r>
      <w:proofErr w:type="spellEnd"/>
      <w:r w:rsidRPr="002D59A6">
        <w:rPr>
          <w:rFonts w:asciiTheme="majorHAnsi" w:hAnsiTheme="majorHAnsi" w:cstheme="majorHAnsi"/>
          <w:b/>
          <w:bCs/>
          <w:lang w:val="pt-PT"/>
        </w:rPr>
        <w:t>, Presidente d</w:t>
      </w:r>
      <w:r w:rsidR="007953DE" w:rsidRPr="002D59A6">
        <w:rPr>
          <w:rFonts w:asciiTheme="majorHAnsi" w:hAnsiTheme="majorHAnsi" w:cstheme="majorHAnsi"/>
          <w:b/>
          <w:bCs/>
          <w:lang w:val="pt-PT"/>
        </w:rPr>
        <w:t>a</w:t>
      </w:r>
      <w:r w:rsidRPr="002D59A6">
        <w:rPr>
          <w:rFonts w:asciiTheme="majorHAnsi" w:hAnsiTheme="majorHAnsi" w:cstheme="majorHAnsi"/>
          <w:b/>
          <w:bCs/>
          <w:lang w:val="pt-PT"/>
        </w:rPr>
        <w:t xml:space="preserve"> </w:t>
      </w:r>
      <w:proofErr w:type="spellStart"/>
      <w:r w:rsidRPr="002D59A6">
        <w:rPr>
          <w:rFonts w:asciiTheme="majorHAnsi" w:hAnsiTheme="majorHAnsi" w:cstheme="majorHAnsi"/>
          <w:b/>
          <w:bCs/>
          <w:lang w:val="pt-PT"/>
        </w:rPr>
        <w:t>Generix</w:t>
      </w:r>
      <w:proofErr w:type="spellEnd"/>
      <w:r w:rsidRPr="002D59A6">
        <w:rPr>
          <w:rFonts w:asciiTheme="majorHAnsi" w:hAnsiTheme="majorHAnsi" w:cstheme="majorHAnsi"/>
          <w:b/>
          <w:bCs/>
          <w:lang w:val="pt-PT"/>
        </w:rPr>
        <w:t xml:space="preserve"> Group.</w:t>
      </w:r>
    </w:p>
    <w:p w14:paraId="00000007" w14:textId="07AB8A65" w:rsidR="00E770B2" w:rsidRPr="00D07785" w:rsidRDefault="004B75AD">
      <w:pPr>
        <w:spacing w:before="240" w:after="240"/>
        <w:jc w:val="both"/>
        <w:rPr>
          <w:rFonts w:asciiTheme="majorHAnsi" w:hAnsiTheme="majorHAnsi" w:cstheme="majorHAnsi"/>
          <w:u w:val="single"/>
          <w:lang w:val="pt-PT"/>
        </w:rPr>
      </w:pPr>
      <w:r w:rsidRPr="00D07785">
        <w:rPr>
          <w:rFonts w:asciiTheme="majorHAnsi" w:hAnsiTheme="majorHAnsi" w:cstheme="majorHAnsi"/>
          <w:lang w:val="pt-PT"/>
        </w:rPr>
        <w:t>Pode aceder ao relatório complet</w:t>
      </w:r>
      <w:r w:rsidR="00E45063">
        <w:rPr>
          <w:rFonts w:asciiTheme="majorHAnsi" w:hAnsiTheme="majorHAnsi" w:cstheme="majorHAnsi"/>
          <w:lang w:val="pt-PT"/>
        </w:rPr>
        <w:t>o</w:t>
      </w:r>
      <w:r w:rsidRPr="00D07785">
        <w:rPr>
          <w:rFonts w:asciiTheme="majorHAnsi" w:hAnsiTheme="majorHAnsi" w:cstheme="majorHAnsi"/>
          <w:lang w:val="pt-PT"/>
        </w:rPr>
        <w:t xml:space="preserve"> da Gartner </w:t>
      </w:r>
      <w:hyperlink r:id="rId8" w:history="1">
        <w:r w:rsidR="00C93719" w:rsidRPr="00C93719">
          <w:rPr>
            <w:rStyle w:val="Hiperligao"/>
            <w:rFonts w:asciiTheme="majorHAnsi" w:hAnsiTheme="majorHAnsi" w:cstheme="majorHAnsi"/>
            <w:b/>
            <w:bCs/>
            <w:lang w:val="pt-PT"/>
          </w:rPr>
          <w:t>aqui</w:t>
        </w:r>
      </w:hyperlink>
      <w:r w:rsidR="00C93719" w:rsidRPr="00C93719">
        <w:rPr>
          <w:rFonts w:asciiTheme="majorHAnsi" w:hAnsiTheme="majorHAnsi" w:cstheme="majorHAnsi"/>
          <w:lang w:val="pt-PT"/>
        </w:rPr>
        <w:t xml:space="preserve"> </w:t>
      </w:r>
      <w:r w:rsidR="00915860" w:rsidRPr="00C93719">
        <w:rPr>
          <w:rFonts w:asciiTheme="majorHAnsi" w:hAnsiTheme="majorHAnsi" w:cstheme="majorHAnsi"/>
          <w:lang w:val="pt-PT"/>
        </w:rPr>
        <w:t>(versão em inglês)</w:t>
      </w:r>
      <w:r w:rsidR="00C93719">
        <w:rPr>
          <w:rFonts w:asciiTheme="majorHAnsi" w:hAnsiTheme="majorHAnsi" w:cstheme="majorHAnsi"/>
          <w:lang w:val="pt-PT"/>
        </w:rPr>
        <w:t>.</w:t>
      </w:r>
    </w:p>
    <w:p w14:paraId="51DCE8C8" w14:textId="16EAE906" w:rsidR="00A43B87" w:rsidRPr="00D07785" w:rsidRDefault="00D07785" w:rsidP="003B5C0B">
      <w:pPr>
        <w:spacing w:before="240" w:line="240" w:lineRule="auto"/>
        <w:jc w:val="both"/>
        <w:rPr>
          <w:rFonts w:asciiTheme="majorHAnsi" w:hAnsiTheme="majorHAnsi" w:cstheme="majorHAnsi"/>
          <w:u w:val="single"/>
        </w:rPr>
      </w:pPr>
      <w:proofErr w:type="spellStart"/>
      <w:r w:rsidRPr="00D07785">
        <w:rPr>
          <w:rFonts w:asciiTheme="majorHAnsi" w:hAnsiTheme="majorHAnsi" w:cstheme="majorHAnsi"/>
          <w:u w:val="single"/>
        </w:rPr>
        <w:t>Relatório</w:t>
      </w:r>
      <w:proofErr w:type="spellEnd"/>
      <w:r w:rsidRPr="00D07785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D07785">
        <w:rPr>
          <w:rFonts w:asciiTheme="majorHAnsi" w:hAnsiTheme="majorHAnsi" w:cstheme="majorHAnsi"/>
          <w:u w:val="single"/>
        </w:rPr>
        <w:t>atribuído</w:t>
      </w:r>
      <w:proofErr w:type="spellEnd"/>
      <w:r w:rsidRPr="00D07785">
        <w:rPr>
          <w:rFonts w:asciiTheme="majorHAnsi" w:hAnsiTheme="majorHAnsi" w:cstheme="majorHAnsi"/>
          <w:u w:val="single"/>
        </w:rPr>
        <w:t xml:space="preserve"> a</w:t>
      </w:r>
      <w:r w:rsidR="00A43B87" w:rsidRPr="00D07785">
        <w:rPr>
          <w:rFonts w:asciiTheme="majorHAnsi" w:hAnsiTheme="majorHAnsi" w:cstheme="majorHAnsi"/>
          <w:u w:val="single"/>
        </w:rPr>
        <w:t>:</w:t>
      </w:r>
    </w:p>
    <w:p w14:paraId="39C0DB2C" w14:textId="77777777" w:rsidR="003B5C0B" w:rsidRPr="00D07785" w:rsidRDefault="00A43B87" w:rsidP="003B5C0B">
      <w:pPr>
        <w:spacing w:line="240" w:lineRule="auto"/>
        <w:jc w:val="both"/>
        <w:rPr>
          <w:rFonts w:asciiTheme="majorHAnsi" w:hAnsiTheme="majorHAnsi" w:cstheme="majorHAnsi"/>
        </w:rPr>
      </w:pPr>
      <w:r w:rsidRPr="00D07785">
        <w:rPr>
          <w:rFonts w:asciiTheme="majorHAnsi" w:hAnsiTheme="majorHAnsi" w:cstheme="majorHAnsi"/>
        </w:rPr>
        <w:t>2021 Gartner, Magic Quadrant for Warehouse Management Systems, By </w:t>
      </w:r>
      <w:hyperlink r:id="rId9" w:history="1">
        <w:r w:rsidRPr="00D07785">
          <w:rPr>
            <w:rStyle w:val="Hiperligao"/>
            <w:rFonts w:asciiTheme="majorHAnsi" w:hAnsiTheme="majorHAnsi" w:cstheme="majorHAnsi"/>
          </w:rPr>
          <w:t>Simon Tunstall</w:t>
        </w:r>
      </w:hyperlink>
      <w:r w:rsidRPr="00D07785">
        <w:rPr>
          <w:rFonts w:asciiTheme="majorHAnsi" w:hAnsiTheme="majorHAnsi" w:cstheme="majorHAnsi"/>
        </w:rPr>
        <w:t>, </w:t>
      </w:r>
      <w:hyperlink r:id="rId10" w:history="1">
        <w:r w:rsidRPr="00D07785">
          <w:rPr>
            <w:rStyle w:val="Hiperligao"/>
            <w:rFonts w:asciiTheme="majorHAnsi" w:hAnsiTheme="majorHAnsi" w:cstheme="majorHAnsi"/>
          </w:rPr>
          <w:t xml:space="preserve">Dwight </w:t>
        </w:r>
        <w:proofErr w:type="spellStart"/>
        <w:r w:rsidRPr="00D07785">
          <w:rPr>
            <w:rStyle w:val="Hiperligao"/>
            <w:rFonts w:asciiTheme="majorHAnsi" w:hAnsiTheme="majorHAnsi" w:cstheme="majorHAnsi"/>
          </w:rPr>
          <w:t>Klappich</w:t>
        </w:r>
        <w:proofErr w:type="spellEnd"/>
      </w:hyperlink>
      <w:r w:rsidRPr="00D07785">
        <w:rPr>
          <w:rFonts w:asciiTheme="majorHAnsi" w:hAnsiTheme="majorHAnsi" w:cstheme="majorHAnsi"/>
        </w:rPr>
        <w:t>.</w:t>
      </w:r>
      <w:r w:rsidR="003B5C0B" w:rsidRPr="00D07785">
        <w:rPr>
          <w:rFonts w:asciiTheme="majorHAnsi" w:hAnsiTheme="majorHAnsi" w:cstheme="majorHAnsi"/>
        </w:rPr>
        <w:t xml:space="preserve"> </w:t>
      </w:r>
    </w:p>
    <w:p w14:paraId="39FC1067" w14:textId="0A5ABD78" w:rsidR="003B5C0B" w:rsidRPr="00EA4F0E" w:rsidRDefault="001A2E10" w:rsidP="003B5C0B">
      <w:pPr>
        <w:spacing w:line="24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Publicado a</w:t>
      </w:r>
      <w:r w:rsidR="00A43B87" w:rsidRPr="00EA4F0E">
        <w:rPr>
          <w:rFonts w:asciiTheme="majorHAnsi" w:hAnsiTheme="majorHAnsi" w:cstheme="majorHAnsi"/>
          <w:lang w:val="pt-PT"/>
        </w:rPr>
        <w:t xml:space="preserve"> 30 </w:t>
      </w:r>
      <w:r>
        <w:rPr>
          <w:rFonts w:asciiTheme="majorHAnsi" w:hAnsiTheme="majorHAnsi" w:cstheme="majorHAnsi"/>
          <w:lang w:val="pt-PT"/>
        </w:rPr>
        <w:t>de junho,</w:t>
      </w:r>
      <w:r w:rsidR="00A43B87" w:rsidRPr="00EA4F0E">
        <w:rPr>
          <w:rFonts w:asciiTheme="majorHAnsi" w:hAnsiTheme="majorHAnsi" w:cstheme="majorHAnsi"/>
          <w:lang w:val="pt-PT"/>
        </w:rPr>
        <w:t xml:space="preserve"> 2021 </w:t>
      </w:r>
    </w:p>
    <w:p w14:paraId="64EA248F" w14:textId="4093F69C" w:rsidR="003931CF" w:rsidRPr="003931CF" w:rsidRDefault="003931CF">
      <w:pPr>
        <w:spacing w:before="240" w:after="240"/>
        <w:jc w:val="both"/>
        <w:rPr>
          <w:rFonts w:asciiTheme="majorHAnsi" w:hAnsiTheme="majorHAnsi" w:cstheme="majorHAnsi"/>
          <w:i/>
          <w:iCs/>
          <w:sz w:val="18"/>
          <w:szCs w:val="18"/>
          <w:lang w:val="pt-PT"/>
        </w:rPr>
      </w:pPr>
      <w:proofErr w:type="spellStart"/>
      <w:r w:rsidRPr="003931CF">
        <w:rPr>
          <w:rFonts w:asciiTheme="majorHAnsi" w:hAnsiTheme="majorHAnsi" w:cstheme="majorHAnsi"/>
          <w:i/>
          <w:iCs/>
          <w:sz w:val="18"/>
          <w:szCs w:val="18"/>
          <w:lang w:val="pt-PT"/>
        </w:rPr>
        <w:t>Disclaimer</w:t>
      </w:r>
      <w:proofErr w:type="spellEnd"/>
      <w:r w:rsidRPr="003931CF">
        <w:rPr>
          <w:rFonts w:asciiTheme="majorHAnsi" w:hAnsiTheme="majorHAnsi" w:cstheme="majorHAnsi"/>
          <w:i/>
          <w:iCs/>
          <w:sz w:val="18"/>
          <w:szCs w:val="18"/>
          <w:lang w:val="pt-PT"/>
        </w:rPr>
        <w:t xml:space="preserve">: </w:t>
      </w:r>
      <w:r w:rsidR="00D07785" w:rsidRPr="003931CF">
        <w:rPr>
          <w:rFonts w:asciiTheme="majorHAnsi" w:hAnsiTheme="majorHAnsi" w:cstheme="majorHAnsi"/>
          <w:i/>
          <w:iCs/>
          <w:sz w:val="18"/>
          <w:szCs w:val="18"/>
          <w:lang w:val="pt-PT"/>
        </w:rPr>
        <w:t>A Gartner não promove nenhum fornecedor, produto ou serviço descrito nas suas publicações de pesquisa, e não aconselha os utilizadores de tecnologia a selecionar apenas os fornecedores com as classificações mais altas ou outras designações. As publicações de pesquisa consistem em opiniões da organização de pesquisa da Gartner e não devem ser interpretadas como declarações de facto. A Gartner isenta-se de todas as garantias, expressas ou implícitas, relacionadas com esta pesquisa, incluindo quaisquer garantias de comercialização ou adequação a uma finalidade específica</w:t>
      </w:r>
      <w:r w:rsidRPr="003931CF">
        <w:rPr>
          <w:rFonts w:asciiTheme="majorHAnsi" w:hAnsiTheme="majorHAnsi" w:cstheme="majorHAnsi"/>
          <w:i/>
          <w:iCs/>
          <w:sz w:val="18"/>
          <w:szCs w:val="18"/>
          <w:lang w:val="pt-PT"/>
        </w:rPr>
        <w:t>.</w:t>
      </w:r>
    </w:p>
    <w:p w14:paraId="734FD559" w14:textId="62294933" w:rsidR="00D07785" w:rsidRPr="003931CF" w:rsidRDefault="00D07785">
      <w:pPr>
        <w:spacing w:before="240" w:after="240"/>
        <w:jc w:val="both"/>
        <w:rPr>
          <w:rFonts w:ascii="Calibri" w:hAnsi="Calibri" w:cs="Calibri"/>
          <w:b/>
          <w:bCs/>
          <w:color w:val="F79646" w:themeColor="accent6"/>
          <w:sz w:val="18"/>
          <w:szCs w:val="18"/>
          <w:u w:val="single"/>
          <w:lang w:val="pt-PT"/>
        </w:rPr>
      </w:pPr>
      <w:r w:rsidRPr="003931CF">
        <w:rPr>
          <w:rFonts w:ascii="Calibri" w:hAnsi="Calibri" w:cs="Calibri"/>
          <w:b/>
          <w:bCs/>
          <w:color w:val="F79646" w:themeColor="accent6"/>
          <w:sz w:val="18"/>
          <w:szCs w:val="18"/>
          <w:u w:val="single"/>
          <w:lang w:val="pt-PT"/>
        </w:rPr>
        <w:t xml:space="preserve">Sobre a </w:t>
      </w:r>
      <w:proofErr w:type="spellStart"/>
      <w:r w:rsidRPr="003931CF">
        <w:rPr>
          <w:rFonts w:ascii="Calibri" w:hAnsi="Calibri" w:cs="Calibri"/>
          <w:b/>
          <w:bCs/>
          <w:color w:val="F79646" w:themeColor="accent6"/>
          <w:sz w:val="18"/>
          <w:szCs w:val="18"/>
          <w:u w:val="single"/>
          <w:lang w:val="pt-PT"/>
        </w:rPr>
        <w:t>Generix</w:t>
      </w:r>
      <w:proofErr w:type="spellEnd"/>
      <w:r w:rsidRPr="003931CF">
        <w:rPr>
          <w:rFonts w:ascii="Calibri" w:hAnsi="Calibri" w:cs="Calibri"/>
          <w:b/>
          <w:bCs/>
          <w:color w:val="F79646" w:themeColor="accent6"/>
          <w:sz w:val="18"/>
          <w:szCs w:val="18"/>
          <w:u w:val="single"/>
          <w:lang w:val="pt-PT"/>
        </w:rPr>
        <w:t xml:space="preserve"> Group</w:t>
      </w:r>
    </w:p>
    <w:p w14:paraId="28A73537" w14:textId="5028E85C" w:rsidR="00D07785" w:rsidRPr="003931CF" w:rsidRDefault="00D07785">
      <w:pPr>
        <w:spacing w:before="240" w:after="240"/>
        <w:jc w:val="both"/>
        <w:rPr>
          <w:rFonts w:ascii="Calibri" w:hAnsi="Calibri" w:cs="Calibri"/>
          <w:sz w:val="18"/>
          <w:szCs w:val="18"/>
          <w:lang w:val="pt-PT"/>
        </w:rPr>
      </w:pPr>
      <w:r w:rsidRPr="003931CF">
        <w:rPr>
          <w:rFonts w:ascii="Calibri" w:hAnsi="Calibri" w:cs="Calibri"/>
          <w:sz w:val="18"/>
          <w:szCs w:val="18"/>
          <w:lang w:val="pt-PT"/>
        </w:rPr>
        <w:t xml:space="preserve"> 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Generix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Group, empresa especialista na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Supply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Chain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Colaborativa, está presente em 60 países, através das suas filiais e rede de parceiros. As suas soluções SaaS são utilizadas por mais de 6 000 empresas no mundo. Os 750 colaboradores do grupo apoiam diariamente clientes como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Auchan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, Carrefour, Danone, FM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Logistic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,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FnacDarty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, GEODIS, L’Oréal, Luís Simões, Nestlé, Sogrape, entre outros, na transformação digital da sua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Supply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Chain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. A sua plataforma colaborativa,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Generix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Supply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Chain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Hub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, ajuda as empresas 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a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realizar o compromisso logístico aos seus clientes. Combina as capacidades de execução dos fluxos físicos, de desmaterialização dos fluxos de informação, de gestão colaborativa dos processos e de conexão das empresas ao ecossistema dos seus parceiros, em tempo real. 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Generix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Supply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Chain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Hub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destina-se a todos os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players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da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Supply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proofErr w:type="spellStart"/>
      <w:proofErr w:type="gramStart"/>
      <w:r w:rsidRPr="003931CF">
        <w:rPr>
          <w:rFonts w:ascii="Calibri" w:hAnsi="Calibri" w:cs="Calibri"/>
          <w:sz w:val="18"/>
          <w:szCs w:val="18"/>
          <w:lang w:val="pt-PT"/>
        </w:rPr>
        <w:t>Chain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:</w:t>
      </w:r>
      <w:proofErr w:type="gramEnd"/>
      <w:r w:rsidRPr="003931CF">
        <w:rPr>
          <w:rFonts w:ascii="Calibri" w:hAnsi="Calibri" w:cs="Calibri"/>
          <w:sz w:val="18"/>
          <w:szCs w:val="18"/>
          <w:lang w:val="pt-PT"/>
        </w:rPr>
        <w:t xml:space="preserve"> industriais, operadores logísticos (3PL/4PL) e distribuidores. </w:t>
      </w:r>
    </w:p>
    <w:p w14:paraId="12F033CF" w14:textId="076887A8" w:rsidR="00C33DA6" w:rsidRPr="003931CF" w:rsidRDefault="00D07785" w:rsidP="00D07785">
      <w:pPr>
        <w:spacing w:before="240" w:after="240"/>
        <w:jc w:val="both"/>
        <w:rPr>
          <w:rFonts w:ascii="Calibri" w:hAnsi="Calibri" w:cs="Calibri"/>
          <w:sz w:val="18"/>
          <w:szCs w:val="18"/>
          <w:lang w:val="pt-PT"/>
        </w:rPr>
      </w:pPr>
      <w:r w:rsidRPr="003931CF">
        <w:rPr>
          <w:rFonts w:ascii="Calibri" w:hAnsi="Calibri" w:cs="Calibri"/>
          <w:sz w:val="18"/>
          <w:szCs w:val="18"/>
          <w:lang w:val="pt-PT"/>
        </w:rPr>
        <w:t xml:space="preserve">Criada em França em 1990, a empresa é cotada na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Euronext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Paris, </w:t>
      </w:r>
      <w:proofErr w:type="spellStart"/>
      <w:r w:rsidRPr="003931CF">
        <w:rPr>
          <w:rFonts w:ascii="Calibri" w:hAnsi="Calibri" w:cs="Calibri"/>
          <w:sz w:val="18"/>
          <w:szCs w:val="18"/>
          <w:lang w:val="pt-PT"/>
        </w:rPr>
        <w:t>compartiment</w:t>
      </w:r>
      <w:proofErr w:type="spellEnd"/>
      <w:r w:rsidRPr="003931CF">
        <w:rPr>
          <w:rFonts w:ascii="Calibri" w:hAnsi="Calibri" w:cs="Calibri"/>
          <w:sz w:val="18"/>
          <w:szCs w:val="18"/>
          <w:lang w:val="pt-PT"/>
        </w:rPr>
        <w:t xml:space="preserve"> C (</w:t>
      </w:r>
      <w:proofErr w:type="gramStart"/>
      <w:r w:rsidRPr="003931CF">
        <w:rPr>
          <w:rFonts w:ascii="Calibri" w:hAnsi="Calibri" w:cs="Calibri"/>
          <w:sz w:val="18"/>
          <w:szCs w:val="18"/>
          <w:lang w:val="pt-PT"/>
        </w:rPr>
        <w:t>ISIN :</w:t>
      </w:r>
      <w:proofErr w:type="gramEnd"/>
      <w:r w:rsidRPr="003931CF">
        <w:rPr>
          <w:rFonts w:ascii="Calibri" w:hAnsi="Calibri" w:cs="Calibri"/>
          <w:sz w:val="18"/>
          <w:szCs w:val="18"/>
          <w:lang w:val="pt-PT"/>
        </w:rPr>
        <w:t xml:space="preserve"> FR0010501692). Para saber mais </w:t>
      </w:r>
      <w:proofErr w:type="gramStart"/>
      <w:r w:rsidRPr="003931CF">
        <w:rPr>
          <w:rFonts w:ascii="Calibri" w:hAnsi="Calibri" w:cs="Calibri"/>
          <w:sz w:val="18"/>
          <w:szCs w:val="18"/>
          <w:lang w:val="pt-PT"/>
        </w:rPr>
        <w:t>viste :</w:t>
      </w:r>
      <w:proofErr w:type="gramEnd"/>
      <w:r w:rsidRPr="003931CF">
        <w:rPr>
          <w:rFonts w:ascii="Calibri" w:hAnsi="Calibri" w:cs="Calibri"/>
          <w:sz w:val="18"/>
          <w:szCs w:val="18"/>
          <w:lang w:val="pt-PT"/>
        </w:rPr>
        <w:t xml:space="preserve"> </w:t>
      </w:r>
      <w:hyperlink r:id="rId11" w:history="1">
        <w:r w:rsidRPr="003931CF">
          <w:rPr>
            <w:rStyle w:val="Hiperligao"/>
            <w:rFonts w:ascii="Calibri" w:hAnsi="Calibri" w:cs="Calibri"/>
            <w:sz w:val="18"/>
            <w:szCs w:val="18"/>
            <w:lang w:val="pt-PT"/>
          </w:rPr>
          <w:t>www.generixgroup.com/pt</w:t>
        </w:r>
      </w:hyperlink>
    </w:p>
    <w:p w14:paraId="7A33DE66" w14:textId="6DF50592" w:rsidR="00C33DA6" w:rsidRPr="003931CF" w:rsidRDefault="00C33DA6" w:rsidP="00C33DA6">
      <w:pPr>
        <w:spacing w:before="240" w:after="240"/>
        <w:rPr>
          <w:rFonts w:asciiTheme="majorHAnsi" w:hAnsiTheme="majorHAnsi" w:cstheme="majorHAnsi"/>
          <w:b/>
          <w:bCs/>
          <w:color w:val="F79646" w:themeColor="accent6"/>
          <w:sz w:val="18"/>
          <w:szCs w:val="18"/>
          <w:u w:val="single"/>
          <w:lang w:val="pt-PT"/>
        </w:rPr>
      </w:pPr>
      <w:r w:rsidRPr="003931CF">
        <w:rPr>
          <w:rFonts w:asciiTheme="majorHAnsi" w:hAnsiTheme="majorHAnsi" w:cstheme="majorHAnsi"/>
          <w:b/>
          <w:bCs/>
          <w:color w:val="F79646" w:themeColor="accent6"/>
          <w:sz w:val="18"/>
          <w:szCs w:val="18"/>
          <w:u w:val="single"/>
          <w:lang w:val="pt-PT"/>
        </w:rPr>
        <w:t>Contactos de Imprensa:</w:t>
      </w:r>
    </w:p>
    <w:p w14:paraId="00000011" w14:textId="7D70DDAC" w:rsidR="00E770B2" w:rsidRPr="003931CF" w:rsidRDefault="00C33DA6" w:rsidP="003931CF">
      <w:pPr>
        <w:spacing w:before="240" w:after="240"/>
        <w:rPr>
          <w:rFonts w:asciiTheme="majorHAnsi" w:hAnsiTheme="majorHAnsi" w:cstheme="majorHAnsi"/>
          <w:sz w:val="18"/>
          <w:szCs w:val="18"/>
          <w:lang w:val="pt-PT"/>
        </w:rPr>
      </w:pPr>
      <w:proofErr w:type="spellStart"/>
      <w:r w:rsidRPr="003931CF">
        <w:rPr>
          <w:rFonts w:asciiTheme="majorHAnsi" w:hAnsiTheme="majorHAnsi" w:cstheme="majorHAnsi"/>
          <w:b/>
          <w:bCs/>
          <w:sz w:val="18"/>
          <w:szCs w:val="18"/>
          <w:lang w:val="pt-PT"/>
        </w:rPr>
        <w:t>Generix</w:t>
      </w:r>
      <w:proofErr w:type="spellEnd"/>
      <w:r w:rsidRPr="003931CF">
        <w:rPr>
          <w:rFonts w:asciiTheme="majorHAnsi" w:hAnsiTheme="majorHAnsi" w:cstheme="majorHAnsi"/>
          <w:b/>
          <w:bCs/>
          <w:sz w:val="18"/>
          <w:szCs w:val="18"/>
          <w:lang w:val="pt-PT"/>
        </w:rPr>
        <w:t xml:space="preserve"> Group - Mónica Conceição</w:t>
      </w:r>
      <w:r w:rsidRPr="003931CF">
        <w:rPr>
          <w:rFonts w:asciiTheme="majorHAnsi" w:hAnsiTheme="majorHAnsi" w:cstheme="majorHAnsi"/>
          <w:sz w:val="18"/>
          <w:szCs w:val="18"/>
          <w:lang w:val="pt-PT"/>
        </w:rPr>
        <w:t xml:space="preserve"> - mconceicao@generixgroup.com +351 91 585 15 03</w:t>
      </w:r>
      <w:r w:rsidR="003931CF">
        <w:rPr>
          <w:rFonts w:asciiTheme="majorHAnsi" w:hAnsiTheme="majorHAnsi" w:cstheme="majorHAnsi"/>
          <w:sz w:val="18"/>
          <w:szCs w:val="18"/>
          <w:lang w:val="pt-PT"/>
        </w:rPr>
        <w:br/>
      </w:r>
      <w:r w:rsidRPr="003931CF">
        <w:rPr>
          <w:rFonts w:asciiTheme="majorHAnsi" w:hAnsiTheme="majorHAnsi" w:cstheme="majorHAnsi"/>
          <w:b/>
          <w:bCs/>
          <w:sz w:val="18"/>
          <w:szCs w:val="18"/>
          <w:lang w:val="pt-PT"/>
        </w:rPr>
        <w:t>Lift Consulting - Hugo Costa</w:t>
      </w:r>
      <w:r w:rsidRPr="003931CF">
        <w:rPr>
          <w:rFonts w:asciiTheme="majorHAnsi" w:hAnsiTheme="majorHAnsi" w:cstheme="majorHAnsi"/>
          <w:sz w:val="18"/>
          <w:szCs w:val="18"/>
          <w:lang w:val="pt-PT"/>
        </w:rPr>
        <w:t xml:space="preserve"> - Hugo.costa@lift.com.pt</w:t>
      </w:r>
    </w:p>
    <w:sectPr w:rsidR="00E770B2" w:rsidRPr="003931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2D82" w14:textId="77777777" w:rsidR="00357087" w:rsidRDefault="00357087" w:rsidP="00997873">
      <w:pPr>
        <w:spacing w:line="240" w:lineRule="auto"/>
      </w:pPr>
      <w:r>
        <w:separator/>
      </w:r>
    </w:p>
  </w:endnote>
  <w:endnote w:type="continuationSeparator" w:id="0">
    <w:p w14:paraId="4E2207D6" w14:textId="77777777" w:rsidR="00357087" w:rsidRDefault="00357087" w:rsidP="0099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3CB6" w14:textId="77777777" w:rsidR="00357087" w:rsidRDefault="00357087" w:rsidP="00997873">
      <w:pPr>
        <w:spacing w:line="240" w:lineRule="auto"/>
      </w:pPr>
      <w:r>
        <w:separator/>
      </w:r>
    </w:p>
  </w:footnote>
  <w:footnote w:type="continuationSeparator" w:id="0">
    <w:p w14:paraId="5F67C77D" w14:textId="77777777" w:rsidR="00357087" w:rsidRDefault="00357087" w:rsidP="009978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B2"/>
    <w:rsid w:val="00033335"/>
    <w:rsid w:val="00082DCA"/>
    <w:rsid w:val="000D18AE"/>
    <w:rsid w:val="000F780C"/>
    <w:rsid w:val="0014405E"/>
    <w:rsid w:val="001561FB"/>
    <w:rsid w:val="00171F11"/>
    <w:rsid w:val="001A2E10"/>
    <w:rsid w:val="00211C34"/>
    <w:rsid w:val="00284B59"/>
    <w:rsid w:val="002D59A6"/>
    <w:rsid w:val="002E51AA"/>
    <w:rsid w:val="00357087"/>
    <w:rsid w:val="00374789"/>
    <w:rsid w:val="00391621"/>
    <w:rsid w:val="003931CF"/>
    <w:rsid w:val="003B05CE"/>
    <w:rsid w:val="003B5C0B"/>
    <w:rsid w:val="003C3502"/>
    <w:rsid w:val="003D1533"/>
    <w:rsid w:val="00465F5A"/>
    <w:rsid w:val="004A1667"/>
    <w:rsid w:val="004B75AD"/>
    <w:rsid w:val="004D0814"/>
    <w:rsid w:val="004D43AF"/>
    <w:rsid w:val="004F1146"/>
    <w:rsid w:val="004F371C"/>
    <w:rsid w:val="0057515C"/>
    <w:rsid w:val="005B55F9"/>
    <w:rsid w:val="005E2AA9"/>
    <w:rsid w:val="00602367"/>
    <w:rsid w:val="00635999"/>
    <w:rsid w:val="006666AB"/>
    <w:rsid w:val="00706E6E"/>
    <w:rsid w:val="00743F01"/>
    <w:rsid w:val="0076101A"/>
    <w:rsid w:val="00773903"/>
    <w:rsid w:val="007953DE"/>
    <w:rsid w:val="007A01F0"/>
    <w:rsid w:val="007B13DC"/>
    <w:rsid w:val="007B2724"/>
    <w:rsid w:val="0082471A"/>
    <w:rsid w:val="008A22A1"/>
    <w:rsid w:val="008B4EEB"/>
    <w:rsid w:val="008F1347"/>
    <w:rsid w:val="00910D32"/>
    <w:rsid w:val="00915860"/>
    <w:rsid w:val="009345D6"/>
    <w:rsid w:val="009478D9"/>
    <w:rsid w:val="009842CF"/>
    <w:rsid w:val="00997873"/>
    <w:rsid w:val="009B1909"/>
    <w:rsid w:val="009D2DB9"/>
    <w:rsid w:val="009E253C"/>
    <w:rsid w:val="00A03AF7"/>
    <w:rsid w:val="00A25F07"/>
    <w:rsid w:val="00A34C5E"/>
    <w:rsid w:val="00A43B87"/>
    <w:rsid w:val="00A541E1"/>
    <w:rsid w:val="00B07422"/>
    <w:rsid w:val="00B90F15"/>
    <w:rsid w:val="00BD42FC"/>
    <w:rsid w:val="00BF533B"/>
    <w:rsid w:val="00C33DA6"/>
    <w:rsid w:val="00C93719"/>
    <w:rsid w:val="00D008BF"/>
    <w:rsid w:val="00D07785"/>
    <w:rsid w:val="00D07898"/>
    <w:rsid w:val="00D56F6B"/>
    <w:rsid w:val="00D57FF2"/>
    <w:rsid w:val="00D609C8"/>
    <w:rsid w:val="00D80624"/>
    <w:rsid w:val="00D81A8E"/>
    <w:rsid w:val="00DB0D08"/>
    <w:rsid w:val="00DE58C9"/>
    <w:rsid w:val="00DF0F99"/>
    <w:rsid w:val="00E1107E"/>
    <w:rsid w:val="00E45063"/>
    <w:rsid w:val="00E70FCE"/>
    <w:rsid w:val="00E770B2"/>
    <w:rsid w:val="00E94200"/>
    <w:rsid w:val="00EA4F0E"/>
    <w:rsid w:val="00EB45BF"/>
    <w:rsid w:val="00EB494E"/>
    <w:rsid w:val="00EC7B83"/>
    <w:rsid w:val="00ED3428"/>
    <w:rsid w:val="00EF23A4"/>
    <w:rsid w:val="00EF3F0A"/>
    <w:rsid w:val="00F2364D"/>
    <w:rsid w:val="00F3529F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34D91"/>
  <w15:docId w15:val="{CA848688-0AD4-4309-8B49-B014B20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609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09C8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A541E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41E1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11C3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1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doc/reprints?id=1-26OKPG0S&amp;ct=210630&amp;st=s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nerixgroup.com/p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artner.com/analyst/25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tner.com/analyst/59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0DF4-D101-4553-9F9C-6BE7B2BA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5594</Characters>
  <Application>Microsoft Office Word</Application>
  <DocSecurity>4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Cogi,Kabir</dc:creator>
  <cp:lastModifiedBy>Marta Pereira</cp:lastModifiedBy>
  <cp:revision>2</cp:revision>
  <dcterms:created xsi:type="dcterms:W3CDTF">2021-07-08T09:29:00Z</dcterms:created>
  <dcterms:modified xsi:type="dcterms:W3CDTF">2021-07-08T09:29:00Z</dcterms:modified>
</cp:coreProperties>
</file>