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93" w:rsidRDefault="004B383D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Kraków, 1</w:t>
      </w:r>
      <w:r w:rsidR="00771F91">
        <w:rPr>
          <w:rFonts w:ascii="Calibri" w:eastAsia="Calibri" w:hAnsi="Calibri" w:cs="Calibri"/>
          <w:sz w:val="24"/>
          <w:szCs w:val="24"/>
        </w:rPr>
        <w:t>9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.07.2021</w:t>
      </w:r>
    </w:p>
    <w:p w:rsidR="00303F93" w:rsidRDefault="00303F93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03F93" w:rsidRDefault="004B383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Informacja prasowa</w:t>
      </w:r>
    </w:p>
    <w:p w:rsidR="00303F93" w:rsidRDefault="00303F93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03F93" w:rsidRDefault="00303F93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03F93" w:rsidRDefault="004B383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Angielski wcale nie jest uniwersalnym językiem ludzkości. Co zrobić, gdy nie wszędzie uda nam się  nim porozumieć?</w:t>
      </w:r>
    </w:p>
    <w:p w:rsidR="00303F93" w:rsidRDefault="00303F93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303F93" w:rsidRDefault="004B383D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Publikacja Ethnologue podaje, że językiem angielskim posługuje się dziś 1 mld 348 mln osób. </w:t>
      </w:r>
      <w:r>
        <w:rPr>
          <w:rFonts w:ascii="Calibri" w:eastAsia="Calibri" w:hAnsi="Calibri" w:cs="Calibri"/>
          <w:b/>
          <w:sz w:val="24"/>
          <w:szCs w:val="24"/>
        </w:rPr>
        <w:t>Raport EF English Proficiency Index, sporządzony na podstawie wyników testów 2,2 mln ludzi, pokazuje jednak, że poziom jego znajomości jest bardzo zróżnicowany w poszczególnych krajach i regionach świata. Są takie, w których z trudem porozumiemy się po ang</w:t>
      </w:r>
      <w:r>
        <w:rPr>
          <w:rFonts w:ascii="Calibri" w:eastAsia="Calibri" w:hAnsi="Calibri" w:cs="Calibri"/>
          <w:b/>
          <w:sz w:val="24"/>
          <w:szCs w:val="24"/>
        </w:rPr>
        <w:t>ielsku. Wiele z nich to popularne kierunki wakacyjnych wyjazdów. Co zatem zrobić, gdy nasza znajomość angielskiego nie wystarczy, by dowiedzieć się jak trafić na lotnisko, zamówić  danie w restauracji czy odnaleźć muzeum albo plażę? Z pomocą coraz częściej</w:t>
      </w:r>
      <w:r>
        <w:rPr>
          <w:rFonts w:ascii="Calibri" w:eastAsia="Calibri" w:hAnsi="Calibri" w:cs="Calibri"/>
          <w:b/>
          <w:sz w:val="24"/>
          <w:szCs w:val="24"/>
        </w:rPr>
        <w:t xml:space="preserve"> przychodzi technologia. </w:t>
      </w:r>
    </w:p>
    <w:p w:rsidR="00303F93" w:rsidRDefault="00303F93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303F93" w:rsidRDefault="004B383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Ostatni raport EF English Proficiency Index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sz w:val="24"/>
          <w:szCs w:val="24"/>
        </w:rPr>
        <w:t xml:space="preserve"> podaje, że Polacy znajdują się w światowej czołówce jeśli chodzi o znajomość języka angielskiego. Pod względem biegłości w posługiwaniu się mową Szekspira zostaliśmy sklasyfikowani na </w:t>
      </w:r>
      <w:r>
        <w:rPr>
          <w:rFonts w:ascii="Calibri" w:eastAsia="Calibri" w:hAnsi="Calibri" w:cs="Calibri"/>
          <w:sz w:val="24"/>
          <w:szCs w:val="24"/>
        </w:rPr>
        <w:t>16. miejscu, wśród 100 badanych krajów. Choć sporo brakuje nam do Holandii, Niemiec czy krajów skandynawskich, to wyprzedzamy m.in. Włochy, Hiszpanię i Francję. Nasza dobra znajomość angielskiego może jednak nie wystarczyć, gdy planując wakacyjne podróże z</w:t>
      </w:r>
      <w:r>
        <w:rPr>
          <w:rFonts w:ascii="Calibri" w:eastAsia="Calibri" w:hAnsi="Calibri" w:cs="Calibri"/>
          <w:sz w:val="24"/>
          <w:szCs w:val="24"/>
        </w:rPr>
        <w:t xml:space="preserve">apragniemy pojechać do Meksyku, Tajlandii, a nawet nieco bliższych Egiptu czy Turcji. </w:t>
      </w:r>
    </w:p>
    <w:p w:rsidR="00303F93" w:rsidRDefault="00303F93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03F93" w:rsidRDefault="004B383D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Tutaj angielski spada z piedestału</w:t>
      </w:r>
    </w:p>
    <w:p w:rsidR="00303F93" w:rsidRDefault="004B383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Język angielski wydaje się być wszechobecny na całym świecie. Wybrzmiewa z tekstów radiowych szlagierów, słychać go „spod” lektora w </w:t>
      </w:r>
      <w:r>
        <w:rPr>
          <w:rFonts w:ascii="Calibri" w:eastAsia="Calibri" w:hAnsi="Calibri" w:cs="Calibri"/>
          <w:sz w:val="24"/>
          <w:szCs w:val="24"/>
        </w:rPr>
        <w:t xml:space="preserve">zagranicznych filmach czy też w grach komputerowych i sieciowych. – </w:t>
      </w:r>
      <w:r>
        <w:rPr>
          <w:rFonts w:ascii="Calibri" w:eastAsia="Calibri" w:hAnsi="Calibri" w:cs="Calibri"/>
          <w:i/>
          <w:sz w:val="24"/>
          <w:szCs w:val="24"/>
        </w:rPr>
        <w:t>Jego popularność potęguje rozwój nowych technologii, a zwłaszcza internetu, który w warstwie międzynarodowej jest głównie anglojęzyczny. To język powszechny komunikatorów internetowych, cz</w:t>
      </w:r>
      <w:r>
        <w:rPr>
          <w:rFonts w:ascii="Calibri" w:eastAsia="Calibri" w:hAnsi="Calibri" w:cs="Calibri"/>
          <w:i/>
          <w:sz w:val="24"/>
          <w:szCs w:val="24"/>
        </w:rPr>
        <w:t>atów oraz komunikacji e-mail prowadzonej na skalę światową</w:t>
      </w:r>
      <w:r>
        <w:rPr>
          <w:rFonts w:ascii="Calibri" w:eastAsia="Calibri" w:hAnsi="Calibri" w:cs="Calibri"/>
          <w:sz w:val="24"/>
          <w:szCs w:val="24"/>
        </w:rPr>
        <w:t xml:space="preserve"> – mówi Maciej Góralski, prezes firmy Vasco Electronics specjalizującej się w elektronicznym tłumaczeniu mowy.  </w:t>
      </w:r>
    </w:p>
    <w:p w:rsidR="00303F93" w:rsidRDefault="00303F93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03F93" w:rsidRDefault="004B383D">
      <w:pPr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sz w:val="24"/>
          <w:szCs w:val="24"/>
        </w:rPr>
        <w:lastRenderedPageBreak/>
        <w:t>Fakt jest jednak taki, że na całym świecie jedynie siedem dużych państw używa angiel</w:t>
      </w:r>
      <w:r>
        <w:rPr>
          <w:rFonts w:ascii="Calibri" w:eastAsia="Calibri" w:hAnsi="Calibri" w:cs="Calibri"/>
          <w:sz w:val="24"/>
          <w:szCs w:val="24"/>
        </w:rPr>
        <w:t>skiego jako języka urzędowego i narodowego. Są one określane mianem krajów anglosaskich. W kolejnych kilkunastu stosuje się go jako język pomocniczy, ale jego znajomość nie jest tam powszechna. Jako kraje z najsłabszą znajomością języka angielskiego, rapor</w:t>
      </w:r>
      <w:r>
        <w:rPr>
          <w:rFonts w:ascii="Calibri" w:eastAsia="Calibri" w:hAnsi="Calibri" w:cs="Calibri"/>
          <w:sz w:val="24"/>
          <w:szCs w:val="24"/>
        </w:rPr>
        <w:t>t EF English Proficiency Index wymienia: Tadżykistan, Irak, Oman i Arabię Saudyjską. Z porozumieniem się po angielsku możemy mieć problem w wielu krajach arabskich, Azji oraz Ameryce Południowej. W mniejszym stopniu, lecz także utrudnione, może być to w kr</w:t>
      </w:r>
      <w:r>
        <w:rPr>
          <w:rFonts w:ascii="Calibri" w:eastAsia="Calibri" w:hAnsi="Calibri" w:cs="Calibri"/>
          <w:sz w:val="24"/>
          <w:szCs w:val="24"/>
        </w:rPr>
        <w:t xml:space="preserve">ajach takich jak Włochy czy Hiszpania, które w czasie wakacji stają się częstym kierunkiem naszych wyjazdów. </w:t>
      </w:r>
    </w:p>
    <w:p w:rsidR="00303F93" w:rsidRDefault="00303F93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03F93" w:rsidRDefault="004B383D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By rozmawiać z całym światem wystarczy kilka języków…</w:t>
      </w:r>
    </w:p>
    <w:p w:rsidR="00303F93" w:rsidRDefault="004B383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co jeśli nie angielski, lecz inny język? Jak podaje ostatnia publikacja Ethnologue, kolej</w:t>
      </w:r>
      <w:r>
        <w:rPr>
          <w:rFonts w:ascii="Calibri" w:eastAsia="Calibri" w:hAnsi="Calibri" w:cs="Calibri"/>
          <w:sz w:val="24"/>
          <w:szCs w:val="24"/>
        </w:rPr>
        <w:t>nymi najpopularniejszymi pod względem liczby użytkowników są mandaryński, czyli standardowy język chiński (1 mld 120 mln) i hindi (600 mln użytkowników)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2"/>
      </w:r>
      <w:r>
        <w:rPr>
          <w:rFonts w:ascii="Calibri" w:eastAsia="Calibri" w:hAnsi="Calibri" w:cs="Calibri"/>
          <w:sz w:val="24"/>
          <w:szCs w:val="24"/>
        </w:rPr>
        <w:t>. Terytorialnie ich użycie jest jednak mocno ograniczone. Lepiej zainwestować w poznanie hiszpańskiego,</w:t>
      </w:r>
      <w:r>
        <w:rPr>
          <w:rFonts w:ascii="Calibri" w:eastAsia="Calibri" w:hAnsi="Calibri" w:cs="Calibri"/>
          <w:sz w:val="24"/>
          <w:szCs w:val="24"/>
        </w:rPr>
        <w:t xml:space="preserve"> w którym porozmawiamy w większości krajów Ameryki Południowej czy francuskiego, który umożliwia porozumiewanie się w części Belgii, Szwajcarii czy Kanady, ale też w dużej części Afryki. Niemiecki zaś sprawdzi się też w Austrii, Liechtensteinie, Luksemburg</w:t>
      </w:r>
      <w:r>
        <w:rPr>
          <w:rFonts w:ascii="Calibri" w:eastAsia="Calibri" w:hAnsi="Calibri" w:cs="Calibri"/>
          <w:sz w:val="24"/>
          <w:szCs w:val="24"/>
        </w:rPr>
        <w:t>u czy części Szwajcarii.</w:t>
      </w:r>
    </w:p>
    <w:p w:rsidR="00303F93" w:rsidRDefault="00303F93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03F93" w:rsidRDefault="004B383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Żeby móc z łatwością porozumieć się w niemal każdym miejscu na świecie, do wymienionych wystarczy dołożyć jeszcze rosyjski oraz arabski. Ten pierwszy ułatwi kontakt już za naszymi wschodnimi granicami, w dużej części Europy Wschod</w:t>
      </w:r>
      <w:r>
        <w:rPr>
          <w:rFonts w:ascii="Calibri" w:eastAsia="Calibri" w:hAnsi="Calibri" w:cs="Calibri"/>
          <w:sz w:val="24"/>
          <w:szCs w:val="24"/>
        </w:rPr>
        <w:t>niej, ale też w Azji Środkowej. Dzięki znajomości arabskiego można z kolei porozumieć się z milionami ludzi zamieszkujących pas od wybrzeża Oceanu Atlantyckiego aż do plaż Oceanu Indyjskiego i Zatoki Perskiej. Co jednak zrobić, gdy nie jesteśmy poliglotami</w:t>
      </w:r>
      <w:r>
        <w:rPr>
          <w:rFonts w:ascii="Calibri" w:eastAsia="Calibri" w:hAnsi="Calibri" w:cs="Calibri"/>
          <w:sz w:val="24"/>
          <w:szCs w:val="24"/>
        </w:rPr>
        <w:t xml:space="preserve">, a nasza dobra znajomość innego języka kończy się na angielskim? Warto sięgnąć po technologię. </w:t>
      </w:r>
    </w:p>
    <w:p w:rsidR="00303F93" w:rsidRDefault="00303F93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03F93" w:rsidRDefault="004B383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b/>
          <w:sz w:val="24"/>
          <w:szCs w:val="24"/>
        </w:rPr>
        <w:t xml:space="preserve"> lub sześć silników</w:t>
      </w:r>
    </w:p>
    <w:p w:rsidR="00303F93" w:rsidRDefault="004B383D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r>
        <w:rPr>
          <w:rFonts w:ascii="Calibri" w:eastAsia="Calibri" w:hAnsi="Calibri" w:cs="Calibri"/>
          <w:i/>
          <w:sz w:val="24"/>
          <w:szCs w:val="24"/>
        </w:rPr>
        <w:t>Tak naprawdę tylko znikoma część z tysięcy języków na świecie jest potrzebna do porozumienia się w praktycznie każdym zakątku globu. Wy</w:t>
      </w:r>
      <w:r>
        <w:rPr>
          <w:rFonts w:ascii="Calibri" w:eastAsia="Calibri" w:hAnsi="Calibri" w:cs="Calibri"/>
          <w:i/>
          <w:sz w:val="24"/>
          <w:szCs w:val="24"/>
        </w:rPr>
        <w:t>korzystaliśmy tę wiedzę przy tworzeniu naszego elektronicznego translatora mowy, pracującego na sześciu silnikach tłumaczeniowych w ponad 70 językach. Ta liczba wystarczy na porozumienie się z 90-proc. populacji świata, a zatem najprawdopodobniej także tam</w:t>
      </w:r>
      <w:r>
        <w:rPr>
          <w:rFonts w:ascii="Calibri" w:eastAsia="Calibri" w:hAnsi="Calibri" w:cs="Calibri"/>
          <w:i/>
          <w:sz w:val="24"/>
          <w:szCs w:val="24"/>
        </w:rPr>
        <w:t xml:space="preserve">, gdzie wybieramy się na wakacje </w:t>
      </w:r>
      <w:r>
        <w:rPr>
          <w:rFonts w:ascii="Calibri" w:eastAsia="Calibri" w:hAnsi="Calibri" w:cs="Calibri"/>
          <w:sz w:val="24"/>
          <w:szCs w:val="24"/>
        </w:rPr>
        <w:t>– tłumaczy Maciej Góralski, prezes firmy Vasco Electronics.</w:t>
      </w:r>
    </w:p>
    <w:p w:rsidR="00303F93" w:rsidRDefault="00303F93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03F93" w:rsidRDefault="004B383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Czy powinniśmy więc porzucić naukę języków obcych i postawić wyłącznie na technologię? To tylko pozorny dylemat. Nic nie zastąpi osobistej umiejętności komunikowa</w:t>
      </w:r>
      <w:r>
        <w:rPr>
          <w:rFonts w:ascii="Calibri" w:eastAsia="Calibri" w:hAnsi="Calibri" w:cs="Calibri"/>
          <w:sz w:val="24"/>
          <w:szCs w:val="24"/>
        </w:rPr>
        <w:t xml:space="preserve">nia się w innych językach, ale technologia także bywa pomocna. Liczbę języków na świecie ocenia się na ok. 6-7 tys. Nawet największy poliglota nie jest w stanie nauczyć się ich wszystkich. Dzięki technologii takiej jak elektroniczny tłumacz mowy, nie jest </w:t>
      </w:r>
      <w:r>
        <w:rPr>
          <w:rFonts w:ascii="Calibri" w:eastAsia="Calibri" w:hAnsi="Calibri" w:cs="Calibri"/>
          <w:sz w:val="24"/>
          <w:szCs w:val="24"/>
        </w:rPr>
        <w:t>to konieczne. Jeśli jednak ktoś chce nauczyć się obcego języka, urządzenie takie jak translator może pomóc także w tym przypadku. Współczesne technologie tłumaczeniowe nie służą bowiem tylko temu, by wyręczać nas w rozmowie, ale też by uczyć obcych słów, s</w:t>
      </w:r>
      <w:r>
        <w:rPr>
          <w:rFonts w:ascii="Calibri" w:eastAsia="Calibri" w:hAnsi="Calibri" w:cs="Calibri"/>
          <w:sz w:val="24"/>
          <w:szCs w:val="24"/>
        </w:rPr>
        <w:t xml:space="preserve">formułowań i całych wyrażeń. </w:t>
      </w:r>
    </w:p>
    <w:p w:rsidR="00303F93" w:rsidRDefault="00303F93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03F93" w:rsidRDefault="00303F93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303F93" w:rsidRDefault="004B383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***</w:t>
      </w:r>
    </w:p>
    <w:p w:rsidR="00303F93" w:rsidRDefault="00303F9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03F93" w:rsidRDefault="004B383D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Vasco Electronics</w:t>
      </w:r>
      <w:r>
        <w:rPr>
          <w:rFonts w:ascii="Calibri" w:eastAsia="Calibri" w:hAnsi="Calibri" w:cs="Calibri"/>
          <w:sz w:val="18"/>
          <w:szCs w:val="18"/>
        </w:rPr>
        <w:t xml:space="preserve"> to wiodący na świecie producent elektronicznych translatorów. Pochodząca z Krakowa firma posiada kilkanaście zagranicznych przedstawicielstw handlowych, a jej produkty dostępne są w większości krajów europejskich, USA, Kanadzie oraz państwach Azji Południ</w:t>
      </w:r>
      <w:r>
        <w:rPr>
          <w:rFonts w:ascii="Calibri" w:eastAsia="Calibri" w:hAnsi="Calibri" w:cs="Calibri"/>
          <w:sz w:val="18"/>
          <w:szCs w:val="18"/>
        </w:rPr>
        <w:t>owo-Wschodniej. Translatory Vasco obsługują ponad 70 języków, co pozwala na porozumienie się z 90 proc. mieszkańców naszej planety. Urządzenia te wykorzystywane są m.in.: przez szpitale, służby mundurowe, szkoły, w czasie turystycznych i służbowych podróży</w:t>
      </w:r>
      <w:r>
        <w:rPr>
          <w:rFonts w:ascii="Calibri" w:eastAsia="Calibri" w:hAnsi="Calibri" w:cs="Calibri"/>
          <w:sz w:val="18"/>
          <w:szCs w:val="18"/>
        </w:rPr>
        <w:t>, międzynarodowych konferencji czy spotkań biznesowych. Obok intuicyjnej obsługi oraz precyzyjnego działania, flagowe translatory Vasco wyróżnia bezpłatny i nielimitowany dostęp do internetu w prawie 200 krajach. Firma regularnie uczestniczy w międzynarodo</w:t>
      </w:r>
      <w:r>
        <w:rPr>
          <w:rFonts w:ascii="Calibri" w:eastAsia="Calibri" w:hAnsi="Calibri" w:cs="Calibri"/>
          <w:sz w:val="18"/>
          <w:szCs w:val="18"/>
        </w:rPr>
        <w:t>wych wydarzeniach branżowych i targach. Jej urządzenia były prezentowane m.in. podczas Global Sources Mobile Electronics Show w Hongkongu oraz berlińskiej Międzynarodowej Wystawie Elektroniki Użytkowej i Sprzętu AGD (IFA). W 2020 r. z produktami Vasco Elec</w:t>
      </w:r>
      <w:r>
        <w:rPr>
          <w:rFonts w:ascii="Calibri" w:eastAsia="Calibri" w:hAnsi="Calibri" w:cs="Calibri"/>
          <w:sz w:val="18"/>
          <w:szCs w:val="18"/>
        </w:rPr>
        <w:t>tronics można było zapoznać się na Consumer Electronics Show – największych na świecie targach elektroniki użytkowej, które każdego roku odbywają się w Las Vegas. W 2021 r. Vasco Translator M3 został wyróżniony prestiżową nagrodą Red Dot Design Award. Więc</w:t>
      </w:r>
      <w:r>
        <w:rPr>
          <w:rFonts w:ascii="Calibri" w:eastAsia="Calibri" w:hAnsi="Calibri" w:cs="Calibri"/>
          <w:sz w:val="18"/>
          <w:szCs w:val="18"/>
        </w:rPr>
        <w:t xml:space="preserve">ej na temat Vasco Electronics na stronie </w:t>
      </w:r>
      <w:hyperlink r:id="rId7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vasco-electronics.pl</w:t>
        </w:r>
      </w:hyperlink>
      <w:r>
        <w:rPr>
          <w:rFonts w:ascii="Calibri" w:eastAsia="Calibri" w:hAnsi="Calibri" w:cs="Calibri"/>
          <w:sz w:val="18"/>
          <w:szCs w:val="18"/>
        </w:rPr>
        <w:t>.</w:t>
      </w:r>
    </w:p>
    <w:p w:rsidR="00303F93" w:rsidRDefault="00303F9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2" w:name="_heading=h.gjdgxs" w:colFirst="0" w:colLast="0"/>
      <w:bookmarkEnd w:id="2"/>
    </w:p>
    <w:p w:rsidR="00303F93" w:rsidRDefault="004B383D">
      <w:pPr>
        <w:spacing w:line="240" w:lineRule="auto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Kontakt dla mediów: </w:t>
      </w:r>
    </w:p>
    <w:p w:rsidR="00303F93" w:rsidRDefault="004B383D">
      <w:pPr>
        <w:spacing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Michał Zębik</w:t>
      </w:r>
    </w:p>
    <w:p w:rsidR="00303F93" w:rsidRDefault="004B383D">
      <w:pPr>
        <w:spacing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e-mail: 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michal.zebik@goodonepr.pl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303F93" w:rsidRDefault="004B383D">
      <w:pPr>
        <w:spacing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tel.: +48 796 996 253</w:t>
      </w:r>
    </w:p>
    <w:p w:rsidR="00303F93" w:rsidRDefault="00303F9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303F93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3D" w:rsidRDefault="004B383D">
      <w:pPr>
        <w:spacing w:line="240" w:lineRule="auto"/>
      </w:pPr>
      <w:r>
        <w:separator/>
      </w:r>
    </w:p>
  </w:endnote>
  <w:endnote w:type="continuationSeparator" w:id="0">
    <w:p w:rsidR="004B383D" w:rsidRDefault="004B3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93" w:rsidRDefault="004B383D">
    <w:r>
      <w:rPr>
        <w:noProof/>
      </w:rPr>
      <mc:AlternateContent>
        <mc:Choice Requires="wpg">
          <w:drawing>
            <wp:inline distT="114300" distB="114300" distL="114300" distR="114300">
              <wp:extent cx="323850" cy="267565"/>
              <wp:effectExtent l="0" t="0" r="0" b="0"/>
              <wp:docPr id="41" name="Trójkąt równoramienny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5145000" y="3628050"/>
                        <a:ext cx="402000" cy="3039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9ED1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03F93" w:rsidRDefault="00303F9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323850" cy="267565"/>
              <wp:effectExtent b="0" l="0" r="0" t="0"/>
              <wp:docPr id="4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0" cy="26756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>
      <w:t xml:space="preserve">                                                   </w:t>
    </w:r>
    <w:r>
      <w:rPr>
        <w:noProof/>
      </w:rPr>
      <mc:AlternateContent>
        <mc:Choice Requires="wpg">
          <w:drawing>
            <wp:inline distT="114300" distB="114300" distL="114300" distR="114300">
              <wp:extent cx="323850" cy="267565"/>
              <wp:effectExtent l="0" t="0" r="0" b="0"/>
              <wp:docPr id="40" name="Trójkąt równoramienny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5145000" y="3628050"/>
                        <a:ext cx="402000" cy="3039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1F93FC"/>
                      </a:solidFill>
                      <a:ln>
                        <a:noFill/>
                      </a:ln>
                    </wps:spPr>
                    <wps:txbx>
                      <w:txbxContent>
                        <w:p w:rsidR="00303F93" w:rsidRDefault="00303F9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323850" cy="267565"/>
              <wp:effectExtent b="0" l="0" r="0" t="0"/>
              <wp:docPr id="4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0" cy="26756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>
      <w:t xml:space="preserve">                                        </w:t>
    </w:r>
    <w:r>
      <w:rPr>
        <w:noProof/>
      </w:rPr>
      <mc:AlternateContent>
        <mc:Choice Requires="wpg">
          <w:drawing>
            <wp:inline distT="114300" distB="114300" distL="114300" distR="114300">
              <wp:extent cx="322729" cy="266698"/>
              <wp:effectExtent l="0" t="0" r="0" b="0"/>
              <wp:docPr id="42" name="Trójkąt równoramienny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5145000" y="3628050"/>
                        <a:ext cx="402000" cy="3039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0B5394"/>
                      </a:solidFill>
                      <a:ln>
                        <a:noFill/>
                      </a:ln>
                    </wps:spPr>
                    <wps:txbx>
                      <w:txbxContent>
                        <w:p w:rsidR="00303F93" w:rsidRDefault="00303F9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322729" cy="266698"/>
              <wp:effectExtent b="0" l="0" r="0" t="0"/>
              <wp:docPr id="4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729" cy="26669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303F93" w:rsidRDefault="004B383D">
    <w:pPr>
      <w:widowControl w:val="0"/>
      <w:spacing w:line="360" w:lineRule="auto"/>
      <w:rPr>
        <w:rFonts w:ascii="Roboto" w:eastAsia="Roboto" w:hAnsi="Roboto" w:cs="Roboto"/>
        <w:b/>
      </w:rPr>
    </w:pPr>
    <w:r>
      <w:rPr>
        <w:rFonts w:ascii="Roboto" w:eastAsia="Roboto" w:hAnsi="Roboto" w:cs="Roboto"/>
        <w:b/>
      </w:rPr>
      <w:t>EUROPE</w:t>
    </w:r>
    <w:r>
      <w:rPr>
        <w:rFonts w:ascii="Roboto" w:eastAsia="Roboto" w:hAnsi="Roboto" w:cs="Roboto"/>
        <w:b/>
      </w:rPr>
      <w:tab/>
    </w:r>
    <w:r>
      <w:rPr>
        <w:rFonts w:ascii="Roboto" w:eastAsia="Roboto" w:hAnsi="Roboto" w:cs="Roboto"/>
        <w:b/>
      </w:rPr>
      <w:tab/>
    </w:r>
    <w:r>
      <w:rPr>
        <w:rFonts w:ascii="Roboto" w:eastAsia="Roboto" w:hAnsi="Roboto" w:cs="Roboto"/>
        <w:b/>
      </w:rPr>
      <w:tab/>
    </w:r>
    <w:r>
      <w:rPr>
        <w:rFonts w:ascii="Roboto" w:eastAsia="Roboto" w:hAnsi="Roboto" w:cs="Roboto"/>
        <w:b/>
      </w:rPr>
      <w:tab/>
      <w:t>USA</w:t>
    </w:r>
    <w:r>
      <w:rPr>
        <w:rFonts w:ascii="Roboto" w:eastAsia="Roboto" w:hAnsi="Roboto" w:cs="Roboto"/>
        <w:b/>
      </w:rPr>
      <w:tab/>
    </w:r>
    <w:r>
      <w:rPr>
        <w:rFonts w:ascii="Roboto" w:eastAsia="Roboto" w:hAnsi="Roboto" w:cs="Roboto"/>
        <w:b/>
      </w:rPr>
      <w:tab/>
    </w:r>
    <w:r>
      <w:rPr>
        <w:rFonts w:ascii="Roboto" w:eastAsia="Roboto" w:hAnsi="Roboto" w:cs="Roboto"/>
        <w:b/>
      </w:rPr>
      <w:tab/>
    </w:r>
    <w:r>
      <w:rPr>
        <w:rFonts w:ascii="Roboto" w:eastAsia="Roboto" w:hAnsi="Roboto" w:cs="Roboto"/>
        <w:b/>
      </w:rPr>
      <w:tab/>
      <w:t>ASIA</w:t>
    </w:r>
  </w:p>
  <w:p w:rsidR="00303F93" w:rsidRDefault="004B383D">
    <w:pPr>
      <w:widowControl w:val="0"/>
      <w:rPr>
        <w:rFonts w:ascii="Roboto" w:eastAsia="Roboto" w:hAnsi="Roboto" w:cs="Roboto"/>
        <w:sz w:val="18"/>
        <w:szCs w:val="18"/>
      </w:rPr>
    </w:pPr>
    <w:r>
      <w:rPr>
        <w:rFonts w:ascii="Roboto" w:eastAsia="Roboto" w:hAnsi="Roboto" w:cs="Roboto"/>
        <w:sz w:val="18"/>
        <w:szCs w:val="18"/>
      </w:rPr>
      <w:t xml:space="preserve">Vasco Electronics Sp. z o.o. S.K.A. </w:t>
    </w:r>
    <w:r>
      <w:rPr>
        <w:rFonts w:ascii="Roboto" w:eastAsia="Roboto" w:hAnsi="Roboto" w:cs="Roboto"/>
        <w:sz w:val="18"/>
        <w:szCs w:val="18"/>
      </w:rPr>
      <w:tab/>
    </w:r>
    <w:r>
      <w:rPr>
        <w:rFonts w:ascii="Roboto" w:eastAsia="Roboto" w:hAnsi="Roboto" w:cs="Roboto"/>
        <w:sz w:val="18"/>
        <w:szCs w:val="18"/>
      </w:rPr>
      <w:tab/>
    </w:r>
    <w:r>
      <w:rPr>
        <w:rFonts w:ascii="Roboto" w:eastAsia="Roboto" w:hAnsi="Roboto" w:cs="Roboto"/>
        <w:sz w:val="18"/>
        <w:szCs w:val="18"/>
      </w:rPr>
      <w:t xml:space="preserve">Vasco Electronics LLC </w:t>
    </w:r>
    <w:r>
      <w:rPr>
        <w:rFonts w:ascii="Roboto" w:eastAsia="Roboto" w:hAnsi="Roboto" w:cs="Roboto"/>
        <w:sz w:val="18"/>
        <w:szCs w:val="18"/>
      </w:rPr>
      <w:tab/>
    </w:r>
    <w:r>
      <w:rPr>
        <w:rFonts w:ascii="Roboto" w:eastAsia="Roboto" w:hAnsi="Roboto" w:cs="Roboto"/>
        <w:sz w:val="18"/>
        <w:szCs w:val="18"/>
      </w:rPr>
      <w:tab/>
      <w:t>Room 512, Unit A, Co-talent</w:t>
    </w:r>
  </w:p>
  <w:p w:rsidR="00303F93" w:rsidRDefault="004B383D">
    <w:pPr>
      <w:widowControl w:val="0"/>
      <w:rPr>
        <w:rFonts w:ascii="Roboto" w:eastAsia="Roboto" w:hAnsi="Roboto" w:cs="Roboto"/>
        <w:sz w:val="18"/>
        <w:szCs w:val="18"/>
      </w:rPr>
    </w:pPr>
    <w:r>
      <w:rPr>
        <w:rFonts w:ascii="Roboto" w:eastAsia="Roboto" w:hAnsi="Roboto" w:cs="Roboto"/>
        <w:sz w:val="18"/>
        <w:szCs w:val="18"/>
      </w:rPr>
      <w:t xml:space="preserve">Al. Pokoju 1, CTA/350 </w:t>
    </w:r>
    <w:r>
      <w:rPr>
        <w:rFonts w:ascii="Roboto" w:eastAsia="Roboto" w:hAnsi="Roboto" w:cs="Roboto"/>
        <w:sz w:val="18"/>
        <w:szCs w:val="18"/>
      </w:rPr>
      <w:tab/>
    </w:r>
    <w:r>
      <w:rPr>
        <w:rFonts w:ascii="Roboto" w:eastAsia="Roboto" w:hAnsi="Roboto" w:cs="Roboto"/>
        <w:sz w:val="18"/>
        <w:szCs w:val="18"/>
      </w:rPr>
      <w:tab/>
    </w:r>
    <w:r>
      <w:rPr>
        <w:rFonts w:ascii="Roboto" w:eastAsia="Roboto" w:hAnsi="Roboto" w:cs="Roboto"/>
        <w:sz w:val="18"/>
        <w:szCs w:val="18"/>
      </w:rPr>
      <w:tab/>
      <w:t xml:space="preserve">2232 Dell Range Blvd, </w:t>
    </w:r>
    <w:r>
      <w:rPr>
        <w:rFonts w:ascii="Roboto" w:eastAsia="Roboto" w:hAnsi="Roboto" w:cs="Roboto"/>
        <w:sz w:val="18"/>
        <w:szCs w:val="18"/>
      </w:rPr>
      <w:tab/>
    </w:r>
    <w:r>
      <w:rPr>
        <w:rFonts w:ascii="Roboto" w:eastAsia="Roboto" w:hAnsi="Roboto" w:cs="Roboto"/>
        <w:sz w:val="18"/>
        <w:szCs w:val="18"/>
      </w:rPr>
      <w:tab/>
      <w:t>Creative park, Liu Xian Rd,</w:t>
    </w:r>
  </w:p>
  <w:p w:rsidR="00303F93" w:rsidRDefault="004B383D">
    <w:pPr>
      <w:widowControl w:val="0"/>
      <w:rPr>
        <w:rFonts w:ascii="Roboto" w:eastAsia="Roboto" w:hAnsi="Roboto" w:cs="Roboto"/>
        <w:sz w:val="18"/>
        <w:szCs w:val="18"/>
      </w:rPr>
    </w:pPr>
    <w:r>
      <w:rPr>
        <w:rFonts w:ascii="Roboto" w:eastAsia="Roboto" w:hAnsi="Roboto" w:cs="Roboto"/>
        <w:sz w:val="18"/>
        <w:szCs w:val="18"/>
      </w:rPr>
      <w:t>31-548 Kraków</w:t>
    </w:r>
    <w:r>
      <w:rPr>
        <w:rFonts w:ascii="Roboto" w:eastAsia="Roboto" w:hAnsi="Roboto" w:cs="Roboto"/>
        <w:sz w:val="18"/>
        <w:szCs w:val="18"/>
      </w:rPr>
      <w:tab/>
    </w:r>
    <w:r>
      <w:rPr>
        <w:rFonts w:ascii="Roboto" w:eastAsia="Roboto" w:hAnsi="Roboto" w:cs="Roboto"/>
        <w:sz w:val="18"/>
        <w:szCs w:val="18"/>
      </w:rPr>
      <w:tab/>
    </w:r>
    <w:r>
      <w:rPr>
        <w:rFonts w:ascii="Roboto" w:eastAsia="Roboto" w:hAnsi="Roboto" w:cs="Roboto"/>
        <w:sz w:val="18"/>
        <w:szCs w:val="18"/>
      </w:rPr>
      <w:tab/>
    </w:r>
    <w:r>
      <w:rPr>
        <w:rFonts w:ascii="Roboto" w:eastAsia="Roboto" w:hAnsi="Roboto" w:cs="Roboto"/>
        <w:sz w:val="18"/>
        <w:szCs w:val="18"/>
      </w:rPr>
      <w:tab/>
      <w:t>Suite 245 - 3030</w:t>
    </w:r>
    <w:r>
      <w:rPr>
        <w:rFonts w:ascii="Roboto" w:eastAsia="Roboto" w:hAnsi="Roboto" w:cs="Roboto"/>
        <w:sz w:val="18"/>
        <w:szCs w:val="18"/>
      </w:rPr>
      <w:tab/>
    </w:r>
    <w:r>
      <w:rPr>
        <w:rFonts w:ascii="Roboto" w:eastAsia="Roboto" w:hAnsi="Roboto" w:cs="Roboto"/>
        <w:sz w:val="18"/>
        <w:szCs w:val="18"/>
      </w:rPr>
      <w:tab/>
    </w:r>
    <w:r>
      <w:rPr>
        <w:rFonts w:ascii="Roboto" w:eastAsia="Roboto" w:hAnsi="Roboto" w:cs="Roboto"/>
        <w:sz w:val="18"/>
        <w:szCs w:val="18"/>
      </w:rPr>
      <w:tab/>
      <w:t>Baoan District</w:t>
    </w:r>
  </w:p>
  <w:p w:rsidR="00303F93" w:rsidRDefault="004B383D">
    <w:pPr>
      <w:widowControl w:val="0"/>
      <w:rPr>
        <w:rFonts w:ascii="Roboto" w:eastAsia="Roboto" w:hAnsi="Roboto" w:cs="Roboto"/>
        <w:sz w:val="18"/>
        <w:szCs w:val="18"/>
      </w:rPr>
    </w:pPr>
    <w:r>
      <w:rPr>
        <w:rFonts w:ascii="Roboto" w:eastAsia="Roboto" w:hAnsi="Roboto" w:cs="Roboto"/>
        <w:sz w:val="18"/>
        <w:szCs w:val="18"/>
      </w:rPr>
      <w:tab/>
    </w:r>
    <w:r>
      <w:rPr>
        <w:rFonts w:ascii="Roboto" w:eastAsia="Roboto" w:hAnsi="Roboto" w:cs="Roboto"/>
        <w:sz w:val="18"/>
        <w:szCs w:val="18"/>
      </w:rPr>
      <w:tab/>
    </w:r>
    <w:r>
      <w:rPr>
        <w:rFonts w:ascii="Roboto" w:eastAsia="Roboto" w:hAnsi="Roboto" w:cs="Roboto"/>
        <w:sz w:val="18"/>
        <w:szCs w:val="18"/>
      </w:rPr>
      <w:tab/>
    </w:r>
    <w:r>
      <w:rPr>
        <w:rFonts w:ascii="Roboto" w:eastAsia="Roboto" w:hAnsi="Roboto" w:cs="Roboto"/>
        <w:sz w:val="18"/>
        <w:szCs w:val="18"/>
      </w:rPr>
      <w:tab/>
    </w:r>
    <w:r>
      <w:rPr>
        <w:rFonts w:ascii="Roboto" w:eastAsia="Roboto" w:hAnsi="Roboto" w:cs="Roboto"/>
        <w:sz w:val="18"/>
        <w:szCs w:val="18"/>
      </w:rPr>
      <w:tab/>
      <w:t>Cheyenne, WY 82009</w:t>
    </w:r>
    <w:r>
      <w:rPr>
        <w:rFonts w:ascii="Roboto" w:eastAsia="Roboto" w:hAnsi="Roboto" w:cs="Roboto"/>
        <w:sz w:val="18"/>
        <w:szCs w:val="18"/>
      </w:rPr>
      <w:tab/>
    </w:r>
    <w:r>
      <w:rPr>
        <w:rFonts w:ascii="Roboto" w:eastAsia="Roboto" w:hAnsi="Roboto" w:cs="Roboto"/>
        <w:sz w:val="18"/>
        <w:szCs w:val="18"/>
      </w:rPr>
      <w:tab/>
      <w:t>Shenzhen 518000, China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3D" w:rsidRDefault="004B383D">
      <w:pPr>
        <w:spacing w:line="240" w:lineRule="auto"/>
      </w:pPr>
      <w:r>
        <w:separator/>
      </w:r>
    </w:p>
  </w:footnote>
  <w:footnote w:type="continuationSeparator" w:id="0">
    <w:p w:rsidR="004B383D" w:rsidRDefault="004B383D">
      <w:pPr>
        <w:spacing w:line="240" w:lineRule="auto"/>
      </w:pPr>
      <w:r>
        <w:continuationSeparator/>
      </w:r>
    </w:p>
  </w:footnote>
  <w:footnote w:id="1">
    <w:p w:rsidR="00303F93" w:rsidRDefault="004B38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EF,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EF English Proficiency Index A Ranking of 100 Countries and Regions by English Skills</w:t>
      </w:r>
    </w:p>
    <w:p w:rsidR="00303F93" w:rsidRDefault="004B38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https://www.ef.pl/epi/</w:t>
      </w:r>
    </w:p>
  </w:footnote>
  <w:footnote w:id="2">
    <w:p w:rsidR="00303F93" w:rsidRDefault="004B38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Eberhard, David M., Gary F. Simons, and Charles D. Fennig (red.).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2021. Ethnologue: Languages of the World. Twenty-fourth edition</w:t>
      </w:r>
      <w:r>
        <w:rPr>
          <w:rFonts w:ascii="Calibri" w:eastAsia="Calibri" w:hAnsi="Calibri" w:cs="Calibri"/>
          <w:color w:val="000000"/>
          <w:sz w:val="20"/>
          <w:szCs w:val="20"/>
        </w:rPr>
        <w:t>. Dallas, Texas: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SIL International. </w:t>
      </w:r>
    </w:p>
    <w:p w:rsidR="00303F93" w:rsidRDefault="004B38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http://www.ethnologue.com.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93" w:rsidRDefault="004B38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19050" distB="19050" distL="19050" distR="19050">
          <wp:extent cx="1764498" cy="661676"/>
          <wp:effectExtent l="0" t="0" r="0" b="0"/>
          <wp:docPr id="4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4498" cy="6616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03F93" w:rsidRDefault="00303F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93"/>
    <w:rsid w:val="00303F93"/>
    <w:rsid w:val="004B383D"/>
    <w:rsid w:val="0077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3D6A"/>
  <w15:docId w15:val="{8A08D5E2-EA57-4E36-873F-E465A05D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87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1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107"/>
  </w:style>
  <w:style w:type="paragraph" w:styleId="Stopka">
    <w:name w:val="footer"/>
    <w:basedOn w:val="Normalny"/>
    <w:link w:val="StopkaZnak"/>
    <w:uiPriority w:val="99"/>
    <w:unhideWhenUsed/>
    <w:rsid w:val="00BE71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10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B6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B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B6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81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8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8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13F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12A"/>
    <w:rPr>
      <w:color w:val="800080" w:themeColor="followedHyperlink"/>
      <w:u w:val="singl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B76"/>
    <w:rPr>
      <w:rFonts w:ascii="Segoe UI" w:hAnsi="Segoe UI" w:cs="Segoe UI"/>
      <w:sz w:val="18"/>
      <w:szCs w:val="18"/>
    </w:rPr>
  </w:style>
  <w:style w:type="character" w:customStyle="1" w:styleId="TematkomentarzaZnak1">
    <w:name w:val="Temat komentarza Znak1"/>
    <w:basedOn w:val="TekstkomentarzaZnak1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C5E07"/>
    <w:pPr>
      <w:ind w:left="720"/>
      <w:contextualSpacing/>
    </w:p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sco-electronics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3Y61DLarW0pR6bqf0PAmsKAFfw==">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GoodOnePR</dc:creator>
  <cp:lastModifiedBy>Grzesiek</cp:lastModifiedBy>
  <cp:revision>2</cp:revision>
  <dcterms:created xsi:type="dcterms:W3CDTF">2021-07-13T09:05:00Z</dcterms:created>
  <dcterms:modified xsi:type="dcterms:W3CDTF">2021-07-19T06:36:00Z</dcterms:modified>
</cp:coreProperties>
</file>