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F80C" w14:textId="77777777" w:rsidR="00DD0AB8" w:rsidRPr="00FB31EC" w:rsidRDefault="00DD0AB8" w:rsidP="00DD0AB8">
      <w:pPr>
        <w:spacing w:before="240" w:after="240"/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lang w:eastAsia="pl-PL"/>
        </w:rPr>
        <w:sectPr w:rsidR="00DD0AB8" w:rsidRPr="00FB31EC" w:rsidSect="00FB31EC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 w:rsidRPr="00FB31EC">
        <w:rPr>
          <w:rFonts w:asciiTheme="majorHAnsi" w:eastAsia="Times New Roman" w:hAnsiTheme="majorHAnsi" w:cs="Calibri"/>
          <w:b/>
          <w:bCs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3193EA4A" wp14:editId="128FF98B">
            <wp:extent cx="6120130" cy="611505"/>
            <wp:effectExtent l="0" t="0" r="0" b="0"/>
            <wp:docPr id="3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6C4CE89" w14:textId="77777777" w:rsidR="00DD0AB8" w:rsidRPr="00FB31EC" w:rsidRDefault="00DD0AB8" w:rsidP="00DD0AB8">
      <w:pPr>
        <w:spacing w:after="0" w:line="276" w:lineRule="auto"/>
        <w:rPr>
          <w:rFonts w:asciiTheme="majorHAnsi" w:hAnsiTheme="majorHAnsi" w:cs="Calibri"/>
          <w:sz w:val="24"/>
          <w:szCs w:val="24"/>
        </w:rPr>
      </w:pPr>
    </w:p>
    <w:p w14:paraId="37342002" w14:textId="77777777" w:rsidR="00DD0AB8" w:rsidRPr="00FB31EC" w:rsidRDefault="00DD0AB8" w:rsidP="00DD0AB8">
      <w:pPr>
        <w:spacing w:after="0" w:line="276" w:lineRule="auto"/>
        <w:rPr>
          <w:rFonts w:asciiTheme="majorHAnsi" w:hAnsiTheme="majorHAnsi" w:cs="Calibri"/>
          <w:sz w:val="24"/>
          <w:szCs w:val="24"/>
        </w:rPr>
      </w:pPr>
      <w:bookmarkStart w:id="1" w:name="_GoBack"/>
      <w:r w:rsidRPr="00FB31EC">
        <w:rPr>
          <w:rFonts w:asciiTheme="majorHAnsi" w:hAnsiTheme="majorHAnsi" w:cs="Calibri"/>
          <w:sz w:val="24"/>
          <w:szCs w:val="24"/>
        </w:rPr>
        <w:t>Kontakt dla mediów:</w:t>
      </w:r>
    </w:p>
    <w:p w14:paraId="65BCB614" w14:textId="77777777" w:rsidR="00DD0AB8" w:rsidRPr="00FB31EC" w:rsidRDefault="00DD0AB8" w:rsidP="00DD0AB8">
      <w:pPr>
        <w:spacing w:after="0" w:line="276" w:lineRule="auto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pl-PL"/>
        </w:rPr>
      </w:pPr>
      <w:r w:rsidRPr="00FB31EC">
        <w:rPr>
          <w:rFonts w:asciiTheme="majorHAnsi" w:hAnsiTheme="majorHAnsi" w:cs="Calibri"/>
          <w:sz w:val="24"/>
          <w:szCs w:val="24"/>
        </w:rPr>
        <w:t xml:space="preserve">Andrzej </w:t>
      </w:r>
      <w:proofErr w:type="spellStart"/>
      <w:r w:rsidRPr="00FB31EC">
        <w:rPr>
          <w:rFonts w:asciiTheme="majorHAnsi" w:hAnsiTheme="majorHAnsi" w:cs="Calibri"/>
          <w:sz w:val="24"/>
          <w:szCs w:val="24"/>
        </w:rPr>
        <w:t>Janyszko</w:t>
      </w:r>
      <w:proofErr w:type="spellEnd"/>
      <w:r w:rsidRPr="00FB31EC">
        <w:rPr>
          <w:rFonts w:asciiTheme="majorHAnsi" w:hAnsiTheme="majorHAnsi" w:cs="Calibri"/>
          <w:sz w:val="24"/>
          <w:szCs w:val="24"/>
        </w:rPr>
        <w:t>, PARP</w:t>
      </w:r>
    </w:p>
    <w:p w14:paraId="13A216CD" w14:textId="77777777" w:rsidR="00DD0AB8" w:rsidRPr="00FB31EC" w:rsidRDefault="00DD0AB8" w:rsidP="00DD0AB8">
      <w:pPr>
        <w:spacing w:after="0" w:line="276" w:lineRule="auto"/>
        <w:rPr>
          <w:rFonts w:asciiTheme="majorHAnsi" w:hAnsiTheme="majorHAnsi"/>
          <w:lang w:val="en-US"/>
        </w:rPr>
      </w:pPr>
      <w:proofErr w:type="gramStart"/>
      <w:r w:rsidRPr="00FB31EC">
        <w:rPr>
          <w:rFonts w:asciiTheme="majorHAnsi" w:hAnsiTheme="majorHAnsi" w:cs="Calibri"/>
          <w:sz w:val="24"/>
          <w:szCs w:val="24"/>
          <w:lang w:val="en-US"/>
        </w:rPr>
        <w:t>e</w:t>
      </w:r>
      <w:proofErr w:type="gramEnd"/>
      <w:r w:rsidRPr="00FB31EC">
        <w:rPr>
          <w:rFonts w:asciiTheme="majorHAnsi" w:hAnsiTheme="majorHAnsi" w:cs="Calibri"/>
          <w:sz w:val="24"/>
          <w:szCs w:val="24"/>
          <w:lang w:val="en-US"/>
        </w:rPr>
        <w:t>-mail:</w:t>
      </w:r>
      <w:r w:rsidRPr="00FB31EC">
        <w:rPr>
          <w:rFonts w:asciiTheme="majorHAnsi" w:hAnsiTheme="majorHAnsi"/>
          <w:lang w:val="en-US"/>
        </w:rPr>
        <w:t xml:space="preserve"> </w:t>
      </w:r>
      <w:hyperlink r:id="rId12" w:history="1">
        <w:r w:rsidRPr="00FB31EC">
          <w:rPr>
            <w:rStyle w:val="Hipercze"/>
            <w:rFonts w:asciiTheme="majorHAnsi" w:hAnsiTheme="majorHAnsi"/>
            <w:lang w:val="en-US"/>
          </w:rPr>
          <w:t>andrzej_janyszko@parp.gov.pl</w:t>
        </w:r>
      </w:hyperlink>
    </w:p>
    <w:p w14:paraId="4C5181C6" w14:textId="77777777" w:rsidR="00DD0AB8" w:rsidRPr="00FB31EC" w:rsidRDefault="00DD0AB8" w:rsidP="00DD0AB8">
      <w:pPr>
        <w:spacing w:after="0" w:line="276" w:lineRule="auto"/>
        <w:rPr>
          <w:rStyle w:val="Hipercze"/>
          <w:rFonts w:asciiTheme="majorHAnsi" w:hAnsiTheme="majorHAnsi"/>
          <w:color w:val="auto"/>
        </w:rPr>
      </w:pPr>
      <w:r w:rsidRPr="00FB31EC">
        <w:rPr>
          <w:rStyle w:val="Hipercze"/>
          <w:rFonts w:asciiTheme="majorHAnsi" w:hAnsiTheme="majorHAnsi"/>
          <w:color w:val="auto"/>
        </w:rPr>
        <w:t xml:space="preserve">tel.: 22 432 80 </w:t>
      </w:r>
      <w:proofErr w:type="spellStart"/>
      <w:r w:rsidRPr="00FB31EC">
        <w:rPr>
          <w:rStyle w:val="Hipercze"/>
          <w:rFonts w:asciiTheme="majorHAnsi" w:hAnsiTheme="majorHAnsi"/>
          <w:color w:val="auto"/>
        </w:rPr>
        <w:t>80</w:t>
      </w:r>
      <w:proofErr w:type="spellEnd"/>
    </w:p>
    <w:bookmarkEnd w:id="1"/>
    <w:p w14:paraId="6DEC77D2" w14:textId="77777777" w:rsidR="00DD0AB8" w:rsidRPr="00FB31EC" w:rsidRDefault="00DD0AB8" w:rsidP="00DD0AB8">
      <w:pPr>
        <w:spacing w:after="0" w:line="276" w:lineRule="auto"/>
        <w:rPr>
          <w:rStyle w:val="Hipercze"/>
          <w:rFonts w:asciiTheme="majorHAnsi" w:hAnsiTheme="majorHAnsi"/>
        </w:rPr>
      </w:pPr>
    </w:p>
    <w:p w14:paraId="23BDACE6" w14:textId="77777777" w:rsidR="00DD0AB8" w:rsidRPr="00FB31EC" w:rsidRDefault="00DD0AB8" w:rsidP="00DD0AB8">
      <w:pPr>
        <w:spacing w:after="0" w:line="276" w:lineRule="auto"/>
        <w:rPr>
          <w:rStyle w:val="Hipercze"/>
          <w:rFonts w:asciiTheme="majorHAnsi" w:hAnsiTheme="majorHAnsi"/>
        </w:rPr>
      </w:pPr>
    </w:p>
    <w:p w14:paraId="3E9EC5E7" w14:textId="77777777" w:rsidR="00DD0AB8" w:rsidRPr="00FB31EC" w:rsidRDefault="00DD0AB8" w:rsidP="00DD0AB8">
      <w:pPr>
        <w:spacing w:after="0" w:line="276" w:lineRule="auto"/>
        <w:rPr>
          <w:rStyle w:val="Hipercze"/>
          <w:rFonts w:asciiTheme="majorHAnsi" w:hAnsiTheme="majorHAnsi"/>
        </w:rPr>
      </w:pPr>
    </w:p>
    <w:p w14:paraId="6C1AFA4B" w14:textId="77777777" w:rsidR="00DD0AB8" w:rsidRPr="00FB31EC" w:rsidRDefault="00DD0AB8" w:rsidP="00DD0AB8">
      <w:pPr>
        <w:spacing w:after="0" w:line="276" w:lineRule="auto"/>
        <w:rPr>
          <w:rFonts w:asciiTheme="majorHAnsi" w:eastAsia="Calibri" w:hAnsiTheme="majorHAnsi" w:cs="Calibri"/>
          <w:sz w:val="24"/>
          <w:szCs w:val="24"/>
        </w:rPr>
      </w:pPr>
    </w:p>
    <w:p w14:paraId="6201051B" w14:textId="77777777" w:rsidR="00DD0AB8" w:rsidRPr="00FB31EC" w:rsidRDefault="00DD0AB8" w:rsidP="00DD0AB8">
      <w:pPr>
        <w:spacing w:after="0"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FB31EC">
        <w:rPr>
          <w:rFonts w:asciiTheme="majorHAnsi" w:hAnsiTheme="majorHAnsi" w:cstheme="minorHAnsi"/>
          <w:sz w:val="24"/>
          <w:szCs w:val="24"/>
        </w:rPr>
        <w:t>Informacja prasowa</w:t>
      </w:r>
    </w:p>
    <w:p w14:paraId="5C2DD25F" w14:textId="77777777" w:rsidR="00DD0AB8" w:rsidRPr="00FB31EC" w:rsidRDefault="00DD0AB8" w:rsidP="00DD0AB8">
      <w:pPr>
        <w:spacing w:after="0"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FB31EC">
        <w:rPr>
          <w:rFonts w:asciiTheme="majorHAnsi" w:hAnsiTheme="majorHAnsi" w:cstheme="minorHAnsi"/>
          <w:sz w:val="24"/>
          <w:szCs w:val="24"/>
        </w:rPr>
        <w:t>Warszawa, 30 lipca 2021 r.</w:t>
      </w:r>
    </w:p>
    <w:p w14:paraId="64EC6020" w14:textId="77777777" w:rsidR="00DD0AB8" w:rsidRPr="00FB31EC" w:rsidRDefault="00DD0AB8" w:rsidP="00DD0AB8">
      <w:pPr>
        <w:spacing w:line="276" w:lineRule="auto"/>
        <w:rPr>
          <w:rFonts w:asciiTheme="majorHAnsi" w:hAnsiTheme="majorHAnsi" w:cstheme="minorHAnsi"/>
          <w:sz w:val="18"/>
          <w:szCs w:val="18"/>
        </w:rPr>
      </w:pPr>
    </w:p>
    <w:p w14:paraId="5B308EC1" w14:textId="77777777" w:rsidR="00DD0AB8" w:rsidRPr="00FB31EC" w:rsidRDefault="00DD0AB8" w:rsidP="00DD0AB8">
      <w:pPr>
        <w:spacing w:line="276" w:lineRule="auto"/>
        <w:rPr>
          <w:rFonts w:asciiTheme="majorHAnsi" w:hAnsiTheme="majorHAnsi"/>
          <w:b/>
          <w:sz w:val="34"/>
          <w:szCs w:val="34"/>
        </w:rPr>
        <w:sectPr w:rsidR="00DD0AB8" w:rsidRPr="00FB31EC" w:rsidSect="00FB31EC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70E167DD" w14:textId="77777777" w:rsidR="00DD0AB8" w:rsidRPr="00FB31EC" w:rsidRDefault="00DD0AB8" w:rsidP="00DD0AB8">
      <w:pPr>
        <w:pStyle w:val="Nagwek1"/>
        <w:shd w:val="clear" w:color="auto" w:fill="FFFFFF"/>
        <w:spacing w:after="360" w:line="276" w:lineRule="auto"/>
        <w:jc w:val="center"/>
        <w:rPr>
          <w:rFonts w:cstheme="minorHAnsi"/>
          <w:b/>
          <w:bCs/>
          <w:color w:val="auto"/>
          <w:sz w:val="24"/>
          <w:szCs w:val="24"/>
        </w:rPr>
      </w:pPr>
      <w:r w:rsidRPr="00FB31EC">
        <w:rPr>
          <w:rFonts w:cstheme="minorHAnsi"/>
          <w:b/>
          <w:bCs/>
          <w:color w:val="auto"/>
        </w:rPr>
        <w:lastRenderedPageBreak/>
        <w:t xml:space="preserve">Trendy w innowacyjności – maszyny i sztuczna inteligencja dbają </w:t>
      </w:r>
      <w:r w:rsidR="00FB31EC">
        <w:rPr>
          <w:rFonts w:cstheme="minorHAnsi"/>
          <w:b/>
          <w:bCs/>
          <w:color w:val="auto"/>
        </w:rPr>
        <w:br/>
      </w:r>
      <w:r w:rsidRPr="00FB31EC">
        <w:rPr>
          <w:rFonts w:cstheme="minorHAnsi"/>
          <w:b/>
          <w:bCs/>
          <w:color w:val="auto"/>
        </w:rPr>
        <w:t>o ludzką wygodę i bezpieczeństwo</w:t>
      </w:r>
      <w:r w:rsidRPr="00FB31EC">
        <w:rPr>
          <w:rFonts w:cstheme="minorHAnsi"/>
          <w:b/>
          <w:bCs/>
          <w:color w:val="auto"/>
          <w:sz w:val="24"/>
          <w:szCs w:val="24"/>
        </w:rPr>
        <w:t xml:space="preserve"> </w:t>
      </w:r>
    </w:p>
    <w:p w14:paraId="125A7CC1" w14:textId="77777777" w:rsidR="00DD0AB8" w:rsidRPr="00FB31EC" w:rsidRDefault="00DD0AB8" w:rsidP="00DD0AB8">
      <w:pPr>
        <w:rPr>
          <w:rFonts w:asciiTheme="majorHAnsi" w:hAnsiTheme="majorHAnsi"/>
          <w:sz w:val="24"/>
          <w:szCs w:val="24"/>
        </w:rPr>
      </w:pPr>
      <w:r w:rsidRPr="00FB31EC">
        <w:rPr>
          <w:rStyle w:val="Pogrubienie"/>
          <w:rFonts w:asciiTheme="majorHAnsi" w:hAnsiTheme="majorHAnsi"/>
          <w:sz w:val="24"/>
          <w:szCs w:val="24"/>
        </w:rPr>
        <w:t xml:space="preserve">Wizja świata w krajach najbardziej rozwiniętych oparta na ewolucji społecznej, określanej mianem </w:t>
      </w:r>
      <w:r w:rsidRPr="00FB31EC">
        <w:rPr>
          <w:rStyle w:val="markedcontent"/>
          <w:rFonts w:asciiTheme="majorHAnsi" w:hAnsiTheme="majorHAnsi" w:cstheme="minorHAnsi"/>
          <w:b/>
          <w:sz w:val="24"/>
          <w:szCs w:val="24"/>
        </w:rPr>
        <w:t>„Społeczeństwa 5.0” (</w:t>
      </w:r>
      <w:proofErr w:type="spellStart"/>
      <w:r w:rsidRPr="00FB31EC">
        <w:rPr>
          <w:rStyle w:val="markedcontent"/>
          <w:rFonts w:asciiTheme="majorHAnsi" w:hAnsiTheme="majorHAnsi" w:cstheme="minorHAnsi"/>
          <w:b/>
          <w:sz w:val="24"/>
          <w:szCs w:val="24"/>
        </w:rPr>
        <w:t>Society</w:t>
      </w:r>
      <w:proofErr w:type="spellEnd"/>
      <w:r w:rsidRPr="00FB31EC">
        <w:rPr>
          <w:rStyle w:val="markedcontent"/>
          <w:rFonts w:asciiTheme="majorHAnsi" w:hAnsiTheme="majorHAnsi" w:cstheme="minorHAnsi"/>
          <w:b/>
          <w:sz w:val="24"/>
          <w:szCs w:val="24"/>
        </w:rPr>
        <w:t xml:space="preserve"> 5.0) oraz praca zdalna </w:t>
      </w:r>
      <w:r w:rsidRPr="00FB31EC">
        <w:rPr>
          <w:rFonts w:asciiTheme="majorHAnsi" w:hAnsiTheme="majorHAnsi" w:cstheme="minorHAnsi"/>
          <w:noProof/>
          <w:sz w:val="24"/>
          <w:szCs w:val="24"/>
        </w:rPr>
        <w:t>–</w:t>
      </w:r>
      <w:r w:rsidRPr="00FB31EC">
        <w:rPr>
          <w:rStyle w:val="markedcontent"/>
          <w:rFonts w:asciiTheme="majorHAnsi" w:hAnsiTheme="majorHAnsi" w:cstheme="minorHAnsi"/>
          <w:b/>
          <w:sz w:val="24"/>
          <w:szCs w:val="24"/>
        </w:rPr>
        <w:t xml:space="preserve"> trend, który pozostanie z nami na dłużej.</w:t>
      </w:r>
      <w:r w:rsidRPr="00FB31EC">
        <w:rPr>
          <w:rStyle w:val="Pogrubienie"/>
          <w:rFonts w:asciiTheme="majorHAnsi" w:hAnsiTheme="majorHAnsi"/>
          <w:sz w:val="24"/>
          <w:szCs w:val="24"/>
        </w:rPr>
        <w:t xml:space="preserve"> To wiodące tematy z 10. edycji raportu </w:t>
      </w:r>
      <w:hyperlink r:id="rId13" w:history="1">
        <w:r w:rsidRPr="00FB31EC">
          <w:rPr>
            <w:rStyle w:val="Hipercze"/>
            <w:rFonts w:asciiTheme="majorHAnsi" w:hAnsiTheme="majorHAnsi"/>
            <w:b/>
            <w:bCs/>
            <w:i/>
            <w:color w:val="auto"/>
            <w:sz w:val="24"/>
            <w:szCs w:val="24"/>
          </w:rPr>
          <w:t>Monitoring trendów w innowacyjności</w:t>
        </w:r>
        <w:r w:rsidRPr="00FB31EC">
          <w:rPr>
            <w:rStyle w:val="Hipercze"/>
            <w:rFonts w:asciiTheme="majorHAnsi" w:hAnsiTheme="majorHAnsi"/>
            <w:i/>
            <w:color w:val="auto"/>
            <w:sz w:val="24"/>
            <w:szCs w:val="24"/>
          </w:rPr>
          <w:t xml:space="preserve"> </w:t>
        </w:r>
        <w:r w:rsidRPr="00FB31EC">
          <w:rPr>
            <w:rStyle w:val="Hipercze"/>
            <w:rFonts w:asciiTheme="majorHAnsi" w:hAnsiTheme="majorHAnsi"/>
            <w:b/>
            <w:bCs/>
            <w:i/>
            <w:color w:val="auto"/>
            <w:sz w:val="24"/>
            <w:szCs w:val="24"/>
          </w:rPr>
          <w:t>2021</w:t>
        </w:r>
        <w:r w:rsidRPr="00FB31EC">
          <w:rPr>
            <w:rStyle w:val="Hipercze"/>
            <w:rFonts w:asciiTheme="majorHAnsi" w:hAnsiTheme="majorHAnsi"/>
            <w:color w:val="auto"/>
            <w:sz w:val="24"/>
            <w:szCs w:val="24"/>
          </w:rPr>
          <w:t> </w:t>
        </w:r>
      </w:hyperlink>
      <w:r w:rsidRPr="00FB31EC">
        <w:rPr>
          <w:rStyle w:val="Wyrnienie"/>
          <w:rFonts w:asciiTheme="majorHAnsi" w:hAnsiTheme="majorHAnsi"/>
          <w:b/>
          <w:bCs/>
          <w:sz w:val="24"/>
          <w:szCs w:val="24"/>
        </w:rPr>
        <w:t>opracowanego przez Polską Agencję Rozwoju Przedsiębiorczości</w:t>
      </w:r>
      <w:r w:rsidRPr="00FB31EC">
        <w:rPr>
          <w:rStyle w:val="Pogrubienie"/>
          <w:rFonts w:asciiTheme="majorHAnsi" w:hAnsiTheme="majorHAnsi"/>
          <w:sz w:val="24"/>
          <w:szCs w:val="24"/>
        </w:rPr>
        <w:t>, który przedstawia najważniejsze trendy technologiczne w globalnej gospodarce.</w:t>
      </w:r>
    </w:p>
    <w:p w14:paraId="3470A825" w14:textId="77777777" w:rsidR="00DD0AB8" w:rsidRPr="00FB31EC" w:rsidRDefault="00DD0AB8" w:rsidP="00DD0AB8">
      <w:pPr>
        <w:rPr>
          <w:rFonts w:asciiTheme="majorHAnsi" w:hAnsiTheme="majorHAnsi"/>
          <w:i/>
          <w:sz w:val="24"/>
          <w:szCs w:val="24"/>
        </w:rPr>
      </w:pPr>
      <w:r w:rsidRPr="00FB31EC">
        <w:rPr>
          <w:rStyle w:val="Wyrnienie"/>
          <w:rFonts w:asciiTheme="majorHAnsi" w:hAnsiTheme="majorHAnsi"/>
          <w:i w:val="0"/>
          <w:sz w:val="24"/>
          <w:szCs w:val="24"/>
        </w:rPr>
        <w:t>Agencja jako instytucja wspierająca innowacyjność i przedsiębiorczość na bieżąco obserwuje trendy społeczno-gospodarcze. Raport jest przygotowywany w oparciu o analizy wielu źródeł – ogólnodostępnych danych, najnowszej literatury oraz raportów publikowanych przez polskie i zagraniczne instytucje.</w:t>
      </w:r>
    </w:p>
    <w:p w14:paraId="60EF577A" w14:textId="77777777" w:rsidR="00DD0AB8" w:rsidRPr="00FB31EC" w:rsidRDefault="00DD0AB8" w:rsidP="00DD0AB8">
      <w:pPr>
        <w:rPr>
          <w:rFonts w:asciiTheme="majorHAnsi" w:hAnsiTheme="majorHAnsi"/>
          <w:sz w:val="24"/>
          <w:szCs w:val="24"/>
        </w:rPr>
      </w:pPr>
      <w:r w:rsidRPr="00FB31EC">
        <w:rPr>
          <w:rFonts w:asciiTheme="majorHAnsi" w:hAnsiTheme="majorHAnsi"/>
          <w:sz w:val="24"/>
          <w:szCs w:val="24"/>
        </w:rPr>
        <w:t>W najnowszej edycji raportu, już dziesiątej, przedstawiono wyniki monitoringu Narodowych Systemów Innowacji (NSI) 23 wysoko rozwiniętych krajów. Wśród nich prezentujemy obszerny monitoring najważniejszych trendów w innowacjach z Hiszpanii oraz przegląd nowości w NSI m.in. ze Stanów Zjednoczonych, Chin, Finlandii, Niemiec i Japonii.</w:t>
      </w:r>
    </w:p>
    <w:p w14:paraId="58FBBA76" w14:textId="77777777" w:rsidR="00DD0AB8" w:rsidRPr="00FB31EC" w:rsidRDefault="00DD0AB8" w:rsidP="00DD0AB8">
      <w:pPr>
        <w:rPr>
          <w:rFonts w:asciiTheme="majorHAnsi" w:hAnsiTheme="majorHAnsi" w:cstheme="minorHAnsi"/>
          <w:b/>
          <w:sz w:val="28"/>
          <w:szCs w:val="28"/>
        </w:rPr>
      </w:pPr>
      <w:r w:rsidRPr="00FB31EC">
        <w:rPr>
          <w:rStyle w:val="markedcontent"/>
          <w:rFonts w:asciiTheme="majorHAnsi" w:hAnsiTheme="majorHAnsi" w:cstheme="minorHAnsi"/>
          <w:b/>
          <w:sz w:val="28"/>
          <w:szCs w:val="28"/>
        </w:rPr>
        <w:t>Społeczeństwo 5.0 – japońska wizja społecznej ewolucji</w:t>
      </w:r>
    </w:p>
    <w:p w14:paraId="4C2D2439" w14:textId="77777777" w:rsidR="00DD0AB8" w:rsidRPr="00FB31EC" w:rsidRDefault="00DD0AB8" w:rsidP="00DD0AB8">
      <w:pPr>
        <w:rPr>
          <w:rStyle w:val="markedcontent"/>
          <w:rFonts w:asciiTheme="majorHAnsi" w:hAnsiTheme="majorHAnsi" w:cstheme="minorHAnsi"/>
          <w:sz w:val="24"/>
          <w:szCs w:val="24"/>
        </w:rPr>
      </w:pPr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 xml:space="preserve">Na naszych oczach rozpoczyna się kolejny etap ewolucji społecznej, który Japonia określiła mianem „Społeczeństwa 5.0”. Nowy model społeczny nazywany jest również </w:t>
      </w:r>
      <w:proofErr w:type="spellStart"/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>superinteligentnym</w:t>
      </w:r>
      <w:proofErr w:type="spellEnd"/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 xml:space="preserve"> (Super-smart </w:t>
      </w:r>
      <w:proofErr w:type="spellStart"/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>society</w:t>
      </w:r>
      <w:proofErr w:type="spellEnd"/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>), opartym na danych (Data-</w:t>
      </w:r>
      <w:proofErr w:type="spellStart"/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>Driven</w:t>
      </w:r>
      <w:proofErr w:type="spellEnd"/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>Society</w:t>
      </w:r>
      <w:proofErr w:type="spellEnd"/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>) lub opartym na wiedzy (Knowledge-</w:t>
      </w:r>
      <w:proofErr w:type="spellStart"/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>Intensive</w:t>
      </w:r>
      <w:proofErr w:type="spellEnd"/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>Society</w:t>
      </w:r>
      <w:proofErr w:type="spellEnd"/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>).</w:t>
      </w:r>
    </w:p>
    <w:p w14:paraId="7AD37300" w14:textId="77777777" w:rsidR="00DD0AB8" w:rsidRPr="00FB31EC" w:rsidRDefault="00DD0AB8" w:rsidP="00DD0AB8">
      <w:pPr>
        <w:rPr>
          <w:rStyle w:val="markedcontent"/>
          <w:rFonts w:asciiTheme="majorHAnsi" w:hAnsiTheme="majorHAnsi" w:cstheme="minorHAnsi"/>
          <w:sz w:val="24"/>
          <w:szCs w:val="24"/>
        </w:rPr>
      </w:pPr>
      <w:bookmarkStart w:id="2" w:name="_Hlk78449249"/>
      <w:r w:rsidRPr="00FB31EC">
        <w:rPr>
          <w:rFonts w:asciiTheme="majorHAnsi" w:hAnsiTheme="majorHAnsi" w:cstheme="minorHAnsi"/>
          <w:noProof/>
          <w:sz w:val="24"/>
          <w:szCs w:val="24"/>
        </w:rPr>
        <w:t>–</w:t>
      </w:r>
      <w:bookmarkEnd w:id="2"/>
      <w:r w:rsidRPr="00FB31EC">
        <w:rPr>
          <w:rFonts w:asciiTheme="majorHAnsi" w:hAnsiTheme="majorHAnsi" w:cstheme="minorHAnsi"/>
          <w:noProof/>
          <w:sz w:val="24"/>
          <w:szCs w:val="24"/>
        </w:rPr>
        <w:t xml:space="preserve"> </w:t>
      </w:r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>Trzy elementy napędzają innowacje społeczne: dane, informacje i wiedza. Dotychczas proces konwersji odbywał się poprzez interakcje człowiek</w:t>
      </w:r>
      <w:r w:rsidRPr="00FB31EC">
        <w:rPr>
          <w:rFonts w:asciiTheme="majorHAnsi" w:hAnsiTheme="majorHAnsi" w:cstheme="minorHAnsi"/>
          <w:noProof/>
          <w:sz w:val="24"/>
          <w:szCs w:val="24"/>
        </w:rPr>
        <w:t>–</w:t>
      </w:r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 xml:space="preserve">komputer. W społeczeństwie 5.0 ten proces będzie prowadzony bez interwencji człowieka. Ludzie mają korzystać z ostatecznego wyniku przetworzenia danych </w:t>
      </w:r>
      <w:r w:rsidRPr="00FB31EC">
        <w:rPr>
          <w:rFonts w:asciiTheme="majorHAnsi" w:hAnsiTheme="majorHAnsi" w:cstheme="minorHAnsi"/>
          <w:noProof/>
          <w:sz w:val="24"/>
          <w:szCs w:val="24"/>
        </w:rPr>
        <w:t xml:space="preserve">– stwierdza </w:t>
      </w:r>
      <w:r w:rsidRPr="00FB31EC">
        <w:rPr>
          <w:rFonts w:asciiTheme="majorHAnsi" w:hAnsiTheme="majorHAnsi" w:cstheme="minorHAnsi"/>
          <w:b/>
          <w:noProof/>
          <w:sz w:val="24"/>
          <w:szCs w:val="24"/>
        </w:rPr>
        <w:t>Anna Skowrońska</w:t>
      </w:r>
      <w:r w:rsidRPr="00FB31EC">
        <w:rPr>
          <w:rFonts w:asciiTheme="majorHAnsi" w:hAnsiTheme="majorHAnsi" w:cstheme="minorHAnsi"/>
          <w:noProof/>
          <w:sz w:val="24"/>
          <w:szCs w:val="24"/>
        </w:rPr>
        <w:t xml:space="preserve"> z Departamentu Analiz i Strategii PARP.</w:t>
      </w:r>
    </w:p>
    <w:p w14:paraId="1CEFAE1B" w14:textId="77777777" w:rsidR="00DD0AB8" w:rsidRPr="00FB31EC" w:rsidRDefault="00DD0AB8" w:rsidP="00DD0AB8">
      <w:pPr>
        <w:rPr>
          <w:rStyle w:val="markedcontent"/>
          <w:rFonts w:asciiTheme="majorHAnsi" w:hAnsiTheme="majorHAnsi" w:cstheme="minorHAnsi"/>
          <w:sz w:val="24"/>
          <w:szCs w:val="24"/>
        </w:rPr>
      </w:pPr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 xml:space="preserve">Żeby móc iść dalej, trzeba usprawnić procesy międzyludzkie włączając w nie sztuczną inteligencję. Koncepcja </w:t>
      </w:r>
      <w:proofErr w:type="spellStart"/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>Society</w:t>
      </w:r>
      <w:proofErr w:type="spellEnd"/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 xml:space="preserve"> 5.0 zakłada, że sztuczna inteligencja z japońskiego planu ma być wszechobecna i działać spójnie w całym społeczeństwie. Dzięki niej na ulicach będzie możliwy płynny ruch </w:t>
      </w:r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lastRenderedPageBreak/>
        <w:t>pojazdów autonomicznych, miasta będą mogły połączyć się z innymi miastami, a społeczeństwa z innymi społeczeństwami.</w:t>
      </w:r>
    </w:p>
    <w:p w14:paraId="31F6F2E3" w14:textId="77777777" w:rsidR="00DD0AB8" w:rsidRPr="00FB31EC" w:rsidRDefault="00DD0AB8" w:rsidP="00DD0AB8">
      <w:pPr>
        <w:rPr>
          <w:rFonts w:asciiTheme="majorHAnsi" w:hAnsiTheme="majorHAnsi" w:cstheme="minorHAnsi"/>
          <w:sz w:val="24"/>
          <w:szCs w:val="24"/>
        </w:rPr>
      </w:pPr>
      <w:r w:rsidRPr="00FB31EC">
        <w:rPr>
          <w:rFonts w:asciiTheme="majorHAnsi" w:hAnsiTheme="majorHAnsi" w:cstheme="minorHAnsi"/>
          <w:sz w:val="24"/>
          <w:szCs w:val="24"/>
        </w:rPr>
        <w:t>Koncepcja Społeczeństwa 5.0 stawia człowieka w centrum uwagi, jest spójna z celami zrównoważonego rozwoju.</w:t>
      </w:r>
    </w:p>
    <w:p w14:paraId="69D0C754" w14:textId="77777777" w:rsidR="00DD0AB8" w:rsidRPr="00FB31EC" w:rsidRDefault="00DD0AB8" w:rsidP="00DD0AB8">
      <w:pPr>
        <w:rPr>
          <w:rFonts w:asciiTheme="majorHAnsi" w:hAnsiTheme="majorHAnsi" w:cstheme="minorHAnsi"/>
          <w:b/>
          <w:sz w:val="28"/>
          <w:szCs w:val="28"/>
        </w:rPr>
      </w:pPr>
      <w:r w:rsidRPr="00FB31EC">
        <w:rPr>
          <w:rFonts w:asciiTheme="majorHAnsi" w:hAnsiTheme="majorHAnsi" w:cstheme="minorHAnsi"/>
          <w:b/>
          <w:sz w:val="28"/>
          <w:szCs w:val="28"/>
        </w:rPr>
        <w:t xml:space="preserve">Praca zdalna </w:t>
      </w:r>
      <w:r w:rsidRPr="00FB31EC">
        <w:rPr>
          <w:rFonts w:asciiTheme="majorHAnsi" w:hAnsiTheme="majorHAnsi" w:cstheme="minorHAnsi"/>
          <w:noProof/>
          <w:sz w:val="24"/>
          <w:szCs w:val="24"/>
        </w:rPr>
        <w:t>–</w:t>
      </w:r>
      <w:r w:rsidRPr="00FB31EC">
        <w:rPr>
          <w:rFonts w:asciiTheme="majorHAnsi" w:hAnsiTheme="majorHAnsi" w:cstheme="minorHAnsi"/>
          <w:b/>
          <w:sz w:val="28"/>
          <w:szCs w:val="28"/>
        </w:rPr>
        <w:t xml:space="preserve"> popularny model pracy</w:t>
      </w:r>
    </w:p>
    <w:p w14:paraId="097BCBB1" w14:textId="77777777" w:rsidR="00DD0AB8" w:rsidRPr="00FB31EC" w:rsidRDefault="00DD0AB8" w:rsidP="00DD0AB8">
      <w:pPr>
        <w:rPr>
          <w:rStyle w:val="markedcontent"/>
          <w:rFonts w:asciiTheme="majorHAnsi" w:hAnsiTheme="majorHAnsi" w:cstheme="minorHAnsi"/>
          <w:sz w:val="24"/>
          <w:szCs w:val="24"/>
        </w:rPr>
      </w:pPr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 xml:space="preserve">Przez Covid-19 o połowę wzrósł odsetek ludzi pracujących zdalnie. Według badań zmiana preferencji pracowników, w tym do pracy zdalnej lub hybrydowej to drugi – po szybkim postępie technologicznym – czynnik, który w ciągu najbliższych 3-5 lat zmieni rynek pracy. Coraz większa liczba pracowników uważa, że model hybrydowy łączący w różnych proporcjach pracę zdalną i pracę stacjonarną w biurze lub u klienta byłby idealnym modelem pracy. </w:t>
      </w:r>
    </w:p>
    <w:p w14:paraId="6D420789" w14:textId="77777777" w:rsidR="00DD0AB8" w:rsidRPr="00FB31EC" w:rsidRDefault="00DD0AB8" w:rsidP="00DD0AB8">
      <w:pPr>
        <w:rPr>
          <w:rStyle w:val="markedcontent"/>
          <w:rFonts w:asciiTheme="majorHAnsi" w:hAnsiTheme="majorHAnsi" w:cstheme="minorHAnsi"/>
          <w:sz w:val="24"/>
          <w:szCs w:val="24"/>
        </w:rPr>
      </w:pPr>
      <w:r w:rsidRPr="00FB31EC">
        <w:rPr>
          <w:rFonts w:asciiTheme="majorHAnsi" w:hAnsiTheme="majorHAnsi" w:cstheme="minorHAnsi"/>
          <w:noProof/>
          <w:sz w:val="24"/>
          <w:szCs w:val="24"/>
        </w:rPr>
        <w:t xml:space="preserve">– </w:t>
      </w:r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 xml:space="preserve">Zgodnie z danymi GUS z cyklicznego badania „Popyt na pracę”, na koniec 2020 r. udział osób, które pracowały zdalnie w związku z pandemią COVID-19 wyniósł 10,8 proc. To wzrost o 5 </w:t>
      </w:r>
      <w:proofErr w:type="spellStart"/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>p.p</w:t>
      </w:r>
      <w:proofErr w:type="spellEnd"/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 xml:space="preserve">. w porównaniu z końcem poprzedniego kwartału. Takie funkcjonowanie firm przyspieszyło lub wymusiło innowacyjne działania związane głównie z rozwojem cyfrowym </w:t>
      </w:r>
      <w:r w:rsidRPr="00FB31EC">
        <w:rPr>
          <w:rFonts w:asciiTheme="majorHAnsi" w:hAnsiTheme="majorHAnsi" w:cstheme="minorHAnsi"/>
          <w:noProof/>
          <w:sz w:val="24"/>
          <w:szCs w:val="24"/>
        </w:rPr>
        <w:t xml:space="preserve">– zauważa </w:t>
      </w:r>
      <w:r w:rsidRPr="00FB31EC">
        <w:rPr>
          <w:rFonts w:asciiTheme="majorHAnsi" w:hAnsiTheme="majorHAnsi" w:cstheme="minorHAnsi"/>
          <w:b/>
          <w:noProof/>
          <w:sz w:val="24"/>
          <w:szCs w:val="24"/>
        </w:rPr>
        <w:t xml:space="preserve">Iwona Krysińska </w:t>
      </w:r>
      <w:r w:rsidRPr="00FB31EC">
        <w:rPr>
          <w:rFonts w:asciiTheme="majorHAnsi" w:hAnsiTheme="majorHAnsi" w:cstheme="minorHAnsi"/>
          <w:noProof/>
          <w:sz w:val="24"/>
          <w:szCs w:val="24"/>
        </w:rPr>
        <w:t>z Departamentu Analiz i Strategii PARP.</w:t>
      </w:r>
    </w:p>
    <w:p w14:paraId="1928027E" w14:textId="77777777" w:rsidR="00DD0AB8" w:rsidRPr="00FB31EC" w:rsidRDefault="00DD0AB8" w:rsidP="00DD0AB8">
      <w:pPr>
        <w:rPr>
          <w:rStyle w:val="markedcontent"/>
          <w:rFonts w:asciiTheme="majorHAnsi" w:hAnsiTheme="majorHAnsi" w:cstheme="minorHAnsi"/>
          <w:sz w:val="24"/>
          <w:szCs w:val="24"/>
        </w:rPr>
      </w:pPr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 xml:space="preserve">Długookresowa perspektywa pracy hybrydowej lub pracy zdalnej może spowodować upowszechnienie rozwiązań dotyczących m.in.: </w:t>
      </w:r>
    </w:p>
    <w:p w14:paraId="2EF448A8" w14:textId="77777777" w:rsidR="00DD0AB8" w:rsidRPr="00FB31EC" w:rsidRDefault="00DD0AB8" w:rsidP="00DD0AB8">
      <w:pPr>
        <w:pStyle w:val="Akapitzlist"/>
        <w:numPr>
          <w:ilvl w:val="0"/>
          <w:numId w:val="1"/>
        </w:numPr>
        <w:rPr>
          <w:rStyle w:val="markedcontent"/>
          <w:rFonts w:asciiTheme="majorHAnsi" w:hAnsiTheme="majorHAnsi" w:cstheme="minorHAnsi"/>
          <w:sz w:val="24"/>
          <w:szCs w:val="24"/>
        </w:rPr>
      </w:pPr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>rozwoju infrastruktury sprzyjającej pracy poza biurem,</w:t>
      </w:r>
    </w:p>
    <w:p w14:paraId="6C94274D" w14:textId="77777777" w:rsidR="00DD0AB8" w:rsidRPr="00FB31EC" w:rsidRDefault="00DD0AB8" w:rsidP="00DD0AB8">
      <w:pPr>
        <w:pStyle w:val="Akapitzlist"/>
        <w:numPr>
          <w:ilvl w:val="0"/>
          <w:numId w:val="1"/>
        </w:numPr>
        <w:rPr>
          <w:rStyle w:val="markedcontent"/>
          <w:rFonts w:asciiTheme="majorHAnsi" w:hAnsiTheme="majorHAnsi" w:cstheme="minorHAnsi"/>
          <w:sz w:val="24"/>
          <w:szCs w:val="24"/>
        </w:rPr>
      </w:pPr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>określenia regulaminów odnoszących się do pracy poza siedzibą firmy,</w:t>
      </w:r>
    </w:p>
    <w:p w14:paraId="0AB49FC0" w14:textId="77777777" w:rsidR="00DD0AB8" w:rsidRPr="00FB31EC" w:rsidRDefault="00DD0AB8" w:rsidP="00DD0AB8">
      <w:pPr>
        <w:pStyle w:val="Akapitzlist"/>
        <w:numPr>
          <w:ilvl w:val="0"/>
          <w:numId w:val="1"/>
        </w:numPr>
        <w:rPr>
          <w:rStyle w:val="markedcontent"/>
          <w:rFonts w:asciiTheme="majorHAnsi" w:hAnsiTheme="majorHAnsi" w:cstheme="minorHAnsi"/>
          <w:sz w:val="24"/>
          <w:szCs w:val="24"/>
        </w:rPr>
      </w:pPr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 xml:space="preserve">rozwoju technologii cyfrowych oraz systemu ochrony danych i zapewnienia </w:t>
      </w:r>
      <w:proofErr w:type="spellStart"/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>cyberbezpieczeństwa</w:t>
      </w:r>
      <w:proofErr w:type="spellEnd"/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>,</w:t>
      </w:r>
    </w:p>
    <w:p w14:paraId="4E613615" w14:textId="77777777" w:rsidR="00DD0AB8" w:rsidRPr="00FB31EC" w:rsidRDefault="00DD0AB8" w:rsidP="00DD0AB8">
      <w:pPr>
        <w:pStyle w:val="Akapitzlist"/>
        <w:numPr>
          <w:ilvl w:val="0"/>
          <w:numId w:val="1"/>
        </w:numPr>
        <w:rPr>
          <w:rStyle w:val="markedcontent"/>
          <w:rFonts w:asciiTheme="majorHAnsi" w:hAnsiTheme="majorHAnsi" w:cstheme="minorHAnsi"/>
          <w:sz w:val="24"/>
          <w:szCs w:val="24"/>
        </w:rPr>
      </w:pPr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>alternatywnych systemów motywacji,</w:t>
      </w:r>
    </w:p>
    <w:p w14:paraId="0264995A" w14:textId="77777777" w:rsidR="00DD0AB8" w:rsidRPr="00FB31EC" w:rsidRDefault="00DD0AB8" w:rsidP="00DD0AB8">
      <w:pPr>
        <w:pStyle w:val="Akapitzlist"/>
        <w:numPr>
          <w:ilvl w:val="0"/>
          <w:numId w:val="1"/>
        </w:numPr>
        <w:rPr>
          <w:rStyle w:val="markedcontent"/>
          <w:rFonts w:asciiTheme="majorHAnsi" w:hAnsiTheme="majorHAnsi" w:cstheme="minorHAnsi"/>
          <w:sz w:val="24"/>
          <w:szCs w:val="24"/>
        </w:rPr>
      </w:pPr>
      <w:r w:rsidRPr="00FB31EC">
        <w:rPr>
          <w:rStyle w:val="markedcontent"/>
          <w:rFonts w:asciiTheme="majorHAnsi" w:hAnsiTheme="majorHAnsi" w:cstheme="minorHAnsi"/>
          <w:sz w:val="24"/>
          <w:szCs w:val="24"/>
        </w:rPr>
        <w:t>rozwoju metod i szkoleń związanych z zarządzaniem ludźmi.</w:t>
      </w:r>
    </w:p>
    <w:p w14:paraId="685BBD60" w14:textId="77777777" w:rsidR="00DD0AB8" w:rsidRPr="00FB31EC" w:rsidRDefault="00DD0AB8" w:rsidP="00DD0AB8">
      <w:pPr>
        <w:rPr>
          <w:rFonts w:asciiTheme="majorHAnsi" w:hAnsiTheme="majorHAnsi" w:cstheme="minorHAnsi"/>
          <w:b/>
          <w:sz w:val="24"/>
          <w:szCs w:val="24"/>
        </w:rPr>
      </w:pPr>
    </w:p>
    <w:p w14:paraId="227D081C" w14:textId="77777777" w:rsidR="00DD0AB8" w:rsidRPr="00FB31EC" w:rsidRDefault="00DD0AB8" w:rsidP="00DD0AB8">
      <w:pPr>
        <w:rPr>
          <w:rFonts w:asciiTheme="majorHAnsi" w:hAnsiTheme="majorHAnsi"/>
          <w:sz w:val="24"/>
          <w:szCs w:val="24"/>
        </w:rPr>
      </w:pPr>
      <w:r w:rsidRPr="00FB31EC">
        <w:rPr>
          <w:rFonts w:asciiTheme="majorHAnsi" w:hAnsiTheme="majorHAnsi"/>
          <w:sz w:val="24"/>
          <w:szCs w:val="24"/>
        </w:rPr>
        <w:t xml:space="preserve">Więcej informacji na stronie publikacji: </w:t>
      </w:r>
      <w:hyperlink r:id="rId14" w:history="1">
        <w:r w:rsidRPr="00FB31EC">
          <w:rPr>
            <w:rStyle w:val="Hipercze"/>
            <w:rFonts w:asciiTheme="majorHAnsi" w:hAnsiTheme="majorHAnsi"/>
            <w:sz w:val="24"/>
            <w:szCs w:val="24"/>
          </w:rPr>
          <w:t>Monitoring trendów w innowacyjności – Raport 10</w:t>
        </w:r>
      </w:hyperlink>
      <w:r w:rsidRPr="00FB31EC">
        <w:rPr>
          <w:rFonts w:asciiTheme="majorHAnsi" w:hAnsiTheme="majorHAnsi"/>
          <w:sz w:val="24"/>
          <w:szCs w:val="24"/>
        </w:rPr>
        <w:t xml:space="preserve"> </w:t>
      </w:r>
    </w:p>
    <w:p w14:paraId="31ACEACC" w14:textId="77777777" w:rsidR="00DD0AB8" w:rsidRPr="00FB31EC" w:rsidRDefault="00DD0AB8" w:rsidP="00DD0AB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B31EC">
        <w:rPr>
          <w:rFonts w:asciiTheme="majorHAnsi" w:eastAsia="Times New Roman" w:hAnsiTheme="majorHAnsi" w:cs="Times New Roman"/>
          <w:sz w:val="24"/>
          <w:szCs w:val="24"/>
          <w:lang w:eastAsia="pl-PL"/>
        </w:rPr>
        <w:t>----------</w:t>
      </w:r>
      <w:r w:rsidRPr="00FB31E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FB31E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„Monitoring trendów w innowacyjności” stanowi część szerszych działań z zakresu monitoringu Narodowych Systemów Innowacji, realizowanych w ramach projektu PARP – </w:t>
      </w:r>
      <w:proofErr w:type="spellStart"/>
      <w:r w:rsidRPr="00FB31EC">
        <w:rPr>
          <w:rFonts w:asciiTheme="majorHAnsi" w:eastAsia="Times New Roman" w:hAnsiTheme="majorHAnsi" w:cstheme="majorHAnsi"/>
          <w:sz w:val="24"/>
          <w:szCs w:val="24"/>
          <w:lang w:eastAsia="pl-PL"/>
        </w:rPr>
        <w:t>inno_LAB</w:t>
      </w:r>
      <w:proofErr w:type="spellEnd"/>
      <w:r w:rsidRPr="00FB31EC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51B858AB" w14:textId="77777777" w:rsidR="00DD0AB8" w:rsidRPr="00FB31EC" w:rsidRDefault="00DD0AB8" w:rsidP="00DD0AB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B31EC">
        <w:rPr>
          <w:rFonts w:asciiTheme="majorHAnsi" w:eastAsia="Times New Roman" w:hAnsiTheme="majorHAnsi" w:cstheme="majorHAnsi"/>
          <w:sz w:val="24"/>
          <w:szCs w:val="24"/>
          <w:lang w:eastAsia="pl-PL"/>
        </w:rPr>
        <w:t>Raport opiera się na analizie publicznie dostępnych danych, najnowszej literatury z zakresu innowacyjności, w tym także publikowanych przez instytucje stanowiące system wspierania innowacyjności w wybranych krajach. Jego celem jest systematyczne wyszukiwanie i analizowanie zjawisk technologicznych, społecznych, politycznych czy gospodarczych, które wpływają na rozwój innowacyjnych rozwiązań, wzrost przedsiębiorstw, a także poprawę jakości życia społeczeństw. Publikacja jest finansowana z funduszy europejskich w ramach Programu Operacyjnego Inteligentny Rozwój.</w:t>
      </w:r>
    </w:p>
    <w:p w14:paraId="282E79AE" w14:textId="77777777" w:rsidR="00DD0AB8" w:rsidRPr="00FB31EC" w:rsidRDefault="00DD0AB8" w:rsidP="00DD0AB8">
      <w:p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</w:rPr>
      </w:pPr>
      <w:r w:rsidRPr="00FB31EC">
        <w:rPr>
          <w:rFonts w:asciiTheme="majorHAnsi" w:hAnsiTheme="majorHAnsi" w:cstheme="majorHAnsi"/>
          <w:noProof/>
          <w:color w:val="000000"/>
          <w:lang w:val="en-US" w:eastAsia="pl-PL"/>
        </w:rPr>
        <w:drawing>
          <wp:inline distT="0" distB="0" distL="0" distR="0" wp14:anchorId="3865091C" wp14:editId="171B592E">
            <wp:extent cx="6120130" cy="664845"/>
            <wp:effectExtent l="0" t="0" r="0" b="1905"/>
            <wp:docPr id="1" name="Obraz 1" descr="logotypy: Fundusze Europejskie Inteligentny Rozwój Rzeczpospolita Polska, PARP Grupa PFR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R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ECEB9" w14:textId="77777777" w:rsidR="00DD0AB8" w:rsidRPr="00FB31EC" w:rsidRDefault="00DD0AB8" w:rsidP="00DD0AB8">
      <w:pPr>
        <w:spacing w:after="360" w:line="276" w:lineRule="auto"/>
        <w:rPr>
          <w:rFonts w:asciiTheme="majorHAnsi" w:hAnsiTheme="majorHAnsi" w:cstheme="minorHAnsi"/>
          <w:noProof/>
          <w:sz w:val="24"/>
          <w:szCs w:val="24"/>
        </w:rPr>
      </w:pPr>
      <w:r w:rsidRPr="00FB31EC">
        <w:rPr>
          <w:rFonts w:asciiTheme="majorHAnsi" w:hAnsiTheme="majorHAnsi" w:cstheme="minorHAnsi"/>
          <w:noProof/>
          <w:sz w:val="24"/>
          <w:szCs w:val="24"/>
        </w:rPr>
        <w:t xml:space="preserve"> </w:t>
      </w:r>
    </w:p>
    <w:p w14:paraId="5F4D3FC2" w14:textId="77777777" w:rsidR="00D12941" w:rsidRPr="00FB31EC" w:rsidRDefault="00D12941">
      <w:pPr>
        <w:rPr>
          <w:rFonts w:asciiTheme="majorHAnsi" w:hAnsiTheme="majorHAnsi"/>
        </w:rPr>
      </w:pPr>
    </w:p>
    <w:sectPr w:rsidR="00D12941" w:rsidRPr="00FB31EC" w:rsidSect="00FB31EC">
      <w:type w:val="continuous"/>
      <w:pgSz w:w="11906" w:h="16838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8A595" w14:textId="77777777" w:rsidR="00FB31EC" w:rsidRDefault="00FB31EC">
      <w:pPr>
        <w:spacing w:after="0" w:line="240" w:lineRule="auto"/>
      </w:pPr>
      <w:r>
        <w:separator/>
      </w:r>
    </w:p>
  </w:endnote>
  <w:endnote w:type="continuationSeparator" w:id="0">
    <w:p w14:paraId="1F5A606C" w14:textId="77777777" w:rsidR="00FB31EC" w:rsidRDefault="00F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903AB" w14:textId="77777777" w:rsidR="00FB31EC" w:rsidRDefault="00FB31EC">
      <w:pPr>
        <w:spacing w:after="0" w:line="240" w:lineRule="auto"/>
      </w:pPr>
      <w:r>
        <w:separator/>
      </w:r>
    </w:p>
  </w:footnote>
  <w:footnote w:type="continuationSeparator" w:id="0">
    <w:p w14:paraId="71F74EC2" w14:textId="77777777" w:rsidR="00FB31EC" w:rsidRDefault="00FB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2A5BF" w14:textId="77777777" w:rsidR="00FB31EC" w:rsidRDefault="00FB31EC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1C0C4B5D" wp14:editId="1EB3EA35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657"/>
          <wp:effectExtent l="0" t="0" r="635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56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01C8B" w14:textId="77777777" w:rsidR="00FB31EC" w:rsidRDefault="00FB31EC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772CA84D" wp14:editId="074182E5">
          <wp:simplePos x="0" y="0"/>
          <wp:positionH relativeFrom="margin">
            <wp:align>center</wp:align>
          </wp:positionH>
          <wp:positionV relativeFrom="paragraph">
            <wp:posOffset>-716915</wp:posOffset>
          </wp:positionV>
          <wp:extent cx="8433435" cy="10944225"/>
          <wp:effectExtent l="0" t="0" r="571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3891" cy="10944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1F96C" w14:textId="77777777" w:rsidR="00FB31EC" w:rsidRDefault="00FB31EC">
    <w:pPr>
      <w:pStyle w:val="Nagwek"/>
    </w:pPr>
    <w:r w:rsidRPr="00EE5BCB"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77473479" wp14:editId="01B50963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4114"/>
          <wp:effectExtent l="0" t="0" r="127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957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5D2"/>
    <w:multiLevelType w:val="hybridMultilevel"/>
    <w:tmpl w:val="8B304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B8"/>
    <w:rsid w:val="0034203B"/>
    <w:rsid w:val="00D12941"/>
    <w:rsid w:val="00DD0AB8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F33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AB8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0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0A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DD0AB8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D0AB8"/>
    <w:pPr>
      <w:ind w:left="720"/>
      <w:contextualSpacing/>
    </w:pPr>
  </w:style>
  <w:style w:type="character" w:styleId="Wyrnienie">
    <w:name w:val="Emphasis"/>
    <w:basedOn w:val="Domylnaczcionkaakapitu"/>
    <w:uiPriority w:val="20"/>
    <w:qFormat/>
    <w:rsid w:val="00DD0AB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D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AB8"/>
    <w:rPr>
      <w:rFonts w:eastAsiaTheme="minorHAnsi"/>
      <w:sz w:val="22"/>
      <w:szCs w:val="22"/>
      <w:lang w:val="pl-PL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DD0AB8"/>
    <w:rPr>
      <w:rFonts w:eastAsiaTheme="minorHAnsi"/>
      <w:sz w:val="22"/>
      <w:szCs w:val="22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DD0AB8"/>
    <w:rPr>
      <w:b/>
      <w:bCs/>
    </w:rPr>
  </w:style>
  <w:style w:type="character" w:customStyle="1" w:styleId="markedcontent">
    <w:name w:val="markedcontent"/>
    <w:basedOn w:val="Domylnaczcionkaakapitu"/>
    <w:rsid w:val="00DD0AB8"/>
  </w:style>
  <w:style w:type="paragraph" w:styleId="Tekstdymka">
    <w:name w:val="Balloon Text"/>
    <w:basedOn w:val="Normalny"/>
    <w:link w:val="TekstdymkaZnak"/>
    <w:uiPriority w:val="99"/>
    <w:semiHidden/>
    <w:unhideWhenUsed/>
    <w:rsid w:val="00DD0AB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AB8"/>
    <w:rPr>
      <w:rFonts w:ascii="Lucida Grande CE" w:eastAsiaTheme="minorHAnsi" w:hAnsi="Lucida Grande CE" w:cs="Lucida Grande CE"/>
      <w:sz w:val="18"/>
      <w:szCs w:val="18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AB8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0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0A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DD0AB8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D0AB8"/>
    <w:pPr>
      <w:ind w:left="720"/>
      <w:contextualSpacing/>
    </w:pPr>
  </w:style>
  <w:style w:type="character" w:styleId="Wyrnienie">
    <w:name w:val="Emphasis"/>
    <w:basedOn w:val="Domylnaczcionkaakapitu"/>
    <w:uiPriority w:val="20"/>
    <w:qFormat/>
    <w:rsid w:val="00DD0AB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D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AB8"/>
    <w:rPr>
      <w:rFonts w:eastAsiaTheme="minorHAnsi"/>
      <w:sz w:val="22"/>
      <w:szCs w:val="22"/>
      <w:lang w:val="pl-PL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DD0AB8"/>
    <w:rPr>
      <w:rFonts w:eastAsiaTheme="minorHAnsi"/>
      <w:sz w:val="22"/>
      <w:szCs w:val="22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DD0AB8"/>
    <w:rPr>
      <w:b/>
      <w:bCs/>
    </w:rPr>
  </w:style>
  <w:style w:type="character" w:customStyle="1" w:styleId="markedcontent">
    <w:name w:val="markedcontent"/>
    <w:basedOn w:val="Domylnaczcionkaakapitu"/>
    <w:rsid w:val="00DD0AB8"/>
  </w:style>
  <w:style w:type="paragraph" w:styleId="Tekstdymka">
    <w:name w:val="Balloon Text"/>
    <w:basedOn w:val="Normalny"/>
    <w:link w:val="TekstdymkaZnak"/>
    <w:uiPriority w:val="99"/>
    <w:semiHidden/>
    <w:unhideWhenUsed/>
    <w:rsid w:val="00DD0AB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AB8"/>
    <w:rPr>
      <w:rFonts w:ascii="Lucida Grande CE" w:eastAsiaTheme="minorHAnsi" w:hAnsi="Lucida Grande CE" w:cs="Lucida Grande CE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mailto:andrzej_janyszko@parp.gov.pl" TargetMode="External"/><Relationship Id="rId13" Type="http://schemas.openxmlformats.org/officeDocument/2006/relationships/hyperlink" Target="https://www.parp.gov.pl/storage/publications/pdf/RAPORT_Monitoring-trendw-w-innowacyjnoci-vol.-10-czerwiec-2021-www.pdf" TargetMode="External"/><Relationship Id="rId14" Type="http://schemas.openxmlformats.org/officeDocument/2006/relationships/hyperlink" Target="https://www.parp.gov.pl/component/publications/publication/monitoring-trendow-w-innowacyjnosci-raport-10" TargetMode="External"/><Relationship Id="rId15" Type="http://schemas.openxmlformats.org/officeDocument/2006/relationships/image" Target="media/image5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4281</Characters>
  <Application>Microsoft Macintosh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cp:lastPrinted>2021-07-30T08:30:00Z</cp:lastPrinted>
  <dcterms:created xsi:type="dcterms:W3CDTF">2021-07-30T08:30:00Z</dcterms:created>
  <dcterms:modified xsi:type="dcterms:W3CDTF">2021-07-30T08:31:00Z</dcterms:modified>
</cp:coreProperties>
</file>