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874C" w14:textId="77777777" w:rsidR="00514F4F" w:rsidRDefault="00514F4F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</w:rPr>
      </w:pPr>
    </w:p>
    <w:p w14:paraId="67015087" w14:textId="2BB4F7B4" w:rsidR="00514F4F" w:rsidRPr="005E13F1" w:rsidRDefault="00514F4F" w:rsidP="00514F4F">
      <w:pPr>
        <w:pStyle w:val="Tekstkomentarza"/>
        <w:spacing w:afterLines="100" w:after="312"/>
        <w:contextualSpacing/>
        <w:jc w:val="center"/>
        <w:rPr>
          <w:rFonts w:ascii="Arial" w:eastAsia="Arial Unicode MS" w:hAnsi="Arial" w:cs="Arial"/>
          <w:b/>
          <w:sz w:val="28"/>
          <w:szCs w:val="22"/>
          <w:lang w:val="pl-PL"/>
        </w:rPr>
      </w:pPr>
      <w:r w:rsidRPr="005E13F1">
        <w:rPr>
          <w:rFonts w:ascii="Arial" w:eastAsia="Arial Unicode MS" w:hAnsi="Arial" w:cs="Arial"/>
          <w:b/>
          <w:sz w:val="28"/>
          <w:szCs w:val="22"/>
          <w:lang w:val="pl-PL"/>
        </w:rPr>
        <w:t>H</w:t>
      </w:r>
      <w:r w:rsidR="00F010B7">
        <w:rPr>
          <w:rFonts w:ascii="Arial" w:eastAsia="Arial Unicode MS" w:hAnsi="Arial" w:cs="Arial"/>
          <w:b/>
          <w:sz w:val="28"/>
          <w:szCs w:val="22"/>
          <w:lang w:val="pl-PL"/>
        </w:rPr>
        <w:t>uawei: technologie all-f</w:t>
      </w:r>
      <w:r w:rsidR="005E13F1" w:rsidRPr="005E13F1">
        <w:rPr>
          <w:rFonts w:ascii="Arial" w:eastAsia="Arial Unicode MS" w:hAnsi="Arial" w:cs="Arial"/>
          <w:b/>
          <w:sz w:val="28"/>
          <w:szCs w:val="22"/>
          <w:lang w:val="pl-PL"/>
        </w:rPr>
        <w:t xml:space="preserve">lash </w:t>
      </w:r>
      <w:r w:rsidR="00F010B7">
        <w:rPr>
          <w:rFonts w:ascii="Arial" w:eastAsia="Arial Unicode MS" w:hAnsi="Arial" w:cs="Arial"/>
          <w:b/>
          <w:sz w:val="28"/>
          <w:szCs w:val="22"/>
          <w:lang w:val="pl-PL"/>
        </w:rPr>
        <w:t>dla centrów danych</w:t>
      </w:r>
      <w:r w:rsidR="0059536A">
        <w:rPr>
          <w:rFonts w:ascii="Arial" w:eastAsia="Arial Unicode MS" w:hAnsi="Arial" w:cs="Arial"/>
          <w:b/>
          <w:sz w:val="28"/>
          <w:szCs w:val="22"/>
          <w:lang w:val="pl-PL"/>
        </w:rPr>
        <w:t xml:space="preserve"> kluczowe, </w:t>
      </w:r>
      <w:r w:rsidR="0059536A" w:rsidRPr="0059536A">
        <w:rPr>
          <w:rFonts w:ascii="Arial" w:eastAsia="Arial Unicode MS" w:hAnsi="Arial" w:cs="Arial"/>
          <w:b/>
          <w:sz w:val="28"/>
          <w:szCs w:val="22"/>
          <w:lang w:val="pl-PL"/>
        </w:rPr>
        <w:t xml:space="preserve">aby </w:t>
      </w:r>
      <w:r w:rsidR="00F010B7">
        <w:rPr>
          <w:rFonts w:ascii="Arial" w:eastAsia="Arial Unicode MS" w:hAnsi="Arial" w:cs="Arial"/>
          <w:b/>
          <w:sz w:val="28"/>
          <w:szCs w:val="22"/>
          <w:lang w:val="pl-PL"/>
        </w:rPr>
        <w:t>utrzymać tempo</w:t>
      </w:r>
      <w:r w:rsidR="0059536A" w:rsidRPr="0059536A">
        <w:rPr>
          <w:rFonts w:ascii="Arial" w:eastAsia="Arial Unicode MS" w:hAnsi="Arial" w:cs="Arial"/>
          <w:b/>
          <w:sz w:val="28"/>
          <w:szCs w:val="22"/>
          <w:lang w:val="pl-PL"/>
        </w:rPr>
        <w:t xml:space="preserve"> cyfrowej</w:t>
      </w:r>
      <w:r w:rsidR="0059536A">
        <w:rPr>
          <w:rFonts w:ascii="Arial" w:eastAsia="Arial Unicode MS" w:hAnsi="Arial" w:cs="Arial"/>
          <w:b/>
          <w:sz w:val="28"/>
          <w:szCs w:val="22"/>
          <w:lang w:val="pl-PL"/>
        </w:rPr>
        <w:t xml:space="preserve"> </w:t>
      </w:r>
      <w:r w:rsidR="0059536A" w:rsidRPr="0059536A">
        <w:rPr>
          <w:rFonts w:ascii="Arial" w:eastAsia="Arial Unicode MS" w:hAnsi="Arial" w:cs="Arial"/>
          <w:b/>
          <w:sz w:val="28"/>
          <w:szCs w:val="22"/>
          <w:lang w:val="pl-PL"/>
        </w:rPr>
        <w:t>rewolucji</w:t>
      </w:r>
    </w:p>
    <w:p w14:paraId="1ABDA645" w14:textId="77777777" w:rsidR="00514F4F" w:rsidRPr="005E13F1" w:rsidRDefault="00514F4F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b/>
          <w:sz w:val="24"/>
          <w:szCs w:val="22"/>
          <w:lang w:val="pl-PL"/>
        </w:rPr>
      </w:pPr>
    </w:p>
    <w:p w14:paraId="592F76D9" w14:textId="2E02FD28" w:rsidR="00514F4F" w:rsidRPr="005D45EF" w:rsidRDefault="00514F4F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b/>
          <w:sz w:val="22"/>
          <w:szCs w:val="22"/>
          <w:lang w:val="pl-PL"/>
        </w:rPr>
      </w:pPr>
      <w:r w:rsidRPr="005D45EF">
        <w:rPr>
          <w:rFonts w:ascii="Arial" w:eastAsia="Arial Unicode MS" w:hAnsi="Arial" w:cs="Arial"/>
          <w:b/>
          <w:sz w:val="22"/>
          <w:szCs w:val="22"/>
          <w:lang w:val="pl-PL"/>
        </w:rPr>
        <w:t xml:space="preserve">Huawei konsekwentnie rozwija swoje portfolio usług centrodanowych, by jeszcze efektywniej wspierać organizacje w ich cyfrowej transformacji. </w:t>
      </w:r>
      <w:r w:rsidR="005D45EF" w:rsidRPr="005D45EF">
        <w:rPr>
          <w:rFonts w:ascii="Arial" w:eastAsia="Arial Unicode MS" w:hAnsi="Arial" w:cs="Arial"/>
          <w:b/>
          <w:sz w:val="22"/>
          <w:szCs w:val="22"/>
          <w:lang w:val="pl-PL"/>
        </w:rPr>
        <w:t>W</w:t>
      </w:r>
      <w:r w:rsidRPr="005D45EF">
        <w:rPr>
          <w:rFonts w:ascii="Arial" w:eastAsia="Arial Unicode MS" w:hAnsi="Arial" w:cs="Arial"/>
          <w:b/>
          <w:sz w:val="22"/>
          <w:szCs w:val="22"/>
          <w:lang w:val="pl-PL"/>
        </w:rPr>
        <w:t xml:space="preserve">spólnie z IDC </w:t>
      </w:r>
      <w:r w:rsidR="005D45EF" w:rsidRPr="005D45EF">
        <w:rPr>
          <w:rFonts w:ascii="Arial" w:eastAsia="Arial Unicode MS" w:hAnsi="Arial" w:cs="Arial"/>
          <w:b/>
          <w:sz w:val="22"/>
          <w:szCs w:val="22"/>
          <w:lang w:val="pl-PL"/>
        </w:rPr>
        <w:t xml:space="preserve">firma </w:t>
      </w:r>
      <w:r w:rsidRPr="005D45EF">
        <w:rPr>
          <w:rFonts w:ascii="Arial" w:eastAsia="Arial Unicode MS" w:hAnsi="Arial" w:cs="Arial"/>
          <w:b/>
          <w:sz w:val="22"/>
          <w:szCs w:val="22"/>
          <w:lang w:val="pl-PL"/>
        </w:rPr>
        <w:t>opracował</w:t>
      </w:r>
      <w:r w:rsidR="0032238C">
        <w:rPr>
          <w:rFonts w:ascii="Arial" w:eastAsia="Arial Unicode MS" w:hAnsi="Arial" w:cs="Arial"/>
          <w:b/>
          <w:sz w:val="22"/>
          <w:szCs w:val="22"/>
          <w:lang w:val="pl-PL"/>
        </w:rPr>
        <w:t>y pierwszy na rynku</w:t>
      </w:r>
      <w:r w:rsidR="005D45EF" w:rsidRPr="005D45EF">
        <w:rPr>
          <w:rFonts w:ascii="Arial" w:eastAsia="Arial Unicode MS" w:hAnsi="Arial" w:cs="Arial"/>
          <w:b/>
          <w:sz w:val="22"/>
          <w:szCs w:val="22"/>
          <w:lang w:val="pl-PL"/>
        </w:rPr>
        <w:t xml:space="preserve"> kompleksowy przewodnik po technologiach all-flash data center. Od podstaw zarysowuje on proces budowy nowoczesnego centrum dany</w:t>
      </w:r>
      <w:r w:rsidR="0032238C">
        <w:rPr>
          <w:rFonts w:ascii="Arial" w:eastAsia="Arial Unicode MS" w:hAnsi="Arial" w:cs="Arial"/>
          <w:b/>
          <w:sz w:val="22"/>
          <w:szCs w:val="22"/>
          <w:lang w:val="pl-PL"/>
        </w:rPr>
        <w:t>ch, skoncentrowanego na wsparciu</w:t>
      </w:r>
      <w:r w:rsidR="005D45EF" w:rsidRPr="005D45EF">
        <w:rPr>
          <w:rFonts w:ascii="Arial" w:eastAsia="Arial Unicode MS" w:hAnsi="Arial" w:cs="Arial"/>
          <w:b/>
          <w:sz w:val="22"/>
          <w:szCs w:val="22"/>
          <w:lang w:val="pl-PL"/>
        </w:rPr>
        <w:t xml:space="preserve"> przedsiębiorstw w procesach digitalizacyjnych we wszystkich branżach. </w:t>
      </w:r>
    </w:p>
    <w:p w14:paraId="174F5060" w14:textId="6A9997C6" w:rsidR="005D45EF" w:rsidRPr="0028386D" w:rsidRDefault="005D45EF" w:rsidP="005D45E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37F19AF4" w14:textId="0B86F795" w:rsidR="005D45EF" w:rsidRDefault="005D45EF" w:rsidP="005D45E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5D45EF">
        <w:rPr>
          <w:rFonts w:ascii="Arial" w:eastAsia="Arial Unicode MS" w:hAnsi="Arial" w:cs="Arial"/>
          <w:sz w:val="22"/>
          <w:szCs w:val="22"/>
          <w:lang w:val="pl-PL"/>
        </w:rPr>
        <w:t>W</w:t>
      </w:r>
      <w:r>
        <w:rPr>
          <w:rFonts w:ascii="Arial" w:eastAsia="Arial Unicode MS" w:hAnsi="Arial" w:cs="Arial"/>
          <w:sz w:val="22"/>
          <w:szCs w:val="22"/>
          <w:lang w:val="pl-PL"/>
        </w:rPr>
        <w:t>drażanie innowacji</w:t>
      </w:r>
      <w:r w:rsidRPr="005D45EF">
        <w:rPr>
          <w:rFonts w:ascii="Arial" w:eastAsia="Arial Unicode MS" w:hAnsi="Arial" w:cs="Arial"/>
          <w:sz w:val="22"/>
          <w:szCs w:val="22"/>
          <w:lang w:val="pl-PL"/>
        </w:rPr>
        <w:t xml:space="preserve"> w centra</w:t>
      </w:r>
      <w:r>
        <w:rPr>
          <w:rFonts w:ascii="Arial" w:eastAsia="Arial Unicode MS" w:hAnsi="Arial" w:cs="Arial"/>
          <w:sz w:val="22"/>
          <w:szCs w:val="22"/>
          <w:lang w:val="pl-PL"/>
        </w:rPr>
        <w:t>ch danych to n</w:t>
      </w:r>
      <w:r w:rsidR="00012316">
        <w:rPr>
          <w:rFonts w:ascii="Arial" w:eastAsia="Arial Unicode MS" w:hAnsi="Arial" w:cs="Arial"/>
          <w:sz w:val="22"/>
          <w:szCs w:val="22"/>
          <w:lang w:val="pl-PL"/>
        </w:rPr>
        <w:t>ieunikniona inwestycja dla firm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na całym świecie, szczególnie teraz, gdy coraz bardziej przybliżamy się do epoki inteligentnych rozwiązań w każdej praktycznie branży. Modernizacja infrastruktury IT w przedsiębiorstwa</w:t>
      </w:r>
      <w:r w:rsidR="00012316">
        <w:rPr>
          <w:rFonts w:ascii="Arial" w:eastAsia="Arial Unicode MS" w:hAnsi="Arial" w:cs="Arial"/>
          <w:sz w:val="22"/>
          <w:szCs w:val="22"/>
          <w:lang w:val="pl-PL"/>
        </w:rPr>
        <w:t>ch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coraz częściej obejmuje </w:t>
      </w:r>
      <w:r w:rsidRPr="005D45EF">
        <w:rPr>
          <w:rFonts w:ascii="Arial" w:eastAsia="Arial Unicode MS" w:hAnsi="Arial" w:cs="Arial"/>
          <w:sz w:val="22"/>
          <w:szCs w:val="22"/>
          <w:lang w:val="pl-PL"/>
        </w:rPr>
        <w:t xml:space="preserve">innowacje w zakresie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gromadzenia </w:t>
      </w:r>
      <w:r w:rsidRPr="005D45EF">
        <w:rPr>
          <w:rFonts w:ascii="Arial" w:eastAsia="Arial Unicode MS" w:hAnsi="Arial" w:cs="Arial"/>
          <w:sz w:val="22"/>
          <w:szCs w:val="22"/>
          <w:lang w:val="pl-PL"/>
        </w:rPr>
        <w:t>danych, spr</w:t>
      </w:r>
      <w:r>
        <w:rPr>
          <w:rFonts w:ascii="Arial" w:eastAsia="Arial Unicode MS" w:hAnsi="Arial" w:cs="Arial"/>
          <w:sz w:val="22"/>
          <w:szCs w:val="22"/>
          <w:lang w:val="pl-PL"/>
        </w:rPr>
        <w:t>awności</w:t>
      </w:r>
      <w:r w:rsidRPr="005D45EF">
        <w:rPr>
          <w:rFonts w:ascii="Arial" w:eastAsia="Arial Unicode MS" w:hAnsi="Arial" w:cs="Arial"/>
          <w:sz w:val="22"/>
          <w:szCs w:val="22"/>
          <w:lang w:val="pl-PL"/>
        </w:rPr>
        <w:t xml:space="preserve"> działania w czasie r</w:t>
      </w:r>
      <w:r w:rsidR="00A9626A">
        <w:rPr>
          <w:rFonts w:ascii="Arial" w:eastAsia="Arial Unicode MS" w:hAnsi="Arial" w:cs="Arial"/>
          <w:sz w:val="22"/>
          <w:szCs w:val="22"/>
          <w:lang w:val="pl-PL"/>
        </w:rPr>
        <w:t>zeczywistym, energooszczędności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czy </w:t>
      </w:r>
      <w:r w:rsidRPr="005D45EF">
        <w:rPr>
          <w:rFonts w:ascii="Arial" w:eastAsia="Arial Unicode MS" w:hAnsi="Arial" w:cs="Arial"/>
          <w:sz w:val="22"/>
          <w:szCs w:val="22"/>
          <w:lang w:val="pl-PL"/>
        </w:rPr>
        <w:t>inteligentne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go zarządzania. </w:t>
      </w:r>
      <w:r w:rsidRPr="005D45EF">
        <w:rPr>
          <w:rFonts w:ascii="Arial" w:eastAsia="Arial Unicode MS" w:hAnsi="Arial" w:cs="Arial"/>
          <w:sz w:val="22"/>
          <w:szCs w:val="22"/>
          <w:lang w:val="pl-PL"/>
        </w:rPr>
        <w:t xml:space="preserve">Potrzeby firm i organizacji nie ograniczają się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bowiem już </w:t>
      </w:r>
      <w:r w:rsidRPr="005D45EF">
        <w:rPr>
          <w:rFonts w:ascii="Arial" w:eastAsia="Arial Unicode MS" w:hAnsi="Arial" w:cs="Arial"/>
          <w:sz w:val="22"/>
          <w:szCs w:val="22"/>
          <w:lang w:val="pl-PL"/>
        </w:rPr>
        <w:t xml:space="preserve">jedynie do większych możliwości storage’owych. </w:t>
      </w:r>
    </w:p>
    <w:p w14:paraId="00CAD7B0" w14:textId="6D3E9BA3" w:rsidR="005D45EF" w:rsidRDefault="005D45EF" w:rsidP="005D45E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10AE3253" w14:textId="393CD7E7" w:rsidR="005D45EF" w:rsidRPr="005D45EF" w:rsidRDefault="005D45EF" w:rsidP="005D45E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sz w:val="22"/>
          <w:szCs w:val="22"/>
          <w:lang w:val="pl-PL"/>
        </w:rPr>
        <w:t xml:space="preserve">Huawei wspólnie z IDC przekonują, </w:t>
      </w:r>
      <w:r w:rsidR="0028386D">
        <w:rPr>
          <w:rFonts w:ascii="Arial" w:eastAsia="Arial Unicode MS" w:hAnsi="Arial" w:cs="Arial"/>
          <w:sz w:val="22"/>
          <w:szCs w:val="22"/>
          <w:lang w:val="pl-PL"/>
        </w:rPr>
        <w:t>że współczesne centrum danych ty</w:t>
      </w:r>
      <w:r>
        <w:rPr>
          <w:rFonts w:ascii="Arial" w:eastAsia="Arial Unicode MS" w:hAnsi="Arial" w:cs="Arial"/>
          <w:sz w:val="22"/>
          <w:szCs w:val="22"/>
          <w:lang w:val="pl-PL"/>
        </w:rPr>
        <w:t>pu a</w:t>
      </w:r>
      <w:r w:rsidR="004446A1">
        <w:rPr>
          <w:rFonts w:ascii="Arial" w:eastAsia="Arial Unicode MS" w:hAnsi="Arial" w:cs="Arial"/>
          <w:sz w:val="22"/>
          <w:szCs w:val="22"/>
          <w:lang w:val="pl-PL"/>
        </w:rPr>
        <w:t>ll-flash, oparte na najnowocześniejszych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 w:rsidR="004446A1">
        <w:rPr>
          <w:rFonts w:ascii="Arial" w:eastAsia="Arial Unicode MS" w:hAnsi="Arial" w:cs="Arial"/>
          <w:sz w:val="22"/>
          <w:szCs w:val="22"/>
          <w:lang w:val="pl-PL"/>
        </w:rPr>
        <w:t>rozwiązaniach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SSD</w:t>
      </w:r>
      <w:r w:rsidR="004446A1">
        <w:rPr>
          <w:rFonts w:ascii="Arial" w:eastAsia="Arial Unicode MS" w:hAnsi="Arial" w:cs="Arial"/>
          <w:sz w:val="22"/>
          <w:szCs w:val="22"/>
          <w:lang w:val="pl-PL"/>
        </w:rPr>
        <w:t>,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powinno móc wykorzystywać co najmniej 90 proc. pojemności stosowanych pamięci masowych. Jednocześnie tego typu centrum powinno gwaranto</w:t>
      </w:r>
      <w:r w:rsidR="0028386D">
        <w:rPr>
          <w:rFonts w:ascii="Arial" w:eastAsia="Arial Unicode MS" w:hAnsi="Arial" w:cs="Arial"/>
          <w:sz w:val="22"/>
          <w:szCs w:val="22"/>
          <w:lang w:val="pl-PL"/>
        </w:rPr>
        <w:t>wać firmom wysoki poziom nieza</w:t>
      </w:r>
      <w:r>
        <w:rPr>
          <w:rFonts w:ascii="Arial" w:eastAsia="Arial Unicode MS" w:hAnsi="Arial" w:cs="Arial"/>
          <w:sz w:val="22"/>
          <w:szCs w:val="22"/>
          <w:lang w:val="pl-PL"/>
        </w:rPr>
        <w:t>w</w:t>
      </w:r>
      <w:r w:rsidR="0028386D">
        <w:rPr>
          <w:rFonts w:ascii="Arial" w:eastAsia="Arial Unicode MS" w:hAnsi="Arial" w:cs="Arial"/>
          <w:sz w:val="22"/>
          <w:szCs w:val="22"/>
          <w:lang w:val="pl-PL"/>
        </w:rPr>
        <w:t>od</w:t>
      </w:r>
      <w:r>
        <w:rPr>
          <w:rFonts w:ascii="Arial" w:eastAsia="Arial Unicode MS" w:hAnsi="Arial" w:cs="Arial"/>
          <w:sz w:val="22"/>
          <w:szCs w:val="22"/>
          <w:lang w:val="pl-PL"/>
        </w:rPr>
        <w:t>noś</w:t>
      </w:r>
      <w:r w:rsidR="00E90661">
        <w:rPr>
          <w:rFonts w:ascii="Arial" w:eastAsia="Arial Unicode MS" w:hAnsi="Arial" w:cs="Arial"/>
          <w:sz w:val="22"/>
          <w:szCs w:val="22"/>
          <w:lang w:val="pl-PL"/>
        </w:rPr>
        <w:t>ci, krótki czas reakcji oraz e</w:t>
      </w:r>
      <w:r w:rsidR="005E0910">
        <w:rPr>
          <w:rFonts w:ascii="Arial" w:eastAsia="Arial Unicode MS" w:hAnsi="Arial" w:cs="Arial"/>
          <w:sz w:val="22"/>
          <w:szCs w:val="22"/>
          <w:lang w:val="pl-PL"/>
        </w:rPr>
        <w:t>fektywność energetyczną. Centra</w:t>
      </w:r>
      <w:r w:rsidR="00E90661">
        <w:rPr>
          <w:rFonts w:ascii="Arial" w:eastAsia="Arial Unicode MS" w:hAnsi="Arial" w:cs="Arial"/>
          <w:sz w:val="22"/>
          <w:szCs w:val="22"/>
          <w:lang w:val="pl-PL"/>
        </w:rPr>
        <w:t xml:space="preserve"> danych typu all-flash w najbliższych l</w:t>
      </w:r>
      <w:r w:rsidR="005E0910">
        <w:rPr>
          <w:rFonts w:ascii="Arial" w:eastAsia="Arial Unicode MS" w:hAnsi="Arial" w:cs="Arial"/>
          <w:sz w:val="22"/>
          <w:szCs w:val="22"/>
          <w:lang w:val="pl-PL"/>
        </w:rPr>
        <w:t>a</w:t>
      </w:r>
      <w:r w:rsidR="00E90661">
        <w:rPr>
          <w:rFonts w:ascii="Arial" w:eastAsia="Arial Unicode MS" w:hAnsi="Arial" w:cs="Arial"/>
          <w:sz w:val="22"/>
          <w:szCs w:val="22"/>
          <w:lang w:val="pl-PL"/>
        </w:rPr>
        <w:t>tach</w:t>
      </w:r>
      <w:r w:rsidRPr="005D45EF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 w:rsidR="005E0910">
        <w:rPr>
          <w:rFonts w:ascii="Arial" w:eastAsia="Arial Unicode MS" w:hAnsi="Arial" w:cs="Arial"/>
          <w:sz w:val="22"/>
          <w:szCs w:val="22"/>
          <w:lang w:val="pl-PL"/>
        </w:rPr>
        <w:t>odgrywać będą</w:t>
      </w:r>
      <w:r w:rsidRPr="005D45EF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 w:rsidR="00E90661">
        <w:rPr>
          <w:rFonts w:ascii="Arial" w:eastAsia="Arial Unicode MS" w:hAnsi="Arial" w:cs="Arial"/>
          <w:sz w:val="22"/>
          <w:szCs w:val="22"/>
          <w:lang w:val="pl-PL"/>
        </w:rPr>
        <w:t>kluczową</w:t>
      </w:r>
      <w:r w:rsidRPr="005D45EF">
        <w:rPr>
          <w:rFonts w:ascii="Arial" w:eastAsia="Arial Unicode MS" w:hAnsi="Arial" w:cs="Arial"/>
          <w:sz w:val="22"/>
          <w:szCs w:val="22"/>
          <w:lang w:val="pl-PL"/>
        </w:rPr>
        <w:t xml:space="preserve"> rolę w </w:t>
      </w:r>
      <w:r w:rsidR="00E90661">
        <w:rPr>
          <w:rFonts w:ascii="Arial" w:eastAsia="Arial Unicode MS" w:hAnsi="Arial" w:cs="Arial"/>
          <w:sz w:val="22"/>
          <w:szCs w:val="22"/>
          <w:lang w:val="pl-PL"/>
        </w:rPr>
        <w:t xml:space="preserve">rozwoju innowacyjnych przedsiębiorstw, bazujących na wykorzystaniu nowoczesnych aplikacji i analizie danych. </w:t>
      </w:r>
    </w:p>
    <w:p w14:paraId="0C873874" w14:textId="5F4DB890" w:rsidR="00514F4F" w:rsidRPr="0028386D" w:rsidRDefault="00514F4F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4D743F15" w14:textId="53576A6C" w:rsidR="00514F4F" w:rsidRDefault="00E90661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sz w:val="22"/>
          <w:szCs w:val="22"/>
          <w:lang w:val="pl-PL"/>
        </w:rPr>
        <w:t xml:space="preserve">Opracowany przez IDC i Huawei </w:t>
      </w:r>
      <w:r w:rsidR="00625D93">
        <w:rPr>
          <w:rFonts w:ascii="Arial" w:eastAsia="Arial Unicode MS" w:hAnsi="Arial" w:cs="Arial"/>
          <w:sz w:val="22"/>
          <w:szCs w:val="22"/>
          <w:lang w:val="pl-PL"/>
        </w:rPr>
        <w:t>dokument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pokazuje ponadto najlepsze praktyki wdrożeniowe na bazie przykładów z 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>branży finansowej, opera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torskiej czy opieki zdrowotnej, demonstrując przy tym szereg nowych zastosowań:  </w:t>
      </w:r>
    </w:p>
    <w:p w14:paraId="2E4AA88C" w14:textId="77777777" w:rsidR="00E90661" w:rsidRDefault="00E90661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1D066E59" w14:textId="624807DB" w:rsidR="00E90661" w:rsidRDefault="00E90661" w:rsidP="00E90661">
      <w:pPr>
        <w:pStyle w:val="Tekstkomentarza"/>
        <w:numPr>
          <w:ilvl w:val="0"/>
          <w:numId w:val="39"/>
        </w:numPr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E90661">
        <w:rPr>
          <w:rFonts w:ascii="Arial" w:eastAsia="Arial Unicode MS" w:hAnsi="Arial" w:cs="Arial"/>
          <w:sz w:val="22"/>
          <w:szCs w:val="22"/>
          <w:lang w:val="pl-PL"/>
        </w:rPr>
        <w:t>System</w:t>
      </w:r>
      <w:r>
        <w:rPr>
          <w:rFonts w:ascii="Arial" w:eastAsia="Arial Unicode MS" w:hAnsi="Arial" w:cs="Arial"/>
          <w:sz w:val="22"/>
          <w:szCs w:val="22"/>
          <w:lang w:val="pl-PL"/>
        </w:rPr>
        <w:t>y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all-flash nie </w:t>
      </w:r>
      <w:r>
        <w:rPr>
          <w:rFonts w:ascii="Arial" w:eastAsia="Arial Unicode MS" w:hAnsi="Arial" w:cs="Arial"/>
          <w:sz w:val="22"/>
          <w:szCs w:val="22"/>
          <w:lang w:val="pl-PL"/>
        </w:rPr>
        <w:t>są już ograniczone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do określonych aplikacj</w:t>
      </w:r>
      <w:r>
        <w:rPr>
          <w:rFonts w:ascii="Arial" w:eastAsia="Arial Unicode MS" w:hAnsi="Arial" w:cs="Arial"/>
          <w:sz w:val="22"/>
          <w:szCs w:val="22"/>
          <w:lang w:val="pl-PL"/>
        </w:rPr>
        <w:t>i i obciążeń roboczych, centra danych tego typu można wdrażać obecnie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w celu zaspokojenia krytycznych i dodatkowych obciążeń roboczych w różnych </w:t>
      </w:r>
      <w:r>
        <w:rPr>
          <w:rFonts w:ascii="Arial" w:eastAsia="Arial Unicode MS" w:hAnsi="Arial" w:cs="Arial"/>
          <w:sz w:val="22"/>
          <w:szCs w:val="22"/>
          <w:lang w:val="pl-PL"/>
        </w:rPr>
        <w:t>środowiskach, elastycznie</w:t>
      </w:r>
      <w:r w:rsidR="00625D93">
        <w:rPr>
          <w:rFonts w:ascii="Arial" w:eastAsia="Arial Unicode MS" w:hAnsi="Arial" w:cs="Arial"/>
          <w:sz w:val="22"/>
          <w:szCs w:val="22"/>
          <w:lang w:val="pl-PL"/>
        </w:rPr>
        <w:t>, w zależności od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potrzeb.</w:t>
      </w:r>
    </w:p>
    <w:p w14:paraId="2FF47061" w14:textId="7CCF1988" w:rsidR="00E90661" w:rsidRDefault="00E90661" w:rsidP="00E90661">
      <w:pPr>
        <w:pStyle w:val="Tekstkomentarza"/>
        <w:numPr>
          <w:ilvl w:val="0"/>
          <w:numId w:val="39"/>
        </w:numPr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sz w:val="22"/>
          <w:szCs w:val="22"/>
          <w:lang w:val="pl-PL"/>
        </w:rPr>
        <w:t>Lokalne i globalne rekomendacje dotyczące zielonej energii stopniowo stają się wymogiem w wielu sektorach i firmach. Centrum danych typu all-flash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to </w:t>
      </w:r>
      <w:r w:rsidR="000245C6">
        <w:rPr>
          <w:rFonts w:ascii="Arial" w:eastAsia="Arial Unicode MS" w:hAnsi="Arial" w:cs="Arial"/>
          <w:sz w:val="22"/>
          <w:szCs w:val="22"/>
          <w:lang w:val="pl-PL"/>
        </w:rPr>
        <w:t>rozsądny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wybór i kolejny krok w kierunku zrównoważonego rozwoju.</w:t>
      </w:r>
    </w:p>
    <w:p w14:paraId="0465B006" w14:textId="40C62055" w:rsidR="00E90661" w:rsidRDefault="00E90661" w:rsidP="00E90661">
      <w:pPr>
        <w:pStyle w:val="Tekstkomentarza"/>
        <w:numPr>
          <w:ilvl w:val="0"/>
          <w:numId w:val="39"/>
        </w:numPr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Sieci centrów danych ewoluują w kierunku sieci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typu 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>all-IP. Przewiduje się, że</w:t>
      </w:r>
      <w:r w:rsidRPr="00E90661">
        <w:rPr>
          <w:lang w:val="pl-PL"/>
        </w:rPr>
        <w:t xml:space="preserve"> 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>mechanizm przesyłania danych między komputerem i dyskiem SSD za pośrednictwem sieci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(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>NVMe over Fabrics</w:t>
      </w:r>
      <w:r>
        <w:rPr>
          <w:rFonts w:ascii="Arial" w:eastAsia="Arial Unicode MS" w:hAnsi="Arial" w:cs="Arial"/>
          <w:sz w:val="22"/>
          <w:szCs w:val="22"/>
          <w:lang w:val="pl-PL"/>
        </w:rPr>
        <w:t>)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będzie katalizatorem dla innowa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cji </w:t>
      </w:r>
      <w:r>
        <w:rPr>
          <w:rFonts w:ascii="Arial" w:eastAsia="Arial Unicode MS" w:hAnsi="Arial" w:cs="Arial"/>
          <w:sz w:val="22"/>
          <w:szCs w:val="22"/>
          <w:lang w:val="pl-PL"/>
        </w:rPr>
        <w:lastRenderedPageBreak/>
        <w:t xml:space="preserve">w architekturze transmisji. Dzięki temu podejściu uda się 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>osiągnąć wyższą wydajność i uprościć zarządzanie O&amp;M, zwłaszcza w architekturze zdezagregowanej pod kątem obliczeń i pamięci masowej.</w:t>
      </w:r>
    </w:p>
    <w:p w14:paraId="20FCC46E" w14:textId="77777777" w:rsidR="00E90661" w:rsidRPr="00E90661" w:rsidRDefault="00E90661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310655B4" w14:textId="39E01CAE" w:rsidR="00B17ADD" w:rsidRDefault="00E90661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Cyfrowa transformacja stawia przed przedsiębiorstwami </w:t>
      </w:r>
      <w:r>
        <w:rPr>
          <w:rFonts w:ascii="Arial" w:eastAsia="Arial Unicode MS" w:hAnsi="Arial" w:cs="Arial"/>
          <w:sz w:val="22"/>
          <w:szCs w:val="22"/>
          <w:lang w:val="pl-PL"/>
        </w:rPr>
        <w:t>wiele nowych wyzwań, w tym te związane z analizą danych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w czasie rzeczywistym. Infrastruktura</w:t>
      </w:r>
      <w:r w:rsidR="00B17ADD">
        <w:rPr>
          <w:rFonts w:ascii="Arial" w:eastAsia="Arial Unicode MS" w:hAnsi="Arial" w:cs="Arial"/>
          <w:sz w:val="22"/>
          <w:szCs w:val="22"/>
          <w:lang w:val="pl-PL"/>
        </w:rPr>
        <w:t xml:space="preserve"> IT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oparta na </w:t>
      </w:r>
      <w:r w:rsidR="00B17ADD">
        <w:rPr>
          <w:rFonts w:ascii="Arial" w:eastAsia="Arial Unicode MS" w:hAnsi="Arial" w:cs="Arial"/>
          <w:sz w:val="22"/>
          <w:szCs w:val="22"/>
          <w:lang w:val="pl-PL"/>
        </w:rPr>
        <w:t>nowoczesnych pamięciach masowych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jest obecnie </w:t>
      </w:r>
      <w:r w:rsidR="00B17ADD">
        <w:rPr>
          <w:rFonts w:ascii="Arial" w:eastAsia="Arial Unicode MS" w:hAnsi="Arial" w:cs="Arial"/>
          <w:sz w:val="22"/>
          <w:szCs w:val="22"/>
          <w:lang w:val="pl-PL"/>
        </w:rPr>
        <w:t>głównym kierunkiem rozwoju</w:t>
      </w:r>
      <w:r w:rsidR="005E13F1">
        <w:rPr>
          <w:rFonts w:ascii="Arial" w:eastAsia="Arial Unicode MS" w:hAnsi="Arial" w:cs="Arial"/>
          <w:sz w:val="22"/>
          <w:szCs w:val="22"/>
          <w:lang w:val="pl-PL"/>
        </w:rPr>
        <w:t>.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 w:rsidR="005E13F1">
        <w:rPr>
          <w:rFonts w:ascii="Arial" w:eastAsia="Arial Unicode MS" w:hAnsi="Arial" w:cs="Arial"/>
          <w:sz w:val="22"/>
          <w:szCs w:val="22"/>
          <w:lang w:val="pl-PL"/>
        </w:rPr>
        <w:t>Z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>apewnia optymalne opóźnienia dla obciążeń roboczych i wykorzystuje najnowocześn</w:t>
      </w:r>
      <w:r w:rsidR="00ED1CF6">
        <w:rPr>
          <w:rFonts w:ascii="Arial" w:eastAsia="Arial Unicode MS" w:hAnsi="Arial" w:cs="Arial"/>
          <w:sz w:val="22"/>
          <w:szCs w:val="22"/>
          <w:lang w:val="pl-PL"/>
        </w:rPr>
        <w:t>iejsze technologie, takie jak SI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>, uczen</w:t>
      </w:r>
      <w:r w:rsidR="00B17ADD">
        <w:rPr>
          <w:rFonts w:ascii="Arial" w:eastAsia="Arial Unicode MS" w:hAnsi="Arial" w:cs="Arial"/>
          <w:sz w:val="22"/>
          <w:szCs w:val="22"/>
          <w:lang w:val="pl-PL"/>
        </w:rPr>
        <w:t>ie maszynowe i głębokie uczenie dla zwiększenia poziomu automatyzacji.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 Taka infrastruktura </w:t>
      </w:r>
      <w:r w:rsidR="0096443B">
        <w:rPr>
          <w:rFonts w:ascii="Arial" w:eastAsia="Arial Unicode MS" w:hAnsi="Arial" w:cs="Arial"/>
          <w:sz w:val="22"/>
          <w:szCs w:val="22"/>
          <w:lang w:val="pl-PL"/>
        </w:rPr>
        <w:t>gwarantuje również w</w:t>
      </w:r>
      <w:r w:rsidRPr="00E90661">
        <w:rPr>
          <w:rFonts w:ascii="Arial" w:eastAsia="Arial Unicode MS" w:hAnsi="Arial" w:cs="Arial"/>
          <w:sz w:val="22"/>
          <w:szCs w:val="22"/>
          <w:lang w:val="pl-PL"/>
        </w:rPr>
        <w:t xml:space="preserve">ysoką współbieżność </w:t>
      </w:r>
      <w:r w:rsidR="00B17ADD">
        <w:rPr>
          <w:rFonts w:ascii="Arial" w:eastAsia="Arial Unicode MS" w:hAnsi="Arial" w:cs="Arial"/>
          <w:sz w:val="22"/>
          <w:szCs w:val="22"/>
          <w:lang w:val="pl-PL"/>
        </w:rPr>
        <w:t>danych przy krótkich czasach reakcji</w:t>
      </w:r>
      <w:r w:rsidR="00F662CF">
        <w:rPr>
          <w:rFonts w:ascii="Arial" w:eastAsia="Arial Unicode MS" w:hAnsi="Arial" w:cs="Arial"/>
          <w:sz w:val="22"/>
          <w:szCs w:val="22"/>
          <w:lang w:val="pl-PL"/>
        </w:rPr>
        <w:t>,</w:t>
      </w:r>
      <w:r w:rsidR="00B17ADD">
        <w:rPr>
          <w:rFonts w:ascii="Arial" w:eastAsia="Arial Unicode MS" w:hAnsi="Arial" w:cs="Arial"/>
          <w:sz w:val="22"/>
          <w:szCs w:val="22"/>
          <w:lang w:val="pl-PL"/>
        </w:rPr>
        <w:t xml:space="preserve"> co jest istotne przy stałym rozwoju </w:t>
      </w:r>
      <w:r w:rsidR="00D20BA6">
        <w:rPr>
          <w:rFonts w:ascii="Arial" w:eastAsia="Arial Unicode MS" w:hAnsi="Arial" w:cs="Arial"/>
          <w:sz w:val="22"/>
          <w:szCs w:val="22"/>
          <w:lang w:val="pl-PL"/>
        </w:rPr>
        <w:t>organizacji</w:t>
      </w:r>
      <w:r w:rsidR="00B17ADD">
        <w:rPr>
          <w:rFonts w:ascii="Arial" w:eastAsia="Arial Unicode MS" w:hAnsi="Arial" w:cs="Arial"/>
          <w:sz w:val="22"/>
          <w:szCs w:val="22"/>
          <w:lang w:val="pl-PL"/>
        </w:rPr>
        <w:t xml:space="preserve"> i dodawaniu nowych obciążeń roboczych.</w:t>
      </w:r>
    </w:p>
    <w:p w14:paraId="78DA5417" w14:textId="77777777" w:rsidR="00B17ADD" w:rsidRDefault="00B17ADD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14:paraId="2B80404B" w14:textId="6C73AB16" w:rsidR="00B17ADD" w:rsidRDefault="00B17ADD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B17ADD">
        <w:rPr>
          <w:rFonts w:ascii="Arial" w:eastAsia="Arial Unicode MS" w:hAnsi="Arial" w:cs="Arial"/>
          <w:sz w:val="22"/>
          <w:szCs w:val="22"/>
          <w:lang w:val="pl-PL"/>
        </w:rPr>
        <w:t>W przyszłości infrastruktura cyfrowa będzie</w:t>
      </w:r>
      <w:r w:rsidR="00F45349">
        <w:rPr>
          <w:rFonts w:ascii="Arial" w:eastAsia="Arial Unicode MS" w:hAnsi="Arial" w:cs="Arial"/>
          <w:sz w:val="22"/>
          <w:szCs w:val="22"/>
          <w:lang w:val="pl-PL"/>
        </w:rPr>
        <w:t xml:space="preserve"> wszechobecna, wspierając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kompleksowo pełny </w:t>
      </w:r>
      <w:r w:rsidRPr="00B17ADD">
        <w:rPr>
          <w:rFonts w:ascii="Arial" w:eastAsia="Arial Unicode MS" w:hAnsi="Arial" w:cs="Arial"/>
          <w:sz w:val="22"/>
          <w:szCs w:val="22"/>
          <w:lang w:val="pl-PL"/>
        </w:rPr>
        <w:t>cykl życ</w:t>
      </w:r>
      <w:r>
        <w:rPr>
          <w:rFonts w:ascii="Arial" w:eastAsia="Arial Unicode MS" w:hAnsi="Arial" w:cs="Arial"/>
          <w:sz w:val="22"/>
          <w:szCs w:val="22"/>
          <w:lang w:val="pl-PL"/>
        </w:rPr>
        <w:t>ia danych. Środowiska typu all-flash</w:t>
      </w:r>
      <w:r w:rsidRPr="00B17ADD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pl-PL"/>
        </w:rPr>
        <w:t>będą wspierać rozwój</w:t>
      </w:r>
      <w:r w:rsidRPr="00B17ADD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pl-PL"/>
        </w:rPr>
        <w:t>rozwiązań interdomenowych</w:t>
      </w:r>
      <w:r w:rsidR="00394977">
        <w:rPr>
          <w:rFonts w:ascii="Arial" w:eastAsia="Arial Unicode MS" w:hAnsi="Arial" w:cs="Arial"/>
          <w:sz w:val="22"/>
          <w:szCs w:val="22"/>
          <w:lang w:val="pl-PL"/>
        </w:rPr>
        <w:t>,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 w:rsidRPr="00B17ADD">
        <w:rPr>
          <w:rFonts w:ascii="Arial" w:eastAsia="Arial Unicode MS" w:hAnsi="Arial" w:cs="Arial"/>
          <w:sz w:val="22"/>
          <w:szCs w:val="22"/>
          <w:lang w:val="pl-PL"/>
        </w:rPr>
        <w:t xml:space="preserve">oferując 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przy tym </w:t>
      </w:r>
      <w:r w:rsidRPr="00B17ADD">
        <w:rPr>
          <w:rFonts w:ascii="Arial" w:eastAsia="Arial Unicode MS" w:hAnsi="Arial" w:cs="Arial"/>
          <w:sz w:val="22"/>
          <w:szCs w:val="22"/>
          <w:lang w:val="pl-PL"/>
        </w:rPr>
        <w:t xml:space="preserve">inteligentny system </w:t>
      </w:r>
      <w:r>
        <w:rPr>
          <w:rFonts w:ascii="Arial" w:eastAsia="Arial Unicode MS" w:hAnsi="Arial" w:cs="Arial"/>
          <w:sz w:val="22"/>
          <w:szCs w:val="22"/>
          <w:lang w:val="pl-PL"/>
        </w:rPr>
        <w:t>zarządzania</w:t>
      </w:r>
      <w:r w:rsidRPr="00B17ADD">
        <w:rPr>
          <w:rFonts w:ascii="Arial" w:eastAsia="Arial Unicode MS" w:hAnsi="Arial" w:cs="Arial"/>
          <w:sz w:val="22"/>
          <w:szCs w:val="22"/>
          <w:lang w:val="pl-PL"/>
        </w:rPr>
        <w:t xml:space="preserve">, który obniża koszty i złożoność zarządzania centrum danych, zapewniając jednocześnie </w:t>
      </w:r>
      <w:r>
        <w:rPr>
          <w:rFonts w:ascii="Arial" w:eastAsia="Arial Unicode MS" w:hAnsi="Arial" w:cs="Arial"/>
          <w:sz w:val="22"/>
          <w:szCs w:val="22"/>
          <w:lang w:val="pl-PL"/>
        </w:rPr>
        <w:t>wyższą wydajność i niezawodność.</w:t>
      </w:r>
    </w:p>
    <w:p w14:paraId="1EE2E72C" w14:textId="5D80588B" w:rsidR="00B17ADD" w:rsidRPr="00B17ADD" w:rsidRDefault="00B17ADD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bookmarkStart w:id="0" w:name="_GoBack"/>
      <w:bookmarkEnd w:id="0"/>
    </w:p>
    <w:p w14:paraId="514BA570" w14:textId="44B73ADE" w:rsidR="004F4928" w:rsidRPr="00B17B19" w:rsidRDefault="00B17ADD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B17B19">
        <w:rPr>
          <w:rFonts w:ascii="Arial" w:eastAsia="Arial Unicode MS" w:hAnsi="Arial" w:cs="Arial"/>
          <w:sz w:val="22"/>
          <w:szCs w:val="22"/>
          <w:lang w:val="pl-PL"/>
        </w:rPr>
        <w:t>Dowiedz się więcej</w:t>
      </w:r>
      <w:r w:rsidR="00C74480">
        <w:rPr>
          <w:rFonts w:ascii="Arial" w:eastAsia="Arial Unicode MS" w:hAnsi="Arial" w:cs="Arial"/>
          <w:sz w:val="22"/>
          <w:szCs w:val="22"/>
          <w:lang w:val="pl-PL"/>
        </w:rPr>
        <w:t xml:space="preserve"> z najnowszej publikacji IDC &amp; Huawei</w:t>
      </w:r>
      <w:r w:rsidRPr="00B17B19">
        <w:rPr>
          <w:rFonts w:ascii="Arial" w:eastAsia="Arial Unicode MS" w:hAnsi="Arial" w:cs="Arial"/>
          <w:sz w:val="22"/>
          <w:szCs w:val="22"/>
          <w:lang w:val="pl-PL"/>
        </w:rPr>
        <w:t>:</w:t>
      </w:r>
      <w:r w:rsidR="004F4928" w:rsidRPr="00B17B19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hyperlink r:id="rId7" w:history="1">
        <w:r w:rsidR="00DE1D26" w:rsidRPr="005D390E">
          <w:rPr>
            <w:rStyle w:val="Hipercze"/>
            <w:rFonts w:ascii="Arial" w:eastAsia="Arial Unicode MS" w:hAnsi="Arial" w:cs="Arial"/>
            <w:sz w:val="22"/>
            <w:szCs w:val="22"/>
            <w:lang w:val="pl-PL"/>
          </w:rPr>
          <w:t>https://e.huawei.com/en/products/storage/form/2021/idc-white-paper?ic_medium=hwdc&amp;ic_source=ebg_EEBGHQ197501L&amp;source=news&amp;ic_content=all-flash%20data%20center_IDC%20white%20paper</w:t>
        </w:r>
      </w:hyperlink>
      <w:r w:rsidR="00DE1D26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</w:p>
    <w:p w14:paraId="4559FE2E" w14:textId="77777777" w:rsidR="00B17B19" w:rsidRPr="008C0103" w:rsidRDefault="00B17B19" w:rsidP="00B17B19">
      <w:pPr>
        <w:spacing w:line="240" w:lineRule="auto"/>
        <w:ind w:left="42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  <w:r>
        <w:rPr>
          <w:rFonts w:ascii="Arial" w:eastAsia="Arial Unicode MS" w:hAnsi="Arial" w:cs="Arial"/>
          <w:sz w:val="22"/>
          <w:szCs w:val="22"/>
          <w:lang w:val="pl-PL"/>
        </w:rPr>
        <w:br/>
      </w:r>
    </w:p>
    <w:p w14:paraId="2879138A" w14:textId="77777777" w:rsidR="00B17B19" w:rsidRPr="00A1279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</w:t>
      </w:r>
    </w:p>
    <w:p w14:paraId="47EF4D07" w14:textId="77777777" w:rsidR="00B17B19" w:rsidRPr="00A12799" w:rsidRDefault="00B17B19" w:rsidP="00B17B19">
      <w:pPr>
        <w:spacing w:line="240" w:lineRule="auto"/>
        <w:ind w:left="42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426AF2B7" w14:textId="77777777" w:rsidR="00B17B19" w:rsidRPr="00A1279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>lub śledź nas na:</w:t>
      </w:r>
    </w:p>
    <w:p w14:paraId="1BEE22E9" w14:textId="77777777" w:rsidR="00B17B19" w:rsidRPr="00A12799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19BE029D" w14:textId="77777777" w:rsidR="00B17B19" w:rsidRPr="00A12799" w:rsidRDefault="00877073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B17B19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</w:p>
    <w:p w14:paraId="2976FCD4" w14:textId="77777777" w:rsidR="00B17B19" w:rsidRDefault="00877073" w:rsidP="00B17B19">
      <w:pPr>
        <w:spacing w:line="240" w:lineRule="auto"/>
        <w:ind w:left="42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0" w:history="1">
        <w:r w:rsidR="00B17B19" w:rsidRPr="000F4968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54CE28E8" w14:textId="77777777" w:rsidR="00B17B19" w:rsidRPr="00A12799" w:rsidRDefault="00877073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B17B19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B17B19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04042899" w14:textId="77777777" w:rsidR="00B17B19" w:rsidRPr="00A12799" w:rsidRDefault="00877073" w:rsidP="00B17B19">
      <w:pPr>
        <w:spacing w:line="240" w:lineRule="auto"/>
        <w:ind w:left="42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B17B19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2E9620AB" w14:textId="77777777" w:rsidR="00B17B19" w:rsidRPr="00A12799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5070049B" w14:textId="77777777" w:rsidR="00B17B19" w:rsidRDefault="00B17B19" w:rsidP="00562F19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746D88E5" w14:textId="77777777" w:rsidR="00B17B19" w:rsidRDefault="00B17B19" w:rsidP="00B17B19">
      <w:pPr>
        <w:spacing w:line="240" w:lineRule="auto"/>
        <w:ind w:left="42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</w:p>
    <w:p w14:paraId="3E72A39E" w14:textId="17FCDF6E" w:rsidR="00B17B19" w:rsidRPr="00DE0B5B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DE0B5B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05A5825B" w14:textId="77777777" w:rsidR="00562F19" w:rsidRDefault="00562F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</w:p>
    <w:p w14:paraId="4EFBB65F" w14:textId="0E73A59F" w:rsidR="00B17B19" w:rsidRPr="00ED1CF6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ED1CF6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Marcin Sałański</w:t>
      </w:r>
      <w:r w:rsidRPr="00ED1CF6">
        <w:rPr>
          <w:rFonts w:ascii="Arial" w:hAnsi="Arial" w:cs="Arial"/>
          <w:sz w:val="22"/>
          <w:lang w:val="pl-PL"/>
        </w:rPr>
        <w:br/>
      </w:r>
      <w:r w:rsidRPr="00ED1CF6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Advisor</w:t>
      </w:r>
    </w:p>
    <w:p w14:paraId="2990296A" w14:textId="77777777" w:rsidR="00B17B19" w:rsidRPr="00ED1CF6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ED1CF6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MSL</w:t>
      </w:r>
    </w:p>
    <w:p w14:paraId="1A918540" w14:textId="77777777" w:rsidR="00B17B19" w:rsidRPr="00ED1CF6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  <w:r w:rsidRPr="00ED1CF6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  <w:t>marcin.salanski@mslgroup.com</w:t>
      </w:r>
    </w:p>
    <w:p w14:paraId="5BB1B580" w14:textId="77777777" w:rsidR="00B17B19" w:rsidRPr="00ED1CF6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ED1CF6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  <w:t>690 457 516</w:t>
      </w:r>
    </w:p>
    <w:p w14:paraId="4B8CD3C1" w14:textId="77777777" w:rsidR="00B17B19" w:rsidRPr="00ED1CF6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</w:p>
    <w:p w14:paraId="74A46E4C" w14:textId="77777777" w:rsidR="00B17B19" w:rsidRPr="00A1279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63285BFC" w14:textId="77777777" w:rsidR="00B17B19" w:rsidRPr="00A1279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MSL</w:t>
      </w:r>
    </w:p>
    <w:p w14:paraId="1E5DAE7C" w14:textId="77777777" w:rsidR="00B17B19" w:rsidRPr="00A1279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</w:p>
    <w:p w14:paraId="0AFBA005" w14:textId="77777777" w:rsidR="00B17B1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7236928A" w14:textId="77777777" w:rsidR="00B17B19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32A0B736" w14:textId="77777777" w:rsidR="00B17B19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5AA16EDA" w14:textId="77777777" w:rsidR="00B17B19" w:rsidRPr="00EC0485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</w:p>
    <w:p w14:paraId="7E269209" w14:textId="77777777" w:rsidR="00B17B19" w:rsidRPr="00C712F4" w:rsidRDefault="00B17B19" w:rsidP="00B17B19">
      <w:pPr>
        <w:autoSpaceDE/>
        <w:autoSpaceDN/>
        <w:adjustRightInd/>
        <w:snapToGrid w:val="0"/>
        <w:spacing w:line="240" w:lineRule="auto"/>
        <w:ind w:left="420"/>
        <w:contextualSpacing/>
        <w:jc w:val="both"/>
        <w:rPr>
          <w:rFonts w:ascii="Arial" w:eastAsia="Microsoft YaHei" w:hAnsi="Arial" w:cs="Arial"/>
          <w:kern w:val="2"/>
          <w:sz w:val="24"/>
          <w:szCs w:val="24"/>
        </w:rPr>
      </w:pPr>
    </w:p>
    <w:p w14:paraId="4AA290EA" w14:textId="1DBC232A" w:rsidR="006A6ECF" w:rsidRPr="00514F4F" w:rsidRDefault="006A6ECF" w:rsidP="00514F4F">
      <w:pPr>
        <w:spacing w:line="240" w:lineRule="auto"/>
        <w:ind w:leftChars="0" w:left="0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sectPr w:rsidR="006A6ECF" w:rsidRPr="00514F4F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ACB5" w14:textId="77777777" w:rsidR="00877073" w:rsidRDefault="00877073">
      <w:pPr>
        <w:ind w:left="420"/>
      </w:pPr>
      <w:r>
        <w:separator/>
      </w:r>
    </w:p>
  </w:endnote>
  <w:endnote w:type="continuationSeparator" w:id="0">
    <w:p w14:paraId="21C26588" w14:textId="77777777" w:rsidR="00877073" w:rsidRDefault="00877073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2001" w14:textId="77777777" w:rsidR="0086396E" w:rsidRDefault="0086396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86396E" w14:paraId="05A4FBB2" w14:textId="77777777" w:rsidTr="006C07FD">
      <w:trPr>
        <w:trHeight w:val="257"/>
      </w:trPr>
      <w:tc>
        <w:tcPr>
          <w:tcW w:w="996" w:type="pct"/>
        </w:tcPr>
        <w:p w14:paraId="27886889" w14:textId="1FCF95DF" w:rsidR="0086396E" w:rsidRDefault="0086396E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ED1CF6">
            <w:rPr>
              <w:noProof/>
            </w:rPr>
            <w:t>2021-08-10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371F16E1" w14:textId="77777777" w:rsidR="0086396E" w:rsidRDefault="0086396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3EBD77AD" w14:textId="1B77693E" w:rsidR="0086396E" w:rsidRDefault="0086396E" w:rsidP="001B2A88">
          <w:pPr>
            <w:pStyle w:val="Stopka"/>
            <w:ind w:right="360" w:firstLineChars="500" w:firstLine="900"/>
          </w:pPr>
          <w:r>
            <w:t>Page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D1CF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, Total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D1CF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55898F5" w14:textId="77777777" w:rsidR="0086396E" w:rsidRDefault="008639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DC80" w14:textId="77777777" w:rsidR="0086396E" w:rsidRDefault="0086396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A306" w14:textId="77777777" w:rsidR="00877073" w:rsidRDefault="00877073">
      <w:pPr>
        <w:ind w:left="420"/>
      </w:pPr>
      <w:r>
        <w:separator/>
      </w:r>
    </w:p>
  </w:footnote>
  <w:footnote w:type="continuationSeparator" w:id="0">
    <w:p w14:paraId="054F52B3" w14:textId="77777777" w:rsidR="00877073" w:rsidRDefault="00877073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F0D5" w14:textId="77777777" w:rsidR="0086396E" w:rsidRDefault="0086396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86396E" w:rsidRPr="00514F4F" w14:paraId="6065FA49" w14:textId="77777777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14:paraId="68ECEC5A" w14:textId="77777777" w:rsidR="0086396E" w:rsidRPr="00514F4F" w:rsidRDefault="0086396E">
          <w:pPr>
            <w:pStyle w:val="Nagwek"/>
            <w:rPr>
              <w:sz w:val="12"/>
            </w:rPr>
          </w:pPr>
          <w:r w:rsidRPr="00514F4F">
            <w:rPr>
              <w:rFonts w:ascii="SimSun" w:hAnsi="SimSun" w:hint="eastAsia"/>
              <w:noProof/>
              <w:sz w:val="12"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00B7944F" wp14:editId="1DC14C9B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342DE2" w14:textId="77777777" w:rsidR="0086396E" w:rsidRPr="00514F4F" w:rsidRDefault="0086396E">
          <w:pPr>
            <w:ind w:left="420"/>
            <w:rPr>
              <w:sz w:val="16"/>
            </w:rPr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14:paraId="40D1143D" w14:textId="77777777" w:rsidR="0086396E" w:rsidRPr="00514F4F" w:rsidRDefault="0086396E" w:rsidP="00A61813">
          <w:pPr>
            <w:pStyle w:val="Nagwek"/>
            <w:ind w:firstLineChars="300" w:firstLine="360"/>
            <w:rPr>
              <w:sz w:val="12"/>
            </w:rPr>
          </w:pP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14:paraId="30023989" w14:textId="166C7A50" w:rsidR="0086396E" w:rsidRPr="00514F4F" w:rsidRDefault="0086396E" w:rsidP="0045571B">
          <w:pPr>
            <w:pStyle w:val="Nagwek"/>
            <w:spacing w:after="240"/>
            <w:rPr>
              <w:rFonts w:eastAsiaTheme="minorEastAsia" w:cs="Arial"/>
              <w:sz w:val="16"/>
              <w:szCs w:val="30"/>
            </w:rPr>
          </w:pPr>
          <w:r w:rsidRPr="00514F4F">
            <w:rPr>
              <w:rFonts w:eastAsiaTheme="minorEastAsia" w:cs="Arial"/>
              <w:noProof/>
              <w:sz w:val="16"/>
              <w:szCs w:val="30"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1BA488BD" wp14:editId="121E8302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14F4F" w:rsidRPr="00514F4F">
            <w:rPr>
              <w:rFonts w:eastAsiaTheme="minorEastAsia" w:cs="Arial"/>
              <w:noProof/>
              <w:sz w:val="16"/>
              <w:szCs w:val="30"/>
              <w:lang w:val="pl-PL" w:eastAsia="pl-PL"/>
            </w:rPr>
            <w:t xml:space="preserve">Informacja prasowa </w:t>
          </w:r>
        </w:p>
      </w:tc>
    </w:tr>
  </w:tbl>
  <w:p w14:paraId="433FA13B" w14:textId="77777777" w:rsidR="0086396E" w:rsidRPr="00514F4F" w:rsidRDefault="0086396E" w:rsidP="00EE5130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B3D0" w14:textId="77777777" w:rsidR="0086396E" w:rsidRDefault="0086396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3B527C59"/>
    <w:multiLevelType w:val="hybridMultilevel"/>
    <w:tmpl w:val="8C702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8"/>
  </w:num>
  <w:num w:numId="5">
    <w:abstractNumId w:val="8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1B"/>
    <w:rsid w:val="00012316"/>
    <w:rsid w:val="000245C6"/>
    <w:rsid w:val="0003583D"/>
    <w:rsid w:val="00040703"/>
    <w:rsid w:val="000427F1"/>
    <w:rsid w:val="000A240F"/>
    <w:rsid w:val="000A3A75"/>
    <w:rsid w:val="000C714E"/>
    <w:rsid w:val="000D0D0A"/>
    <w:rsid w:val="000E13E5"/>
    <w:rsid w:val="000F64DE"/>
    <w:rsid w:val="00121ED6"/>
    <w:rsid w:val="00127668"/>
    <w:rsid w:val="00137B72"/>
    <w:rsid w:val="0016416F"/>
    <w:rsid w:val="00176478"/>
    <w:rsid w:val="001B2A88"/>
    <w:rsid w:val="001C0C65"/>
    <w:rsid w:val="001F6B95"/>
    <w:rsid w:val="002009B9"/>
    <w:rsid w:val="002161A2"/>
    <w:rsid w:val="0028386D"/>
    <w:rsid w:val="002E3B0D"/>
    <w:rsid w:val="002E776D"/>
    <w:rsid w:val="00315F46"/>
    <w:rsid w:val="0032238C"/>
    <w:rsid w:val="00323333"/>
    <w:rsid w:val="003610CC"/>
    <w:rsid w:val="00363F60"/>
    <w:rsid w:val="00386A1C"/>
    <w:rsid w:val="00394977"/>
    <w:rsid w:val="00396663"/>
    <w:rsid w:val="003A0E8A"/>
    <w:rsid w:val="0040657C"/>
    <w:rsid w:val="0041004A"/>
    <w:rsid w:val="004446A1"/>
    <w:rsid w:val="0044515F"/>
    <w:rsid w:val="00453E05"/>
    <w:rsid w:val="0045571B"/>
    <w:rsid w:val="004951BA"/>
    <w:rsid w:val="004A52F3"/>
    <w:rsid w:val="004B57D4"/>
    <w:rsid w:val="004D7552"/>
    <w:rsid w:val="004F0634"/>
    <w:rsid w:val="004F4928"/>
    <w:rsid w:val="00512DA3"/>
    <w:rsid w:val="00514F4F"/>
    <w:rsid w:val="00540E04"/>
    <w:rsid w:val="00551013"/>
    <w:rsid w:val="00552FE8"/>
    <w:rsid w:val="00560480"/>
    <w:rsid w:val="00562F19"/>
    <w:rsid w:val="0057342F"/>
    <w:rsid w:val="0059536A"/>
    <w:rsid w:val="00595ECB"/>
    <w:rsid w:val="005C4777"/>
    <w:rsid w:val="005D45EF"/>
    <w:rsid w:val="005D6740"/>
    <w:rsid w:val="005E0910"/>
    <w:rsid w:val="005E13F1"/>
    <w:rsid w:val="005E5A60"/>
    <w:rsid w:val="00604F4D"/>
    <w:rsid w:val="00625D93"/>
    <w:rsid w:val="006670B6"/>
    <w:rsid w:val="006A6ECF"/>
    <w:rsid w:val="006B1E2D"/>
    <w:rsid w:val="006C07FD"/>
    <w:rsid w:val="006E093B"/>
    <w:rsid w:val="007029B1"/>
    <w:rsid w:val="00704BBA"/>
    <w:rsid w:val="00731794"/>
    <w:rsid w:val="00752A69"/>
    <w:rsid w:val="007717F6"/>
    <w:rsid w:val="007A5C1B"/>
    <w:rsid w:val="008209B1"/>
    <w:rsid w:val="00820C0E"/>
    <w:rsid w:val="00842ED4"/>
    <w:rsid w:val="0086396E"/>
    <w:rsid w:val="00877073"/>
    <w:rsid w:val="00881D55"/>
    <w:rsid w:val="00896E1E"/>
    <w:rsid w:val="008E1FAA"/>
    <w:rsid w:val="00952067"/>
    <w:rsid w:val="0096443B"/>
    <w:rsid w:val="009777B0"/>
    <w:rsid w:val="00995171"/>
    <w:rsid w:val="00A27AE2"/>
    <w:rsid w:val="00A40B3B"/>
    <w:rsid w:val="00A41DBA"/>
    <w:rsid w:val="00A44971"/>
    <w:rsid w:val="00A61813"/>
    <w:rsid w:val="00A6295C"/>
    <w:rsid w:val="00A77AC2"/>
    <w:rsid w:val="00A80E1A"/>
    <w:rsid w:val="00A9626A"/>
    <w:rsid w:val="00AF0C76"/>
    <w:rsid w:val="00B006C2"/>
    <w:rsid w:val="00B15FFE"/>
    <w:rsid w:val="00B17ADD"/>
    <w:rsid w:val="00B17B19"/>
    <w:rsid w:val="00B300F5"/>
    <w:rsid w:val="00B308AD"/>
    <w:rsid w:val="00B44BCE"/>
    <w:rsid w:val="00B555EE"/>
    <w:rsid w:val="00B608D5"/>
    <w:rsid w:val="00B7081E"/>
    <w:rsid w:val="00B92448"/>
    <w:rsid w:val="00BB4789"/>
    <w:rsid w:val="00BB4DD2"/>
    <w:rsid w:val="00BC013C"/>
    <w:rsid w:val="00BC3C71"/>
    <w:rsid w:val="00BC6C81"/>
    <w:rsid w:val="00BF1068"/>
    <w:rsid w:val="00BF2704"/>
    <w:rsid w:val="00BF6301"/>
    <w:rsid w:val="00C0770E"/>
    <w:rsid w:val="00C3486B"/>
    <w:rsid w:val="00C47EB9"/>
    <w:rsid w:val="00C742BE"/>
    <w:rsid w:val="00C74480"/>
    <w:rsid w:val="00CA6E12"/>
    <w:rsid w:val="00CB304F"/>
    <w:rsid w:val="00CD3CF5"/>
    <w:rsid w:val="00CD5949"/>
    <w:rsid w:val="00D20BA6"/>
    <w:rsid w:val="00DB24FD"/>
    <w:rsid w:val="00DD1425"/>
    <w:rsid w:val="00DE0019"/>
    <w:rsid w:val="00DE1D26"/>
    <w:rsid w:val="00DF5E3D"/>
    <w:rsid w:val="00DF6801"/>
    <w:rsid w:val="00E210B8"/>
    <w:rsid w:val="00E55E86"/>
    <w:rsid w:val="00E7189C"/>
    <w:rsid w:val="00E875C2"/>
    <w:rsid w:val="00E90248"/>
    <w:rsid w:val="00E90661"/>
    <w:rsid w:val="00E97AE5"/>
    <w:rsid w:val="00EA3276"/>
    <w:rsid w:val="00EA77DF"/>
    <w:rsid w:val="00EB4FE9"/>
    <w:rsid w:val="00EB731E"/>
    <w:rsid w:val="00ED1CF6"/>
    <w:rsid w:val="00ED43BF"/>
    <w:rsid w:val="00EE5130"/>
    <w:rsid w:val="00F010B7"/>
    <w:rsid w:val="00F03F2B"/>
    <w:rsid w:val="00F30E7E"/>
    <w:rsid w:val="00F34401"/>
    <w:rsid w:val="00F4268F"/>
    <w:rsid w:val="00F435DC"/>
    <w:rsid w:val="00F45349"/>
    <w:rsid w:val="00F52EC0"/>
    <w:rsid w:val="00F53D28"/>
    <w:rsid w:val="00F57996"/>
    <w:rsid w:val="00F57AC3"/>
    <w:rsid w:val="00F6289C"/>
    <w:rsid w:val="00F662CF"/>
    <w:rsid w:val="00FA171D"/>
    <w:rsid w:val="00FA75FB"/>
    <w:rsid w:val="00FC43FD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2A99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6289C"/>
    <w:rPr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289C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b/>
      <w:bCs/>
      <w:sz w:val="21"/>
      <w:szCs w:val="21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289C"/>
    <w:rPr>
      <w:rFonts w:eastAsia="Times New Roman"/>
      <w:b/>
      <w:bCs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DE1D26"/>
    <w:rPr>
      <w:color w:val="F0F8F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.huawei.com/en/products/storage/form/2021/idc-white-paper?ic_medium=hwdc&amp;ic_source=ebg_EEBGHQ197501L&amp;source=news&amp;ic_content=all-flash%20data%20center_IDC%20white%20paper" TargetMode="Externa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158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30</cp:revision>
  <dcterms:created xsi:type="dcterms:W3CDTF">2021-07-31T06:55:00Z</dcterms:created>
  <dcterms:modified xsi:type="dcterms:W3CDTF">2021-08-10T08:12:00Z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(3)wfrTXUVZ8WQUF1n+lATCgJckdqmMlSL9HkkbdPRO7RzOG1OVD06m1V3uFGJGgOQlUm8G59kd
J5i2t7tdcIQ2dkyQm0GV3urGnMG48N6MyG8MqpMVD386VPdMm9QYv2vIbtECH6GYVNmS29aq
1Q77EvHiDTkKkkCT5u/wmkPqsqhgOtt9eUDIrNipvVdaNTWDG78Zpfr40BzCFt5IjI6TDxzc
9YvWACmDfgDmXKVlsS</vt:lpwstr>
  </property>
  <property fmtid="{D5CDD505-2E9C-101B-9397-08002B2CF9AE}" pid="7" name="_2015_ms_pID_7253431">
    <vt:lpwstr>wi5PaZnYX9vQkN/2FqcGtqsdcoOzjEimTFWCiHrOONl9vUsSCT+lxO
LeYqbZvFr2PSRUvEF0ZLY4ddFugBZTW1gbbrmp+mdShV8g1/DUIJWO2ook3jGSEFhpFIbrsL
icNxP0/EpOIFaea97BpJpKa/2R1JR2OwTuWRADD8228IVQplhBsJ9daZHdPjfrYAv4D01L09
QK78wiYO8xotitdqJXYjWOpPOqLdsCm5Aef0</vt:lpwstr>
  </property>
  <property fmtid="{D5CDD505-2E9C-101B-9397-08002B2CF9AE}" pid="8" name="_2015_ms_pID_7253432">
    <vt:lpwstr>6A==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1627713404</vt:lpwstr>
  </property>
</Properties>
</file>