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46D" w14:textId="634CFECE" w:rsidR="001307CA" w:rsidRDefault="00CA7AC5">
      <w:pPr>
        <w:widowControl w:val="0"/>
        <w:spacing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Kraków,</w:t>
      </w:r>
      <w:r w:rsidR="0074416A">
        <w:rPr>
          <w:rFonts w:ascii="Calibri" w:eastAsia="Calibri" w:hAnsi="Calibri" w:cs="Calibri"/>
        </w:rPr>
        <w:t xml:space="preserve"> 31</w:t>
      </w:r>
      <w:r>
        <w:rPr>
          <w:rFonts w:ascii="Calibri" w:eastAsia="Calibri" w:hAnsi="Calibri" w:cs="Calibri"/>
        </w:rPr>
        <w:t>.08.2021</w:t>
      </w:r>
    </w:p>
    <w:p w14:paraId="6C2E16EA" w14:textId="77777777" w:rsidR="001307CA" w:rsidRDefault="001307C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F320FCF" w14:textId="77777777" w:rsidR="001307CA" w:rsidRDefault="00CA7AC5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Informacja prasowa</w:t>
      </w:r>
    </w:p>
    <w:p w14:paraId="7E955B53" w14:textId="77777777" w:rsidR="001307CA" w:rsidRDefault="001307C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2DD8B45" w14:textId="77777777" w:rsidR="001307CA" w:rsidRDefault="001307C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4834A351" w14:textId="77777777" w:rsidR="001307CA" w:rsidRDefault="001307CA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266A3EAF" w14:textId="77777777" w:rsidR="001307CA" w:rsidRDefault="00CA7AC5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Brak znajomości języka nie przeszkadza w pracy za granicą </w:t>
      </w:r>
    </w:p>
    <w:p w14:paraId="54F37466" w14:textId="77777777" w:rsidR="001307CA" w:rsidRDefault="001307CA">
      <w:pPr>
        <w:rPr>
          <w:rFonts w:ascii="Calibri" w:eastAsia="Calibri" w:hAnsi="Calibri" w:cs="Calibri"/>
        </w:rPr>
      </w:pPr>
    </w:p>
    <w:p w14:paraId="1AC54912" w14:textId="77777777" w:rsidR="001307CA" w:rsidRDefault="00CA7AC5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Raport „Barometr Rynku Pracy”</w:t>
      </w:r>
      <w:r>
        <w:rPr>
          <w:rFonts w:ascii="Calibri" w:eastAsia="Calibri" w:hAnsi="Calibri" w:cs="Calibri"/>
          <w:b/>
          <w:vertAlign w:val="superscript"/>
        </w:rPr>
        <w:footnoteReference w:id="1"/>
      </w:r>
      <w:r>
        <w:rPr>
          <w:rFonts w:ascii="Calibri" w:eastAsia="Calibri" w:hAnsi="Calibri" w:cs="Calibri"/>
          <w:b/>
        </w:rPr>
        <w:t xml:space="preserve"> nie napawa optymizmem. Prawie 18 proc. pracujących Polaków, głównie w przedziale 25-36 lat, rozważa w 2021 roku zagraniczny wyjazd za pracą. Liczba ta podwoiła się od lipca 2020 roku. Co istotne, chętnych nie niepokoi znikoma znajomość języka obcego. W te</w:t>
      </w:r>
      <w:r>
        <w:rPr>
          <w:rFonts w:ascii="Calibri" w:eastAsia="Calibri" w:hAnsi="Calibri" w:cs="Calibri"/>
          <w:b/>
        </w:rPr>
        <w:t>j kwestii Polacy nastawiają się na szybką naukę mowy na miejscu lub korzystają z najnowszych zdobyczy techniki, takich jak translatory elektroniczne.</w:t>
      </w:r>
    </w:p>
    <w:p w14:paraId="1D90ED1D" w14:textId="77777777" w:rsidR="001307CA" w:rsidRDefault="001307CA">
      <w:pPr>
        <w:jc w:val="both"/>
        <w:rPr>
          <w:rFonts w:ascii="Calibri" w:eastAsia="Calibri" w:hAnsi="Calibri" w:cs="Calibri"/>
        </w:rPr>
      </w:pPr>
    </w:p>
    <w:p w14:paraId="5BE54681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Znalezienie pracy za granicą nie stanowi dziś większego problemu. Oferty znajdziemy w Internecie, Urzędzi</w:t>
      </w:r>
      <w:r>
        <w:rPr>
          <w:rFonts w:ascii="Calibri" w:eastAsia="Calibri" w:hAnsi="Calibri" w:cs="Calibri"/>
          <w:sz w:val="20"/>
          <w:szCs w:val="20"/>
        </w:rPr>
        <w:t>e Pracy oraz Agencjach Zatrudniania, których legalność warto najpierw potwierdzić w Krajowym Rejestrze Agencji Zatrudniania (KRAZ). W sieci nie brak oszustów, toteż weryfikując pośrednika będziemy mieć pewność, że pracodawca, którego wybraliśmy, jest firmą</w:t>
      </w:r>
      <w:r>
        <w:rPr>
          <w:rFonts w:ascii="Calibri" w:eastAsia="Calibri" w:hAnsi="Calibri" w:cs="Calibri"/>
          <w:sz w:val="20"/>
          <w:szCs w:val="20"/>
        </w:rPr>
        <w:t xml:space="preserve"> działającą zgodnie z unijnym prawem. </w:t>
      </w:r>
    </w:p>
    <w:p w14:paraId="05CE9BF5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241B85B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sz w:val="20"/>
          <w:szCs w:val="20"/>
        </w:rPr>
        <w:t xml:space="preserve">Najczęstszym bodźcem do podjęcia pracy na obczyźnie są wyższe pensje. Z raportu </w:t>
      </w:r>
      <w:r>
        <w:rPr>
          <w:rFonts w:ascii="Calibri" w:eastAsia="Calibri" w:hAnsi="Calibri" w:cs="Calibri"/>
          <w:i/>
          <w:sz w:val="20"/>
          <w:szCs w:val="20"/>
        </w:rPr>
        <w:t>Praca za granicą w 2020 roku. Wpływ pandemii na rynek pracy tymczasowej</w:t>
      </w:r>
      <w:r>
        <w:rPr>
          <w:rFonts w:ascii="Calibri" w:eastAsia="Calibri" w:hAnsi="Calibri" w:cs="Calibri"/>
          <w:sz w:val="20"/>
          <w:szCs w:val="20"/>
        </w:rPr>
        <w:t xml:space="preserve"> przygotowanego przez portal europa.jobs wynika, że w ubiegłym ro</w:t>
      </w:r>
      <w:r>
        <w:rPr>
          <w:rFonts w:ascii="Calibri" w:eastAsia="Calibri" w:hAnsi="Calibri" w:cs="Calibri"/>
          <w:sz w:val="20"/>
          <w:szCs w:val="20"/>
        </w:rPr>
        <w:t>ku średnia płaca pracowników najpopularniejszych branż, takich jak m.in. ogólnobudowlana, produkcja, praca fizyczna, spawalnictwo, transport, mechanika czy pomoc w domu była na zachodzie Europy wciąż wyraźnie wyższa niż w Polsce. Średnia stawka godzinowa w</w:t>
      </w:r>
      <w:r>
        <w:rPr>
          <w:rFonts w:ascii="Calibri" w:eastAsia="Calibri" w:hAnsi="Calibri" w:cs="Calibri"/>
          <w:sz w:val="20"/>
          <w:szCs w:val="20"/>
        </w:rPr>
        <w:t xml:space="preserve"> Niemczech wynosiła 12,85 euro brutto. W Holandii za godzinę pracy dostawaliśmy przeciętnie 10,25 euro brutto, a w bogatej Szwajcarii w przeliczeniu na europejską walutę nawet 29,65 brutto</w:t>
      </w:r>
      <w:r>
        <w:rPr>
          <w:rFonts w:ascii="Calibri" w:eastAsia="Calibri" w:hAnsi="Calibri" w:cs="Calibri"/>
          <w:sz w:val="20"/>
          <w:szCs w:val="20"/>
          <w:vertAlign w:val="superscript"/>
        </w:rPr>
        <w:footnoteReference w:id="2"/>
      </w:r>
      <w:r>
        <w:rPr>
          <w:rFonts w:ascii="Calibri" w:eastAsia="Calibri" w:hAnsi="Calibri" w:cs="Calibri"/>
          <w:sz w:val="20"/>
          <w:szCs w:val="20"/>
        </w:rPr>
        <w:t>. Te przykłady wskazują, dlaczego to właśnie czynnik ekonomiczny b</w:t>
      </w:r>
      <w:r>
        <w:rPr>
          <w:rFonts w:ascii="Calibri" w:eastAsia="Calibri" w:hAnsi="Calibri" w:cs="Calibri"/>
          <w:sz w:val="20"/>
          <w:szCs w:val="20"/>
        </w:rPr>
        <w:t>ył tym, który grał decydującą rolę przy podejmowaniu decyzji o wyjeździe do pracy, choćby tylko na kilka miesięcy.</w:t>
      </w:r>
    </w:p>
    <w:p w14:paraId="0E4A574C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503C916" w14:textId="77777777" w:rsidR="001307CA" w:rsidRDefault="00CA7AC5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Pracownicy sezonowi nie myślą o nauce języka</w:t>
      </w:r>
    </w:p>
    <w:p w14:paraId="0D463FF7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kwestii długoterminowego wyjazdu za granicę Polacy to bardzo rozważny naród. W przeważającej większości miejsce zatrudnienia oraz zakwaterowania organizują sobie już w Polsce. Przygotowują dokumenty, szukają informacji odnośnie prawa pracy i formy opodat</w:t>
      </w:r>
      <w:r>
        <w:rPr>
          <w:rFonts w:ascii="Calibri" w:eastAsia="Calibri" w:hAnsi="Calibri" w:cs="Calibri"/>
          <w:sz w:val="20"/>
          <w:szCs w:val="20"/>
        </w:rPr>
        <w:t>kowania. Nie znając języka, zwłaszcza kiedy kierunkiem wyjazdu jest kraj nieanglojęzyczny, pomagają sobie, wykorzystując technologię. Sprawia to, że równie dużym powodzeniem cieszą się wśród nich oferty ze znajomością języka, jak i te bez takiej koniecznoś</w:t>
      </w:r>
      <w:r>
        <w:rPr>
          <w:rFonts w:ascii="Calibri" w:eastAsia="Calibri" w:hAnsi="Calibri" w:cs="Calibri"/>
          <w:sz w:val="20"/>
          <w:szCs w:val="20"/>
        </w:rPr>
        <w:t xml:space="preserve">ci. </w:t>
      </w:r>
      <w:r>
        <w:rPr>
          <w:rFonts w:ascii="Calibri" w:eastAsia="Calibri" w:hAnsi="Calibri" w:cs="Calibri"/>
          <w:i/>
          <w:sz w:val="20"/>
          <w:szCs w:val="20"/>
        </w:rPr>
        <w:t>– Przekonanie, że decydując się na pracę poza granicami Polski powinniśmy znać język kraju docelowego odchodzi w niepamięć. Dzisiejsza technologia potrafi skutecznie prowadzić konwersację w naszym imieniu. Warto jednak postawić na profesjonalne urządze</w:t>
      </w:r>
      <w:r>
        <w:rPr>
          <w:rFonts w:ascii="Calibri" w:eastAsia="Calibri" w:hAnsi="Calibri" w:cs="Calibri"/>
          <w:i/>
          <w:sz w:val="20"/>
          <w:szCs w:val="20"/>
        </w:rPr>
        <w:t xml:space="preserve">nia, takie jak elektroniczny tłumacz głosowy. Darmowe rozwiązania z Internetu to wciąż </w:t>
      </w:r>
      <w:r>
        <w:rPr>
          <w:rFonts w:ascii="Calibri" w:eastAsia="Calibri" w:hAnsi="Calibri" w:cs="Calibri"/>
          <w:i/>
          <w:sz w:val="20"/>
          <w:szCs w:val="20"/>
        </w:rPr>
        <w:lastRenderedPageBreak/>
        <w:t>znacząco niższa jakość tłumaczeń, która może sprawić nam więcej kłopotu niż pożytku</w:t>
      </w:r>
      <w:r>
        <w:rPr>
          <w:rFonts w:ascii="Calibri" w:eastAsia="Calibri" w:hAnsi="Calibri" w:cs="Calibri"/>
          <w:sz w:val="20"/>
          <w:szCs w:val="20"/>
        </w:rPr>
        <w:t xml:space="preserve"> – wskazuje Maciej Góralski, prezes Vasco Electronics.</w:t>
      </w:r>
    </w:p>
    <w:p w14:paraId="5B109A94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27071448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Szerokie grono wyjeżdżających </w:t>
      </w:r>
      <w:r>
        <w:rPr>
          <w:rFonts w:ascii="Calibri" w:eastAsia="Calibri" w:hAnsi="Calibri" w:cs="Calibri"/>
          <w:sz w:val="20"/>
          <w:szCs w:val="20"/>
        </w:rPr>
        <w:t>stanowią osoby, które nie chcą opuszczać kraju na stałe, a jedynie szukają szybkiego zarobku przy zajęciach sezonowych. Częstym kierunkiem są Niemcy, Francja i Norwegia. Oferty najczęściej dotyczą prac w rolnictwie, ogrodnictwie, na farmach, a także budown</w:t>
      </w:r>
      <w:r>
        <w:rPr>
          <w:rFonts w:ascii="Calibri" w:eastAsia="Calibri" w:hAnsi="Calibri" w:cs="Calibri"/>
          <w:sz w:val="20"/>
          <w:szCs w:val="20"/>
        </w:rPr>
        <w:t>ictwie i logistyce. Osoby wybierające się do pracy na 2-3 miesiące nie myślą o nauce języka przed wyjazdem, ani o pobieraniu lekcji w trakcie pobytu. W takich przypadkach standardem jest pomoc polskojęzycznego opiekuna. Na popularności zyskują również elek</w:t>
      </w:r>
      <w:r>
        <w:rPr>
          <w:rFonts w:ascii="Calibri" w:eastAsia="Calibri" w:hAnsi="Calibri" w:cs="Calibri"/>
          <w:sz w:val="20"/>
          <w:szCs w:val="20"/>
        </w:rPr>
        <w:t>troniczne tłumacze mowy, które lepiej sprawdzają się w codziennych sytuacjach, takich jak zapytanie o drogę czy zrobienie zakupów. Urządzenia tego typu mogą być też bardzo przydatne dla osób zajmujących się opieką nad osobami starszymi lub dziećmi czy gene</w:t>
      </w:r>
      <w:r>
        <w:rPr>
          <w:rFonts w:ascii="Calibri" w:eastAsia="Calibri" w:hAnsi="Calibri" w:cs="Calibri"/>
          <w:sz w:val="20"/>
          <w:szCs w:val="20"/>
        </w:rPr>
        <w:t>ralnie w pracy z ludźmi.</w:t>
      </w:r>
    </w:p>
    <w:p w14:paraId="55A1D2F0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C2637A6" w14:textId="77777777" w:rsidR="001307CA" w:rsidRDefault="00CA7AC5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Profesjonalny translator mowy wsparciem dla relacji biznesowych i pracowniczych</w:t>
      </w:r>
    </w:p>
    <w:p w14:paraId="2131BBD1" w14:textId="77777777" w:rsidR="001307CA" w:rsidRDefault="00CA7AC5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 jednak, gdy praca za granicą nie oznacza zbioru truskawek, lecz wyjazd handlowy czy współpracę biznesową? W tego typu przypadkach dobra komunikacja</w:t>
      </w:r>
      <w:r>
        <w:rPr>
          <w:rFonts w:ascii="Calibri" w:eastAsia="Calibri" w:hAnsi="Calibri" w:cs="Calibri"/>
          <w:sz w:val="20"/>
          <w:szCs w:val="20"/>
        </w:rPr>
        <w:t xml:space="preserve"> ma znaczenie zasadnicze, gdy spodziewanym efektem ma być podpisany kontrakt czy zdobyte zlecenie. Okazuje się jednak, że i w biznesie można obyć się bez płynnej znajomości lokalnego języka. </w:t>
      </w:r>
      <w:r>
        <w:rPr>
          <w:rFonts w:ascii="Calibri" w:eastAsia="Calibri" w:hAnsi="Calibri" w:cs="Calibri"/>
          <w:i/>
          <w:sz w:val="20"/>
          <w:szCs w:val="20"/>
        </w:rPr>
        <w:t>– Tłumacz elektroniczny pozwala nie tylko skutecznie się porozumi</w:t>
      </w:r>
      <w:r>
        <w:rPr>
          <w:rFonts w:ascii="Calibri" w:eastAsia="Calibri" w:hAnsi="Calibri" w:cs="Calibri"/>
          <w:i/>
          <w:sz w:val="20"/>
          <w:szCs w:val="20"/>
        </w:rPr>
        <w:t>eć, ale wręcz porozmawiać w języku ojczystym kontrahentów. Stworzony przez nas Vasco Translator M3 umożliwia rozmowę w ponad 70 językach, a dzięki zastosowaniu sześciu silników tłumaczeniowych, zapewnia jakość tłumaczenia na poziomie 96 proc. To wymiar wrę</w:t>
      </w:r>
      <w:r>
        <w:rPr>
          <w:rFonts w:ascii="Calibri" w:eastAsia="Calibri" w:hAnsi="Calibri" w:cs="Calibri"/>
          <w:i/>
          <w:sz w:val="20"/>
          <w:szCs w:val="20"/>
        </w:rPr>
        <w:t xml:space="preserve">cz abstrakcyjny dla popularnych aplikacji 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smartfonowych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>. Dzięki temu nasza komunikacja ze światem będzie skuteczna nawet w takich sytuacjach jak negocjowanie umowy handlowej czy udział w telekonferencji branżowej. Translator mowy umożliwia prowadzenie rozm</w:t>
      </w:r>
      <w:r>
        <w:rPr>
          <w:rFonts w:ascii="Calibri" w:eastAsia="Calibri" w:hAnsi="Calibri" w:cs="Calibri"/>
          <w:i/>
          <w:sz w:val="20"/>
          <w:szCs w:val="20"/>
        </w:rPr>
        <w:t>owy w dwóch językach jednocześnie oraz bieżące tłumaczenie spotkania do 100 osób</w:t>
      </w:r>
      <w:r>
        <w:rPr>
          <w:rFonts w:ascii="Calibri" w:eastAsia="Calibri" w:hAnsi="Calibri" w:cs="Calibri"/>
          <w:sz w:val="20"/>
          <w:szCs w:val="20"/>
        </w:rPr>
        <w:t xml:space="preserve"> – informuje Maciej Góralski.</w:t>
      </w:r>
    </w:p>
    <w:p w14:paraId="0BFEF29B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EADE831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Urządzenie takie jak elektroniczny tłumacz to także duża pomoc przy zapoznawaniu się z treścią dokumentów. Umowa z pracodawcą zagranicznym, o czy</w:t>
      </w:r>
      <w:r>
        <w:rPr>
          <w:rFonts w:ascii="Calibri" w:eastAsia="Calibri" w:hAnsi="Calibri" w:cs="Calibri"/>
          <w:sz w:val="20"/>
          <w:szCs w:val="20"/>
        </w:rPr>
        <w:t>m należy pamiętać, zawsze zawierana jest w języku urzędowym danego kraju na podstawie przepisów obowiązującego prawa pracy. Profesjonalny translator elektroniczny wyposażony w aparat do skanowania dokumentów wyświetli nam na ekranie podgląd wydruku w język</w:t>
      </w:r>
      <w:r>
        <w:rPr>
          <w:rFonts w:ascii="Calibri" w:eastAsia="Calibri" w:hAnsi="Calibri" w:cs="Calibri"/>
          <w:sz w:val="20"/>
          <w:szCs w:val="20"/>
        </w:rPr>
        <w:t>u polskim. W dosłownie kilka chwil zapoznamy się z treścią umowy i przysługującymi nam prawami, jak chociażby zakres obowiązków, wymiar czasu pracy, czy system wynagrodzenia.</w:t>
      </w:r>
    </w:p>
    <w:p w14:paraId="00B18F60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36D5F4BF" w14:textId="77777777" w:rsidR="001307CA" w:rsidRDefault="00CA7AC5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Mimo wszystko, prostsza nauka języka</w:t>
      </w:r>
    </w:p>
    <w:p w14:paraId="491B16EF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Choć praca za granicą nie zawsze wymaga znajomości języka, trzeba mieć świadomość, że bez niej trudniej jest ubiegać się o wyższe, lepiej płatne stanowisko. Zmiana pracy na lepszą lub awans wewnątrz organizacji będą wymagały od nas poznania funkcjonującego</w:t>
      </w:r>
      <w:r>
        <w:rPr>
          <w:rFonts w:ascii="Calibri" w:eastAsia="Calibri" w:hAnsi="Calibri" w:cs="Calibri"/>
          <w:sz w:val="20"/>
          <w:szCs w:val="20"/>
        </w:rPr>
        <w:t xml:space="preserve"> w otoczeniu języka. Tutaj technologia także przychodzi z pomocą. Tłumacz elektroniczny pomaga w nauce wymowy. W ten sposób, korzystając z urządzenia mimowolnie uczymy się wymowy słów z poprawnym akcentem. Niektóre tłumacze mają specjalne funkcje wspomagaj</w:t>
      </w:r>
      <w:r>
        <w:rPr>
          <w:rFonts w:ascii="Calibri" w:eastAsia="Calibri" w:hAnsi="Calibri" w:cs="Calibri"/>
          <w:sz w:val="20"/>
          <w:szCs w:val="20"/>
        </w:rPr>
        <w:t xml:space="preserve">ące naukę danego języka.  </w:t>
      </w:r>
    </w:p>
    <w:p w14:paraId="2F4BA212" w14:textId="77777777" w:rsidR="001307CA" w:rsidRDefault="001307CA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3955ED0" w14:textId="77777777" w:rsidR="001307CA" w:rsidRDefault="00CA7AC5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Umiejętność posługiwania się mową kraju, do którego wybieramy się pracować jest z pewnością bardzo przydatna. Decyzja o wyjeździe zarobkowym często zapada jednak na tyle szybko, że nie ma możliwości, by  wystarczająco dobrze nau</w:t>
      </w:r>
      <w:r>
        <w:rPr>
          <w:rFonts w:ascii="Calibri" w:eastAsia="Calibri" w:hAnsi="Calibri" w:cs="Calibri"/>
          <w:sz w:val="20"/>
          <w:szCs w:val="20"/>
        </w:rPr>
        <w:t xml:space="preserve">czyć się języka. Odpowiedź na ten problem daje jednak branża technologiczna, a jakość elektronicznych tłumaczeń jest dziś na tyle wysoka, że planując zagraniczny wyjazd do pracy, można zaufać </w:t>
      </w:r>
      <w:r>
        <w:rPr>
          <w:rFonts w:ascii="Calibri" w:eastAsia="Calibri" w:hAnsi="Calibri" w:cs="Calibri"/>
          <w:sz w:val="20"/>
          <w:szCs w:val="20"/>
        </w:rPr>
        <w:lastRenderedPageBreak/>
        <w:t>rozwiązaniom takim jak translator mowy, zwłaszcza że wbudowana k</w:t>
      </w:r>
      <w:r>
        <w:rPr>
          <w:rFonts w:ascii="Calibri" w:eastAsia="Calibri" w:hAnsi="Calibri" w:cs="Calibri"/>
          <w:sz w:val="20"/>
          <w:szCs w:val="20"/>
        </w:rPr>
        <w:t xml:space="preserve">arta SIM w najlepszych urządzeniach na rynku pozwala na bezpłatne połączenie z </w:t>
      </w:r>
      <w:proofErr w:type="spellStart"/>
      <w:r>
        <w:rPr>
          <w:rFonts w:ascii="Calibri" w:eastAsia="Calibri" w:hAnsi="Calibri" w:cs="Calibri"/>
          <w:sz w:val="20"/>
          <w:szCs w:val="20"/>
        </w:rPr>
        <w:t>internetem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do tłumaczeń w prawie 200 państwach świata.</w:t>
      </w:r>
    </w:p>
    <w:p w14:paraId="146315FA" w14:textId="77777777" w:rsidR="001307CA" w:rsidRDefault="001307CA">
      <w:pPr>
        <w:jc w:val="both"/>
        <w:rPr>
          <w:rFonts w:ascii="Calibri" w:eastAsia="Calibri" w:hAnsi="Calibri" w:cs="Calibri"/>
        </w:rPr>
      </w:pPr>
    </w:p>
    <w:p w14:paraId="384EC514" w14:textId="77777777" w:rsidR="001307CA" w:rsidRDefault="001307CA">
      <w:pPr>
        <w:jc w:val="both"/>
        <w:rPr>
          <w:rFonts w:ascii="Calibri" w:eastAsia="Calibri" w:hAnsi="Calibri" w:cs="Calibri"/>
        </w:rPr>
      </w:pPr>
    </w:p>
    <w:p w14:paraId="40EB5F04" w14:textId="77777777" w:rsidR="001307CA" w:rsidRDefault="001307CA">
      <w:pPr>
        <w:spacing w:line="240" w:lineRule="auto"/>
        <w:jc w:val="both"/>
        <w:rPr>
          <w:rFonts w:ascii="Calibri" w:eastAsia="Calibri" w:hAnsi="Calibri" w:cs="Calibri"/>
          <w:b/>
        </w:rPr>
      </w:pPr>
    </w:p>
    <w:p w14:paraId="20A8F29F" w14:textId="77777777" w:rsidR="001307CA" w:rsidRDefault="00CA7AC5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***</w:t>
      </w:r>
    </w:p>
    <w:p w14:paraId="0C709342" w14:textId="77777777" w:rsidR="001307CA" w:rsidRDefault="001307CA">
      <w:pPr>
        <w:spacing w:line="240" w:lineRule="auto"/>
        <w:jc w:val="both"/>
        <w:rPr>
          <w:rFonts w:ascii="Calibri" w:eastAsia="Calibri" w:hAnsi="Calibri" w:cs="Calibri"/>
        </w:rPr>
      </w:pPr>
    </w:p>
    <w:p w14:paraId="55CE081E" w14:textId="77777777" w:rsidR="001307CA" w:rsidRDefault="00CA7AC5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Vasco Electronics</w:t>
      </w:r>
      <w:r>
        <w:rPr>
          <w:rFonts w:ascii="Calibri" w:eastAsia="Calibri" w:hAnsi="Calibri" w:cs="Calibri"/>
          <w:sz w:val="20"/>
          <w:szCs w:val="20"/>
        </w:rPr>
        <w:t xml:space="preserve"> to wiodący na świecie producent elektronicznych translatorów. Pochodząca z Krakowa firma posiada</w:t>
      </w:r>
      <w:r>
        <w:rPr>
          <w:rFonts w:ascii="Calibri" w:eastAsia="Calibri" w:hAnsi="Calibri" w:cs="Calibri"/>
          <w:sz w:val="20"/>
          <w:szCs w:val="20"/>
        </w:rPr>
        <w:t xml:space="preserve"> kilkanaście zagranicznych przedstawicielstw handlowych, a jej produkty dostępne są w większości krajów europejskich, USA, Kanadzie oraz państwach Azji Południowo-Wschodniej. Translatory Vasco obsługują ponad 70 języków, co pozwala na porozumienie się z 90</w:t>
      </w:r>
      <w:r>
        <w:rPr>
          <w:rFonts w:ascii="Calibri" w:eastAsia="Calibri" w:hAnsi="Calibri" w:cs="Calibri"/>
          <w:sz w:val="20"/>
          <w:szCs w:val="20"/>
        </w:rPr>
        <w:t xml:space="preserve"> proc. mieszkańców naszej planety. Urządzenia te wykorzystywane są m.in.: przez szpitale, służby mundurowe, szkoły, w czasie turystycznych i służbowych podróży, międzynarodowych konferencji czy spotkań biznesowych. Obok intuicyjnej obsługi oraz precyzyjneg</w:t>
      </w:r>
      <w:r>
        <w:rPr>
          <w:rFonts w:ascii="Calibri" w:eastAsia="Calibri" w:hAnsi="Calibri" w:cs="Calibri"/>
          <w:sz w:val="20"/>
          <w:szCs w:val="20"/>
        </w:rPr>
        <w:t xml:space="preserve">o działania, flagowe translatory Vasco wyróżnia bezpłatny i nielimitowany dostęp do </w:t>
      </w:r>
      <w:proofErr w:type="spellStart"/>
      <w:r>
        <w:rPr>
          <w:rFonts w:ascii="Calibri" w:eastAsia="Calibri" w:hAnsi="Calibri" w:cs="Calibri"/>
          <w:sz w:val="20"/>
          <w:szCs w:val="20"/>
        </w:rPr>
        <w:t>internetu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prawie 200 krajach. Firma regularnie uczestniczy w międzynarodowych wydarzeniach branżowych i targach. Jej urządzenia były prezentowane m.in. podczas Global </w:t>
      </w:r>
      <w:proofErr w:type="spellStart"/>
      <w:r>
        <w:rPr>
          <w:rFonts w:ascii="Calibri" w:eastAsia="Calibri" w:hAnsi="Calibri" w:cs="Calibri"/>
          <w:sz w:val="20"/>
          <w:szCs w:val="20"/>
        </w:rPr>
        <w:t>Sou</w:t>
      </w:r>
      <w:r>
        <w:rPr>
          <w:rFonts w:ascii="Calibri" w:eastAsia="Calibri" w:hAnsi="Calibri" w:cs="Calibri"/>
          <w:sz w:val="20"/>
          <w:szCs w:val="20"/>
        </w:rPr>
        <w:t>rces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Mobile Electronics Show w Hongkongu oraz berlińskiej Międzynarodowej Wystawie Elektroniki Użytkowej i Sprzętu AGD (IFA). W 2020 r. z produktami Vasco Electronics można było zapoznać się na Consumer Electronics Show – największych na świecie targach el</w:t>
      </w:r>
      <w:r>
        <w:rPr>
          <w:rFonts w:ascii="Calibri" w:eastAsia="Calibri" w:hAnsi="Calibri" w:cs="Calibri"/>
          <w:sz w:val="20"/>
          <w:szCs w:val="20"/>
        </w:rPr>
        <w:t xml:space="preserve">ektroniki użytkowej, które każdego roku odbywają się w Las Vegas. W 2021 r. Vasco Translator M3 został wyróżniony prestiżową nagrodą Red </w:t>
      </w:r>
      <w:proofErr w:type="spellStart"/>
      <w:r>
        <w:rPr>
          <w:rFonts w:ascii="Calibri" w:eastAsia="Calibri" w:hAnsi="Calibri" w:cs="Calibri"/>
          <w:sz w:val="20"/>
          <w:szCs w:val="20"/>
        </w:rPr>
        <w:t>Dot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Design </w:t>
      </w:r>
      <w:proofErr w:type="spellStart"/>
      <w:r>
        <w:rPr>
          <w:rFonts w:ascii="Calibri" w:eastAsia="Calibri" w:hAnsi="Calibri" w:cs="Calibri"/>
          <w:sz w:val="20"/>
          <w:szCs w:val="20"/>
        </w:rPr>
        <w:t>Award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Więcej na temat Vasco Electronics na stronie </w:t>
      </w:r>
      <w:hyperlink r:id="rId7"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vasco-e</w:t>
        </w:r>
        <w:r>
          <w:rPr>
            <w:rFonts w:ascii="Calibri" w:eastAsia="Calibri" w:hAnsi="Calibri" w:cs="Calibri"/>
            <w:color w:val="1155CC"/>
            <w:sz w:val="20"/>
            <w:szCs w:val="20"/>
            <w:u w:val="single"/>
          </w:rPr>
          <w:t>lectronics.pl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</w:p>
    <w:p w14:paraId="5C1A4921" w14:textId="77777777" w:rsidR="001307CA" w:rsidRDefault="001307C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bookmarkStart w:id="1" w:name="_heading=h.gjdgxs" w:colFirst="0" w:colLast="0"/>
      <w:bookmarkEnd w:id="1"/>
    </w:p>
    <w:p w14:paraId="777455D8" w14:textId="77777777" w:rsidR="001307CA" w:rsidRDefault="00CA7AC5">
      <w:pPr>
        <w:spacing w:line="240" w:lineRule="auto"/>
        <w:jc w:val="right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Kontakt dla mediów: </w:t>
      </w:r>
    </w:p>
    <w:p w14:paraId="450E3E06" w14:textId="77777777" w:rsidR="001307CA" w:rsidRDefault="00CA7AC5">
      <w:pPr>
        <w:spacing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Arkadiusz Cegiełka</w:t>
      </w:r>
    </w:p>
    <w:p w14:paraId="4E6E3E13" w14:textId="77777777" w:rsidR="001307CA" w:rsidRDefault="00CA7AC5">
      <w:pPr>
        <w:spacing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arkadiusz.cegielka@goodonepr.pl</w:t>
        </w:r>
      </w:hyperlink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</w:p>
    <w:p w14:paraId="76504D32" w14:textId="77777777" w:rsidR="001307CA" w:rsidRDefault="00CA7AC5">
      <w:pPr>
        <w:spacing w:line="240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tel.: +48 504 354 106</w:t>
      </w:r>
    </w:p>
    <w:p w14:paraId="01AE5F65" w14:textId="77777777" w:rsidR="001307CA" w:rsidRDefault="001307C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1307CA">
      <w:headerReference w:type="default" r:id="rId9"/>
      <w:footerReference w:type="default" r:id="rId10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B3A7F" w14:textId="77777777" w:rsidR="00CA7AC5" w:rsidRDefault="00CA7AC5">
      <w:pPr>
        <w:spacing w:line="240" w:lineRule="auto"/>
      </w:pPr>
      <w:r>
        <w:separator/>
      </w:r>
    </w:p>
  </w:endnote>
  <w:endnote w:type="continuationSeparator" w:id="0">
    <w:p w14:paraId="7AD7F30A" w14:textId="77777777" w:rsidR="00CA7AC5" w:rsidRDefault="00CA7A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2A57" w14:textId="77777777" w:rsidR="001307CA" w:rsidRPr="0074416A" w:rsidRDefault="00CA7AC5">
    <w:pPr>
      <w:rPr>
        <w:lang w:val="en-US"/>
      </w:rPr>
    </w:pPr>
    <w:r>
      <w:rPr>
        <w:noProof/>
      </w:rPr>
      <mc:AlternateContent>
        <mc:Choice Requires="wpg">
          <w:drawing>
            <wp:inline distT="114300" distB="114300" distL="114300" distR="114300" wp14:anchorId="4B28C691" wp14:editId="76567DA4">
              <wp:extent cx="323850" cy="267565"/>
              <wp:effectExtent l="0" t="0" r="0" b="0"/>
              <wp:docPr id="41" name="Trójkąt równoramienny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9ED1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85AE3A4" w14:textId="77777777" w:rsidR="001307CA" w:rsidRDefault="001307C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3850" cy="267565"/>
              <wp:effectExtent b="0" l="0" r="0" t="0"/>
              <wp:docPr id="4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2675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RPr="0074416A">
      <w:rPr>
        <w:lang w:val="en-US"/>
      </w:rPr>
      <w:t xml:space="preserve">                                                   </w:t>
    </w:r>
    <w:r>
      <w:rPr>
        <w:noProof/>
      </w:rPr>
      <mc:AlternateContent>
        <mc:Choice Requires="wpg">
          <w:drawing>
            <wp:inline distT="114300" distB="114300" distL="114300" distR="114300" wp14:anchorId="6F1EFC07" wp14:editId="12B797B3">
              <wp:extent cx="323850" cy="267565"/>
              <wp:effectExtent l="0" t="0" r="0" b="0"/>
              <wp:docPr id="40" name="Trójkąt równoramienn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1F93FC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C5184C" w14:textId="77777777" w:rsidR="001307CA" w:rsidRDefault="001307C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3850" cy="267565"/>
              <wp:effectExtent b="0" l="0" r="0" t="0"/>
              <wp:docPr id="40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850" cy="26756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RPr="0074416A">
      <w:rPr>
        <w:lang w:val="en-US"/>
      </w:rPr>
      <w:t xml:space="preserve">                                        </w:t>
    </w:r>
    <w:r>
      <w:rPr>
        <w:noProof/>
      </w:rPr>
      <mc:AlternateContent>
        <mc:Choice Requires="wpg">
          <w:drawing>
            <wp:inline distT="114300" distB="114300" distL="114300" distR="114300" wp14:anchorId="28436AF2" wp14:editId="3D6A933E">
              <wp:extent cx="322729" cy="266698"/>
              <wp:effectExtent l="0" t="0" r="0" b="0"/>
              <wp:docPr id="42" name="Trójkąt równoramienny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5145000" y="3628050"/>
                        <a:ext cx="402000" cy="303900"/>
                      </a:xfrm>
                      <a:prstGeom prst="triangle">
                        <a:avLst>
                          <a:gd name="adj" fmla="val 50000"/>
                        </a:avLst>
                      </a:prstGeom>
                      <a:solidFill>
                        <a:srgbClr val="0B5394"/>
                      </a:solidFill>
                      <a:ln>
                        <a:noFill/>
                      </a:ln>
                    </wps:spPr>
                    <wps:txbx>
                      <w:txbxContent>
                        <w:p w14:paraId="09632C92" w14:textId="77777777" w:rsidR="001307CA" w:rsidRDefault="001307CA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322729" cy="266698"/>
              <wp:effectExtent b="0" l="0" r="0" t="0"/>
              <wp:docPr id="4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2729" cy="26669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72591E19" w14:textId="77777777" w:rsidR="001307CA" w:rsidRPr="0074416A" w:rsidRDefault="00CA7AC5">
    <w:pPr>
      <w:widowControl w:val="0"/>
      <w:spacing w:line="360" w:lineRule="auto"/>
      <w:rPr>
        <w:rFonts w:ascii="Roboto" w:eastAsia="Roboto" w:hAnsi="Roboto" w:cs="Roboto"/>
        <w:b/>
        <w:lang w:val="en-US"/>
      </w:rPr>
    </w:pPr>
    <w:r w:rsidRPr="0074416A">
      <w:rPr>
        <w:rFonts w:ascii="Roboto" w:eastAsia="Roboto" w:hAnsi="Roboto" w:cs="Roboto"/>
        <w:b/>
        <w:lang w:val="en-US"/>
      </w:rPr>
      <w:t>EUROPE</w:t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  <w:t>USA</w:t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</w:r>
    <w:r w:rsidRPr="0074416A">
      <w:rPr>
        <w:rFonts w:ascii="Roboto" w:eastAsia="Roboto" w:hAnsi="Roboto" w:cs="Roboto"/>
        <w:b/>
        <w:lang w:val="en-US"/>
      </w:rPr>
      <w:tab/>
      <w:t>ASIA</w:t>
    </w:r>
  </w:p>
  <w:p w14:paraId="5FE4A4C2" w14:textId="77777777" w:rsidR="001307CA" w:rsidRPr="0074416A" w:rsidRDefault="00CA7AC5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74416A">
      <w:rPr>
        <w:rFonts w:ascii="Roboto" w:eastAsia="Roboto" w:hAnsi="Roboto" w:cs="Roboto"/>
        <w:sz w:val="18"/>
        <w:szCs w:val="18"/>
        <w:lang w:val="en-US"/>
      </w:rPr>
      <w:t xml:space="preserve">Vasco Electronics Sp. z o.o. S.K.A. 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 xml:space="preserve">Vasco Electronics LLC 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Room 512, Unit A, Co-talent</w:t>
    </w:r>
  </w:p>
  <w:p w14:paraId="61919418" w14:textId="77777777" w:rsidR="001307CA" w:rsidRPr="0074416A" w:rsidRDefault="00CA7AC5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74416A">
      <w:rPr>
        <w:rFonts w:ascii="Roboto" w:eastAsia="Roboto" w:hAnsi="Roboto" w:cs="Roboto"/>
        <w:sz w:val="18"/>
        <w:szCs w:val="18"/>
        <w:lang w:val="en-US"/>
      </w:rPr>
      <w:t xml:space="preserve">Al. Pokoju 1, CTA/350 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 xml:space="preserve">2232 Dell Range Blvd, 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Creative park, Liu Xian Rd,</w:t>
    </w:r>
  </w:p>
  <w:p w14:paraId="28EB52F5" w14:textId="77777777" w:rsidR="001307CA" w:rsidRPr="0074416A" w:rsidRDefault="00CA7AC5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74416A">
      <w:rPr>
        <w:rFonts w:ascii="Roboto" w:eastAsia="Roboto" w:hAnsi="Roboto" w:cs="Roboto"/>
        <w:sz w:val="18"/>
        <w:szCs w:val="18"/>
        <w:lang w:val="en-US"/>
      </w:rPr>
      <w:t>31-548 Kraków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Suite 245 - 3030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Baoan District</w:t>
    </w:r>
  </w:p>
  <w:p w14:paraId="66DA4C9B" w14:textId="77777777" w:rsidR="001307CA" w:rsidRPr="0074416A" w:rsidRDefault="00CA7AC5">
    <w:pPr>
      <w:widowControl w:val="0"/>
      <w:rPr>
        <w:rFonts w:ascii="Roboto" w:eastAsia="Roboto" w:hAnsi="Roboto" w:cs="Roboto"/>
        <w:sz w:val="18"/>
        <w:szCs w:val="18"/>
        <w:lang w:val="en-US"/>
      </w:rPr>
    </w:pP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Cheyenne, WY 82009</w:t>
    </w:r>
    <w:r w:rsidRPr="0074416A">
      <w:rPr>
        <w:rFonts w:ascii="Roboto" w:eastAsia="Roboto" w:hAnsi="Roboto" w:cs="Roboto"/>
        <w:sz w:val="18"/>
        <w:szCs w:val="18"/>
        <w:lang w:val="en-US"/>
      </w:rPr>
      <w:tab/>
    </w:r>
    <w:r w:rsidRPr="0074416A">
      <w:rPr>
        <w:rFonts w:ascii="Roboto" w:eastAsia="Roboto" w:hAnsi="Roboto" w:cs="Roboto"/>
        <w:sz w:val="18"/>
        <w:szCs w:val="18"/>
        <w:lang w:val="en-US"/>
      </w:rPr>
      <w:tab/>
      <w:t>Shenzhen 518000, China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FCDC6" w14:textId="77777777" w:rsidR="00CA7AC5" w:rsidRDefault="00CA7AC5">
      <w:pPr>
        <w:spacing w:line="240" w:lineRule="auto"/>
      </w:pPr>
      <w:r>
        <w:separator/>
      </w:r>
    </w:p>
  </w:footnote>
  <w:footnote w:type="continuationSeparator" w:id="0">
    <w:p w14:paraId="4A70DC59" w14:textId="77777777" w:rsidR="00CA7AC5" w:rsidRDefault="00CA7AC5">
      <w:pPr>
        <w:spacing w:line="240" w:lineRule="auto"/>
      </w:pPr>
      <w:r>
        <w:continuationSeparator/>
      </w:r>
    </w:p>
  </w:footnote>
  <w:footnote w:id="1">
    <w:p w14:paraId="3C9F7662" w14:textId="77777777" w:rsidR="001307CA" w:rsidRDefault="00CA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„Barometr Rynku Pracy”, ARC Rynek i Opinia na zlecenie </w:t>
      </w:r>
      <w:proofErr w:type="spellStart"/>
      <w:r>
        <w:rPr>
          <w:rFonts w:ascii="Calibri" w:eastAsia="Calibri" w:hAnsi="Calibri" w:cs="Calibri"/>
          <w:color w:val="000000"/>
          <w:sz w:val="20"/>
          <w:szCs w:val="20"/>
        </w:rPr>
        <w:t>Work</w:t>
      </w:r>
      <w:proofErr w:type="spellEnd"/>
      <w:r>
        <w:rPr>
          <w:rFonts w:ascii="Calibri" w:eastAsia="Calibri" w:hAnsi="Calibri" w:cs="Calibri"/>
          <w:color w:val="000000"/>
          <w:sz w:val="20"/>
          <w:szCs w:val="20"/>
        </w:rPr>
        <w:t xml:space="preserve"> Service, marzec 2021 r.</w:t>
      </w:r>
    </w:p>
  </w:footnote>
  <w:footnote w:id="2">
    <w:p w14:paraId="4C8D64AB" w14:textId="77777777" w:rsidR="001307CA" w:rsidRDefault="00CA7A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>„Praca za granicą w 2020 roku. Wpływ pandemii na rynek pracy tymczasowej”, Raport portalu europa.jobs, styczeń 2021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A70F0" w14:textId="77777777" w:rsidR="001307CA" w:rsidRDefault="00CA7A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19050" distB="19050" distL="19050" distR="19050" wp14:anchorId="7CCE3B4A" wp14:editId="0EC58916">
          <wp:extent cx="1764498" cy="661676"/>
          <wp:effectExtent l="0" t="0" r="0" b="0"/>
          <wp:docPr id="4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4498" cy="6616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46BA093" w14:textId="77777777" w:rsidR="001307CA" w:rsidRDefault="001307C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7CA"/>
    <w:rsid w:val="001307CA"/>
    <w:rsid w:val="0074416A"/>
    <w:rsid w:val="00CA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1DF7"/>
  <w15:docId w15:val="{F9461885-6DDE-4420-9CB2-D8358214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NormalnyWeb">
    <w:name w:val="Normal (Web)"/>
    <w:basedOn w:val="Normalny"/>
    <w:uiPriority w:val="99"/>
    <w:semiHidden/>
    <w:unhideWhenUsed/>
    <w:rsid w:val="0087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7107"/>
  </w:style>
  <w:style w:type="paragraph" w:styleId="Stopka">
    <w:name w:val="footer"/>
    <w:basedOn w:val="Normalny"/>
    <w:link w:val="StopkaZnak"/>
    <w:uiPriority w:val="99"/>
    <w:unhideWhenUsed/>
    <w:rsid w:val="00BE71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710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B66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B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B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581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8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58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13FD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112A"/>
    <w:rPr>
      <w:color w:val="800080" w:themeColor="followed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semiHidden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B76"/>
    <w:rPr>
      <w:rFonts w:ascii="Segoe UI" w:hAnsi="Segoe UI" w:cs="Segoe UI"/>
      <w:sz w:val="18"/>
      <w:szCs w:val="18"/>
    </w:rPr>
  </w:style>
  <w:style w:type="character" w:customStyle="1" w:styleId="TematkomentarzaZnak1">
    <w:name w:val="Temat komentarza Znak1"/>
    <w:basedOn w:val="TekstkomentarzaZnak1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C5E07"/>
    <w:pPr>
      <w:ind w:left="720"/>
      <w:contextualSpacing/>
    </w:pPr>
  </w:style>
  <w:style w:type="character" w:customStyle="1" w:styleId="TematkomentarzaZnak2">
    <w:name w:val="Temat komentarza Znak2"/>
    <w:basedOn w:val="TekstkomentarzaZnak2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2">
    <w:name w:val="Tekst komentarza Znak2"/>
    <w:link w:val="Tekstkomentarza"/>
    <w:uiPriority w:val="99"/>
    <w:semiHidden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E61FB3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90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kadiusz.cegielk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sco-electronics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ilLf/LvZDMy9Kmx1SGXV/FFujA==">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Arek - GoodOnePR</cp:lastModifiedBy>
  <cp:revision>3</cp:revision>
  <dcterms:created xsi:type="dcterms:W3CDTF">2021-04-07T09:24:00Z</dcterms:created>
  <dcterms:modified xsi:type="dcterms:W3CDTF">2021-08-30T12:24:00Z</dcterms:modified>
</cp:coreProperties>
</file>