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B96439" w:rsidR="00E337B6" w:rsidRDefault="00CB37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D61C55">
        <w:rPr>
          <w:sz w:val="20"/>
          <w:szCs w:val="20"/>
        </w:rPr>
        <w:t>28 września</w:t>
      </w:r>
      <w:r w:rsidR="007D58C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</w:p>
    <w:p w14:paraId="00000002" w14:textId="77777777" w:rsidR="00E337B6" w:rsidRDefault="00E337B6">
      <w:pPr>
        <w:rPr>
          <w:i/>
          <w:sz w:val="20"/>
          <w:szCs w:val="20"/>
        </w:rPr>
      </w:pPr>
    </w:p>
    <w:p w14:paraId="00000003" w14:textId="77777777" w:rsidR="00E337B6" w:rsidRDefault="00CB37DC">
      <w:pPr>
        <w:rPr>
          <w:i/>
          <w:sz w:val="20"/>
          <w:szCs w:val="20"/>
        </w:rPr>
      </w:pPr>
      <w:r>
        <w:rPr>
          <w:i/>
          <w:sz w:val="20"/>
          <w:szCs w:val="20"/>
        </w:rPr>
        <w:t>Informacja prasowa</w:t>
      </w:r>
    </w:p>
    <w:p w14:paraId="0DE52E6E" w14:textId="77777777" w:rsidR="00ED5A83" w:rsidRDefault="00ED5A83" w:rsidP="007D58CB">
      <w:pPr>
        <w:spacing w:before="240"/>
        <w:jc w:val="both"/>
        <w:rPr>
          <w:b/>
          <w:sz w:val="24"/>
          <w:szCs w:val="24"/>
        </w:rPr>
      </w:pPr>
      <w:r w:rsidRPr="00ED5A83">
        <w:rPr>
          <w:b/>
          <w:sz w:val="24"/>
          <w:szCs w:val="24"/>
        </w:rPr>
        <w:t>Księga Niwelowania Barier Legislacyjnych 2021</w:t>
      </w:r>
    </w:p>
    <w:p w14:paraId="000000B6" w14:textId="4720E65A" w:rsidR="00E337B6" w:rsidRPr="00ED5A83" w:rsidRDefault="00ED5A83" w:rsidP="00ED5A83">
      <w:pPr>
        <w:spacing w:before="240"/>
        <w:jc w:val="both"/>
        <w:rPr>
          <w:b/>
          <w:sz w:val="24"/>
          <w:szCs w:val="24"/>
        </w:rPr>
      </w:pPr>
      <w:r w:rsidRPr="00ED5A83">
        <w:rPr>
          <w:b/>
          <w:sz w:val="24"/>
          <w:szCs w:val="24"/>
        </w:rPr>
        <w:t xml:space="preserve">Konieczność dostosowania się e-biznesu do nowej, </w:t>
      </w:r>
      <w:proofErr w:type="spellStart"/>
      <w:r w:rsidRPr="00ED5A83">
        <w:rPr>
          <w:b/>
          <w:sz w:val="24"/>
          <w:szCs w:val="24"/>
        </w:rPr>
        <w:t>postpandemicznej</w:t>
      </w:r>
      <w:proofErr w:type="spellEnd"/>
      <w:r w:rsidRPr="00ED5A83">
        <w:rPr>
          <w:b/>
          <w:sz w:val="24"/>
          <w:szCs w:val="24"/>
        </w:rPr>
        <w:t xml:space="preserve">  rzeczywistości podkreśliła znaczenie transformacji cyfrowej. Obecnie firmy zajmujące się handlem w Internecie zmagają się z obciążeniami legislacyjnymi, które blokują rozwój  działalności. I choć w ubiegłym roku wprowadzono kilka korzystnych rozwiązań prawnych, to nie można mówić o zniesieniu czy obniżeniu istotnych barier. Aby przedsiębiorcy mogli odpowiadać na zachodzące zmiany, dalej się rozwijać i działać na globalną skalę, niezbędne jest silne i zdecydowane wsparcie. </w:t>
      </w:r>
    </w:p>
    <w:p w14:paraId="0770EC76" w14:textId="585D955B" w:rsidR="00ED5A83" w:rsidRDefault="00ED5A83" w:rsidP="00ED5A83">
      <w:pPr>
        <w:spacing w:before="240" w:after="240"/>
        <w:jc w:val="both"/>
      </w:pPr>
      <w:r>
        <w:t xml:space="preserve">W najnowszej Księdze Niwelowania Barier Legislacyjnych w Gospodarce Cyfrowej 2021 opracowanej, już po raz czwarty, przez koordynatorów legislacyjnych Izby Gospodarki Elektronicznej oraz konsultantów biznesowych z firm zrzeszonych w e-Izbie, przedstawione zostały główne problemy prawne, które utrudniają prowadzenia e-biznesu. 29 września, podczas e-Izba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omówione zostały najważniejsze bariery wyszczególnione w Księdze m.in. kwestie rozwiązań nierównych ram prawnych dla polskich i azjatyckich e-przedsiębiorców, problemy związane z </w:t>
      </w:r>
      <w:proofErr w:type="spellStart"/>
      <w:r>
        <w:t>gatekeeperami</w:t>
      </w:r>
      <w:proofErr w:type="spellEnd"/>
      <w:r>
        <w:t xml:space="preserve"> oraz kwestie dyrektywy omnibus. W spotkaniu udział wzięli eksperci prawa, podatków i biznesu - członkowie grupy legislacyjnej oraz przedstawiciele firm zrzeszonych w e-Izbie. </w:t>
      </w:r>
    </w:p>
    <w:p w14:paraId="43AE6F75" w14:textId="77777777" w:rsidR="00ED5A83" w:rsidRDefault="00ED5A83" w:rsidP="00ED5A83">
      <w:pPr>
        <w:spacing w:before="240" w:after="240"/>
        <w:jc w:val="both"/>
        <w:rPr>
          <w:b/>
        </w:rPr>
      </w:pPr>
      <w:r>
        <w:rPr>
          <w:b/>
        </w:rPr>
        <w:t>Księga Niwelowania Barier Legislacyjnych w Gospodarce Cyfrowej 2021</w:t>
      </w:r>
    </w:p>
    <w:p w14:paraId="15F6B186" w14:textId="355C38C1" w:rsidR="00ED5A83" w:rsidRDefault="00ED5A83" w:rsidP="00ED5A83">
      <w:pPr>
        <w:spacing w:before="240" w:after="240"/>
        <w:jc w:val="both"/>
      </w:pPr>
      <w:r>
        <w:t xml:space="preserve">Tegoroczna Księga Niwelowania Barier Legislacyjnych w Gospodarce Cyfrowej składa się z trzech części: najważniejszych barier hamujących cyfrowy rozwój biznesu, regulacji rynku  </w:t>
      </w:r>
      <w:proofErr w:type="spellStart"/>
      <w:r>
        <w:t>kryptowalut</w:t>
      </w:r>
      <w:proofErr w:type="spellEnd"/>
      <w:r>
        <w:t xml:space="preserve"> oraz e-medycyny. Księga nie tylko definiuje aktualne bariery, ale także podaje gotowe do wdrożenia rozwiązania wypracowane przez ekspertów e-Izby. Co najistotniejsze wskazuje także potencjalne, przyszłe bariery wraz z propozycjami konkretnych rozwiązań. </w:t>
      </w:r>
    </w:p>
    <w:p w14:paraId="3405293D" w14:textId="77777777" w:rsidR="00ED5A83" w:rsidRDefault="00ED5A83" w:rsidP="00ED5A83">
      <w:pPr>
        <w:spacing w:before="240" w:after="240"/>
        <w:jc w:val="both"/>
        <w:rPr>
          <w:b/>
        </w:rPr>
      </w:pPr>
      <w:r>
        <w:rPr>
          <w:i/>
        </w:rPr>
        <w:t>- Misją Izby Gospodarki Elektronicznej jest rozwój polskiej branży cyfrowej poprzez współpracę, wymianę know-how oraz działania legislacyjne. Dlatego przygotowanie Księgi Niwelowania Barier Legislacyjnych 2021 w zakresie gospodarki cyfrowej ma służyć współpracy pomiędzy biznesem oraz instytucjami polskiej administracji rządowej celem sprawniejszego rozwoju cyfryzacji polskiej gospodarki. Podajemy na tacy, gotowe do wdrożenia rozwiązania wypracowane przez wybitnych ekspertów z zakresu prawa, podatków i cyfrowego biznesu. To silny i reprezentatywny głos branży, która wymaga silnego i zdecydowanego wsparcia</w:t>
      </w:r>
      <w:r>
        <w:t xml:space="preserve">-  mówi </w:t>
      </w:r>
      <w:r>
        <w:rPr>
          <w:b/>
        </w:rPr>
        <w:t xml:space="preserve">Patrycja </w:t>
      </w:r>
      <w:proofErr w:type="spellStart"/>
      <w:r>
        <w:rPr>
          <w:b/>
        </w:rPr>
        <w:t>Sass</w:t>
      </w:r>
      <w:proofErr w:type="spellEnd"/>
      <w:r>
        <w:rPr>
          <w:b/>
        </w:rPr>
        <w:t>-Staniszewska, prezes Izby Gospodarki Elektronicznej.</w:t>
      </w:r>
    </w:p>
    <w:p w14:paraId="450BCE8B" w14:textId="77777777" w:rsidR="00ED5A83" w:rsidRDefault="00ED5A83" w:rsidP="00ED5A83">
      <w:pPr>
        <w:jc w:val="both"/>
        <w:rPr>
          <w:b/>
          <w:i/>
          <w:color w:val="05445E"/>
          <w:sz w:val="37"/>
          <w:szCs w:val="37"/>
          <w:highlight w:val="yellow"/>
        </w:rPr>
      </w:pPr>
      <w:r>
        <w:rPr>
          <w:i/>
        </w:rPr>
        <w:t xml:space="preserve">- Przejrzyste i dopasowane do realiów gospodarczych prawo jest jednym z kluczowych czynników, które są niezbędne dla zapewnienia przedsiębiorcom warunków do stabilnego rozwoju. Ostatnie lata to czas, w którym pojawiło się wiele nowych regulacji dotyczących </w:t>
      </w:r>
      <w:r>
        <w:rPr>
          <w:i/>
        </w:rPr>
        <w:lastRenderedPageBreak/>
        <w:t>szeroko rozumianego handlu elektronicznego. Jednocześnie prawo nie zawsze nadąża za dynamicznymi zmianami zachodzącymi na rynku nowoczesnych technologii. Powyższe czynniki sprawiają, że w przepisach prawa pojawiają się bariery dla płynnego rozwoju e-przedsiębiorców. W Księdze Niwelowania Barier Legislacyjnych przedstawiamy zestawienie przepisów, które negatywnie wpływają na sytuację e-przedsiębiorców i utrudniają ich funkcjonowanie. Jednocześnie proponujemy rozwiązania, które pozwolą na usunięcie wskazanych przez nas problemów</w:t>
      </w:r>
      <w:r>
        <w:t xml:space="preserve"> - </w:t>
      </w:r>
      <w:r>
        <w:rPr>
          <w:b/>
        </w:rPr>
        <w:t xml:space="preserve">Witold </w:t>
      </w:r>
      <w:proofErr w:type="spellStart"/>
      <w:r>
        <w:rPr>
          <w:b/>
        </w:rPr>
        <w:t>Chomiczewski</w:t>
      </w:r>
      <w:proofErr w:type="spellEnd"/>
      <w:r>
        <w:rPr>
          <w:b/>
        </w:rPr>
        <w:t xml:space="preserve">, pełnomocnik e-Izby ds. legislacyjnych, kancelaria Lubasz i wspólnicy. </w:t>
      </w:r>
    </w:p>
    <w:p w14:paraId="70FF8BFA" w14:textId="77777777" w:rsidR="00ED5A83" w:rsidRDefault="00ED5A83" w:rsidP="00ED5A83">
      <w:pPr>
        <w:pStyle w:val="Nagwek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0" w:name="_obz4bdd67atv" w:colFirst="0" w:colLast="0"/>
      <w:bookmarkEnd w:id="0"/>
      <w:r>
        <w:rPr>
          <w:b/>
          <w:color w:val="000000"/>
          <w:sz w:val="22"/>
          <w:szCs w:val="22"/>
        </w:rPr>
        <w:t>Nierówna konkurencja z platformami azjatyckimi</w:t>
      </w:r>
    </w:p>
    <w:p w14:paraId="29945707" w14:textId="6A717270" w:rsidR="00ED5A83" w:rsidRDefault="00ED5A83" w:rsidP="00ED5A83">
      <w:pPr>
        <w:spacing w:before="240" w:after="240"/>
        <w:jc w:val="both"/>
      </w:pPr>
      <w:r>
        <w:t xml:space="preserve">Dla polskich e-przedsiębiorców jedną z bolączek legislacyjnych jest problem nierównych ram prawnych dla konkurencji ze sprzedawcami działającymi na platformach azjatyckich. Dzięki wykorzystywaniu wyjątków przewidzianych w przepisach zagraniczne podmioty prowadzą sprzedaż bez uiszczania podatku od towarów i usług. Dodatkowo często unikana jest zapłata cła. Poza tym produkty importowane z Azji nie są weryfikowane pod kątem spełniania unijnych wymogów dotyczących bezpieczeństwa i jakości. Tym samym polskie e-sklepy, które odprowadzają podatek od towarów i usług, oferują produkty spełniające unijne wymogi dotyczące bezpieczeństwa i jakości, nie mają szans w walce cenowej  z azjatyckimi sprzedawcami. </w:t>
      </w:r>
    </w:p>
    <w:p w14:paraId="16A9DBBA" w14:textId="16788BB5" w:rsidR="00ED5A83" w:rsidRDefault="00ED5A83" w:rsidP="00ED5A83">
      <w:pPr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>Blokowanie relacji biznesowych</w:t>
      </w:r>
    </w:p>
    <w:p w14:paraId="0D5F2340" w14:textId="77777777" w:rsidR="00ED5A83" w:rsidRDefault="00ED5A83" w:rsidP="00ED5A83">
      <w:pPr>
        <w:spacing w:before="240" w:after="240"/>
        <w:jc w:val="both"/>
      </w:pPr>
      <w:r>
        <w:t>Zmiany technologiczne nie odbywają się bez potknięć i nie zawsze pierwsze wersje rozwiązań regulacyjnych działają bezbłędnie. Jednak biznes, który jest w stanie przystosować się do zmian potrzebuje jasnych wskazówek, jak zmodyfikować swoje procesy, by cyfrowe państwo wspierało w prowadzeniu działalności i harmonijnie się w nią wpisywało.</w:t>
      </w:r>
    </w:p>
    <w:p w14:paraId="15D7F5F7" w14:textId="77777777" w:rsidR="00ED5A83" w:rsidRDefault="00ED5A83" w:rsidP="00ED5A83">
      <w:pPr>
        <w:spacing w:before="240" w:after="240"/>
        <w:jc w:val="both"/>
      </w:pPr>
      <w:r>
        <w:t>Obowiązujące prawo telekomunikacyjne (ustawa z 16 lipca 2004 r. ), a konkretnie art. 172 ust. 1, utrudnia prowadzenie relacji biznesowych (relacje B2B), w niektórych przypadkach niemalże je blokując. Ogranicza dotarcie do podmiotów gospodarczych, z którymi w przyszłości może zostać nawiązana współpraca, prowadzi do zmniejszenia możliwości  pozyskiwania nowych kontrahentów, co finalnie niekorzystnie wpływa na obrót gospodarczy.</w:t>
      </w:r>
    </w:p>
    <w:p w14:paraId="1903C28D" w14:textId="77777777" w:rsidR="00ED5A83" w:rsidRDefault="00ED5A83" w:rsidP="00ED5A83">
      <w:pPr>
        <w:spacing w:before="240" w:after="240"/>
        <w:jc w:val="both"/>
        <w:rPr>
          <w:highlight w:val="yellow"/>
        </w:rPr>
      </w:pPr>
      <w:r>
        <w:t>Ważne byłoby istotne przeredagowanie treści wskazanego przepisu tak, aby w przypadku kontaktów biznesowych (relacje B2B), używanie telekomunikacyjnych urządzeń końcowych i automatycznych systemów wywołujących dla celów marketingu bezpośredniego było dozwolone. Natomiast zakaz ich używania powinien obowiązywać od momentu sprzeciwu odbiorcy danych komunikatów.</w:t>
      </w:r>
    </w:p>
    <w:p w14:paraId="404B4914" w14:textId="77777777" w:rsidR="00ED5A83" w:rsidRDefault="00ED5A83" w:rsidP="00ED5A83">
      <w:pPr>
        <w:spacing w:before="240" w:after="240"/>
        <w:rPr>
          <w:b/>
        </w:rPr>
      </w:pPr>
      <w:r>
        <w:rPr>
          <w:b/>
        </w:rPr>
        <w:t xml:space="preserve">Regulacje rynku </w:t>
      </w:r>
      <w:proofErr w:type="spellStart"/>
      <w:r>
        <w:rPr>
          <w:b/>
        </w:rPr>
        <w:t>kryptowalut</w:t>
      </w:r>
      <w:proofErr w:type="spellEnd"/>
      <w:r>
        <w:rPr>
          <w:b/>
        </w:rPr>
        <w:t xml:space="preserve"> </w:t>
      </w:r>
    </w:p>
    <w:p w14:paraId="233F6467" w14:textId="77777777" w:rsidR="00ED5A83" w:rsidRDefault="00ED5A83" w:rsidP="00ED5A83">
      <w:pPr>
        <w:spacing w:before="240" w:after="240"/>
        <w:jc w:val="both"/>
        <w:rPr>
          <w:highlight w:val="yellow"/>
        </w:rPr>
      </w:pPr>
      <w:r>
        <w:t xml:space="preserve">Zyskujące na popularności </w:t>
      </w:r>
      <w:proofErr w:type="spellStart"/>
      <w:r>
        <w:t>kryptowaluty</w:t>
      </w:r>
      <w:proofErr w:type="spellEnd"/>
      <w:r>
        <w:t xml:space="preserve"> nie doczekały się jeszcze klasyfikacji pojęciowej prawa cywilnego. Ich użytkownicy borykają się z problemem wskazania posiadania na określonej platformie danej liczby </w:t>
      </w:r>
      <w:proofErr w:type="spellStart"/>
      <w:r>
        <w:t>kryptowalut</w:t>
      </w:r>
      <w:proofErr w:type="spellEnd"/>
      <w:r>
        <w:t xml:space="preserve"> w przypadku ataku </w:t>
      </w:r>
      <w:proofErr w:type="spellStart"/>
      <w:r>
        <w:t>hakerskiego</w:t>
      </w:r>
      <w:proofErr w:type="spellEnd"/>
      <w:r>
        <w:t xml:space="preserve">. </w:t>
      </w:r>
      <w:r>
        <w:lastRenderedPageBreak/>
        <w:t xml:space="preserve">Niewystarczająca jest również ochrona konsumenta w przypadku utraty środków na platformie obrotu </w:t>
      </w:r>
      <w:proofErr w:type="spellStart"/>
      <w:r>
        <w:t>kryptoaktywami</w:t>
      </w:r>
      <w:proofErr w:type="spellEnd"/>
      <w:r>
        <w:t xml:space="preserve">. </w:t>
      </w:r>
    </w:p>
    <w:p w14:paraId="51FB789E" w14:textId="77777777" w:rsidR="00ED5A83" w:rsidRDefault="00ED5A83" w:rsidP="00ED5A83">
      <w:pPr>
        <w:pStyle w:val="Nagwek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1" w:name="_o2xgxkv3ciw5" w:colFirst="0" w:colLast="0"/>
      <w:bookmarkEnd w:id="1"/>
      <w:r>
        <w:rPr>
          <w:b/>
          <w:color w:val="000000"/>
          <w:sz w:val="22"/>
          <w:szCs w:val="22"/>
        </w:rPr>
        <w:t xml:space="preserve">Konieczne zmiany w prawie farmaceutycznym </w:t>
      </w:r>
    </w:p>
    <w:p w14:paraId="374F1DE4" w14:textId="77777777" w:rsidR="00ED5A83" w:rsidRDefault="00ED5A83" w:rsidP="00ED5A83">
      <w:pPr>
        <w:spacing w:before="240" w:after="240"/>
        <w:jc w:val="both"/>
        <w:rPr>
          <w:highlight w:val="yellow"/>
        </w:rPr>
      </w:pPr>
      <w:r>
        <w:t xml:space="preserve">Obecnie w internetowych aptekach można kupić produkty lecznicze, które są dopuszczone do ogólnodostępnej sprzedaży. Prawo farmaceutyczne zakazuje jednak sprzedaży on-line leków wydawanych z przepisu lekarza. Zabroniona jest reklama aptek i punktów aptecznych oraz ich działalności. </w:t>
      </w:r>
    </w:p>
    <w:p w14:paraId="713A7B28" w14:textId="77777777" w:rsidR="00ED5A83" w:rsidRDefault="00ED5A83" w:rsidP="00ED5A83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Warunki prowadzenia działalności gospodarczej powinny dla wszystkich być równe pod względem prawa, wprowadzanych barier, pobieranych podatków i obostrzeń. Izba Gospodarki Elektronicznej </w:t>
      </w:r>
      <w:r>
        <w:rPr>
          <w:sz w:val="24"/>
          <w:szCs w:val="24"/>
          <w:highlight w:val="white"/>
        </w:rPr>
        <w:t>tworzy Księgę Niwelowania Barier Legislacyjnych,  żeby zaakcentować problemy legislacyjne i biznesowe branży handlu elektronicznego, a przede wszystkim, by tworzyć prawo skuteczne dla gospodarki cyfrowej.</w:t>
      </w:r>
    </w:p>
    <w:p w14:paraId="185423A1" w14:textId="6F870F16" w:rsidR="00ED5A83" w:rsidRDefault="00ED5A83">
      <w:pPr>
        <w:rPr>
          <w:b/>
          <w:color w:val="1155CC"/>
          <w:u w:val="single"/>
        </w:rPr>
      </w:pPr>
      <w:r>
        <w:rPr>
          <w:b/>
        </w:rPr>
        <w:t xml:space="preserve">Księga do pobrania: </w:t>
      </w:r>
      <w:hyperlink r:id="rId7">
        <w:r>
          <w:rPr>
            <w:b/>
            <w:color w:val="1155CC"/>
            <w:u w:val="single"/>
          </w:rPr>
          <w:t>https://eizba.pl/wp-content/uploads/2021/09/ksiega-niwelowania-barier-legislacyjnych-nowy-cyfrowy-lad.pdf</w:t>
        </w:r>
      </w:hyperlink>
    </w:p>
    <w:p w14:paraId="2B5AA3D9" w14:textId="4F4C8230" w:rsidR="00F7156E" w:rsidRDefault="00F7156E">
      <w:pPr>
        <w:rPr>
          <w:b/>
          <w:color w:val="1155CC"/>
          <w:u w:val="single"/>
        </w:rPr>
      </w:pPr>
    </w:p>
    <w:p w14:paraId="452B5AC8" w14:textId="40F1EE6A" w:rsidR="00F7156E" w:rsidRPr="00F7156E" w:rsidRDefault="00F7156E">
      <w:pPr>
        <w:rPr>
          <w:b/>
          <w:bCs/>
        </w:rPr>
      </w:pPr>
      <w:r w:rsidRPr="00F7156E">
        <w:rPr>
          <w:b/>
          <w:bCs/>
        </w:rPr>
        <w:t xml:space="preserve">Relacja z wydarzenia jest dostępna pod linkiem: </w:t>
      </w:r>
      <w:hyperlink r:id="rId8" w:history="1">
        <w:r w:rsidRPr="00F7156E">
          <w:rPr>
            <w:rStyle w:val="Hipercze"/>
            <w:b/>
            <w:bCs/>
          </w:rPr>
          <w:t>https://app.livestorm.co/izba-gospodarki-elektronicznej/e-izba-round-table-nowy-cyfrowy-lad?type=detailed</w:t>
        </w:r>
      </w:hyperlink>
    </w:p>
    <w:sectPr w:rsidR="00F7156E" w:rsidRPr="00F7156E" w:rsidSect="007D58CB">
      <w:headerReference w:type="default" r:id="rId9"/>
      <w:footerReference w:type="default" r:id="rId10"/>
      <w:pgSz w:w="11909" w:h="16834"/>
      <w:pgMar w:top="2269" w:right="1440" w:bottom="141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1CDC" w14:textId="77777777" w:rsidR="00B52A33" w:rsidRDefault="00B52A33" w:rsidP="007D58CB">
      <w:pPr>
        <w:spacing w:line="240" w:lineRule="auto"/>
      </w:pPr>
      <w:r>
        <w:separator/>
      </w:r>
    </w:p>
  </w:endnote>
  <w:endnote w:type="continuationSeparator" w:id="0">
    <w:p w14:paraId="6463497F" w14:textId="77777777" w:rsidR="00B52A33" w:rsidRDefault="00B52A33" w:rsidP="007D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515862"/>
      <w:docPartObj>
        <w:docPartGallery w:val="Page Numbers (Bottom of Page)"/>
        <w:docPartUnique/>
      </w:docPartObj>
    </w:sdtPr>
    <w:sdtEndPr/>
    <w:sdtContent>
      <w:p w14:paraId="655B9672" w14:textId="06E59C73" w:rsidR="007D58CB" w:rsidRDefault="007D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6D36251" w14:textId="77777777" w:rsidR="007D58CB" w:rsidRDefault="007D5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07BA" w14:textId="77777777" w:rsidR="00B52A33" w:rsidRDefault="00B52A33" w:rsidP="007D58CB">
      <w:pPr>
        <w:spacing w:line="240" w:lineRule="auto"/>
      </w:pPr>
      <w:r>
        <w:separator/>
      </w:r>
    </w:p>
  </w:footnote>
  <w:footnote w:type="continuationSeparator" w:id="0">
    <w:p w14:paraId="29BB142F" w14:textId="77777777" w:rsidR="00B52A33" w:rsidRDefault="00B52A33" w:rsidP="007D5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A69" w14:textId="474E4A1A" w:rsidR="007D58CB" w:rsidRDefault="007D58CB" w:rsidP="007D58CB">
    <w:pPr>
      <w:pStyle w:val="Nagwek"/>
      <w:jc w:val="right"/>
    </w:pPr>
    <w:r w:rsidRPr="00120624">
      <w:rPr>
        <w:noProof/>
      </w:rPr>
      <w:drawing>
        <wp:inline distT="0" distB="0" distL="0" distR="0" wp14:anchorId="217D96DF" wp14:editId="6A11B12A">
          <wp:extent cx="4029075" cy="7048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48E"/>
    <w:multiLevelType w:val="multilevel"/>
    <w:tmpl w:val="29C85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726B0"/>
    <w:multiLevelType w:val="multilevel"/>
    <w:tmpl w:val="C9E61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C254E"/>
    <w:multiLevelType w:val="multilevel"/>
    <w:tmpl w:val="DA50F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F24952"/>
    <w:multiLevelType w:val="multilevel"/>
    <w:tmpl w:val="32A2D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6544D6"/>
    <w:multiLevelType w:val="multilevel"/>
    <w:tmpl w:val="2B082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58154F"/>
    <w:multiLevelType w:val="multilevel"/>
    <w:tmpl w:val="6AC6C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B767D"/>
    <w:multiLevelType w:val="multilevel"/>
    <w:tmpl w:val="DAC45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AE38D5"/>
    <w:multiLevelType w:val="multilevel"/>
    <w:tmpl w:val="EBBAF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7F3FCA"/>
    <w:multiLevelType w:val="multilevel"/>
    <w:tmpl w:val="E79AA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672AF5"/>
    <w:multiLevelType w:val="multilevel"/>
    <w:tmpl w:val="58C26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54689C"/>
    <w:multiLevelType w:val="multilevel"/>
    <w:tmpl w:val="CF269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CC0C5F"/>
    <w:multiLevelType w:val="multilevel"/>
    <w:tmpl w:val="9D3A5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1D1075"/>
    <w:multiLevelType w:val="multilevel"/>
    <w:tmpl w:val="13A86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781E12"/>
    <w:multiLevelType w:val="multilevel"/>
    <w:tmpl w:val="9ED6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5700FC"/>
    <w:multiLevelType w:val="multilevel"/>
    <w:tmpl w:val="CA42F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3F5DE2"/>
    <w:multiLevelType w:val="multilevel"/>
    <w:tmpl w:val="078E5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BE5A21"/>
    <w:multiLevelType w:val="multilevel"/>
    <w:tmpl w:val="E4A8A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B6"/>
    <w:rsid w:val="00347F7F"/>
    <w:rsid w:val="00482827"/>
    <w:rsid w:val="005F5EEA"/>
    <w:rsid w:val="00653B4B"/>
    <w:rsid w:val="007D58CB"/>
    <w:rsid w:val="00953B02"/>
    <w:rsid w:val="00B52A33"/>
    <w:rsid w:val="00CB37DC"/>
    <w:rsid w:val="00D61C55"/>
    <w:rsid w:val="00E337B6"/>
    <w:rsid w:val="00E50C70"/>
    <w:rsid w:val="00ED5A83"/>
    <w:rsid w:val="00F30445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2F4D"/>
  <w15:docId w15:val="{0ADA77E8-EB1A-49F6-AF5F-628FEB9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D5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CB"/>
  </w:style>
  <w:style w:type="paragraph" w:styleId="Stopka">
    <w:name w:val="footer"/>
    <w:basedOn w:val="Normalny"/>
    <w:link w:val="StopkaZnak"/>
    <w:uiPriority w:val="99"/>
    <w:unhideWhenUsed/>
    <w:rsid w:val="007D5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CB"/>
  </w:style>
  <w:style w:type="character" w:customStyle="1" w:styleId="Nagwek4Znak">
    <w:name w:val="Nagłówek 4 Znak"/>
    <w:basedOn w:val="Domylnaczcionkaakapitu"/>
    <w:link w:val="Nagwek4"/>
    <w:uiPriority w:val="9"/>
    <w:rsid w:val="00ED5A83"/>
    <w:rPr>
      <w:color w:val="666666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15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storm.co/izba-gospodarki-elektronicznej/e-izba-round-table-nowy-cyfrowy-lad?type=detail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zba.pl/wp-content/uploads/2021/09/ksiega-niwelowania-barier-legislacyjnych-nowy-cyfrowy-l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Marta  Kacprzyk</cp:lastModifiedBy>
  <cp:revision>7</cp:revision>
  <dcterms:created xsi:type="dcterms:W3CDTF">2021-08-03T13:17:00Z</dcterms:created>
  <dcterms:modified xsi:type="dcterms:W3CDTF">2021-09-28T13:36:00Z</dcterms:modified>
</cp:coreProperties>
</file>