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54554D0E" w:rsidR="00290EE1" w:rsidRPr="00D14CDC" w:rsidRDefault="008A68CA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24962471" w14:textId="76386349" w:rsidR="008E13CA" w:rsidRDefault="008E13CA" w:rsidP="008E13CA">
      <w:pPr>
        <w:spacing w:line="276" w:lineRule="auto"/>
        <w:jc w:val="center"/>
        <w:rPr>
          <w:b/>
          <w:iCs/>
          <w:u w:val="single"/>
          <w:lang w:val="pt-PT"/>
        </w:rPr>
      </w:pPr>
      <w:bookmarkStart w:id="1" w:name="_Hlk45181129"/>
    </w:p>
    <w:p w14:paraId="6C45E8FE" w14:textId="656D694C" w:rsidR="005A2A2B" w:rsidRPr="003334D0" w:rsidRDefault="005A2A2B" w:rsidP="008E13CA">
      <w:pPr>
        <w:spacing w:line="276" w:lineRule="auto"/>
        <w:jc w:val="center"/>
        <w:rPr>
          <w:b/>
          <w:sz w:val="24"/>
          <w:szCs w:val="24"/>
          <w:u w:val="single"/>
          <w:lang w:val="pt-PT"/>
        </w:rPr>
      </w:pPr>
      <w:r w:rsidRPr="008910B0">
        <w:rPr>
          <w:b/>
          <w:sz w:val="24"/>
          <w:szCs w:val="24"/>
          <w:u w:val="single"/>
          <w:lang w:val="pt-PT"/>
        </w:rPr>
        <w:t xml:space="preserve">No Mês Europeu da </w:t>
      </w:r>
      <w:proofErr w:type="spellStart"/>
      <w:r w:rsidRPr="008910B0">
        <w:rPr>
          <w:b/>
          <w:sz w:val="24"/>
          <w:szCs w:val="24"/>
          <w:u w:val="single"/>
          <w:lang w:val="pt-PT"/>
        </w:rPr>
        <w:t>Cibersegurança</w:t>
      </w:r>
      <w:proofErr w:type="spellEnd"/>
    </w:p>
    <w:p w14:paraId="1F626117" w14:textId="13B2180D" w:rsidR="005A2A2B" w:rsidRDefault="005A2A2B" w:rsidP="005A2A2B">
      <w:pPr>
        <w:pStyle w:val="Default"/>
        <w:jc w:val="center"/>
        <w:rPr>
          <w:b/>
          <w:iCs/>
          <w:sz w:val="30"/>
          <w:szCs w:val="30"/>
        </w:rPr>
      </w:pPr>
      <w:r w:rsidRPr="005A2A2B">
        <w:rPr>
          <w:b/>
          <w:iCs/>
          <w:sz w:val="30"/>
          <w:szCs w:val="30"/>
        </w:rPr>
        <w:t>Relatório de Defesa Digital da Microsoft</w:t>
      </w:r>
      <w:r>
        <w:rPr>
          <w:b/>
          <w:iCs/>
          <w:sz w:val="30"/>
          <w:szCs w:val="30"/>
        </w:rPr>
        <w:t>: A</w:t>
      </w:r>
      <w:r w:rsidRPr="005A2A2B">
        <w:rPr>
          <w:b/>
          <w:iCs/>
          <w:sz w:val="30"/>
          <w:szCs w:val="30"/>
        </w:rPr>
        <w:t xml:space="preserve">taques cibernéticos </w:t>
      </w:r>
      <w:r>
        <w:rPr>
          <w:b/>
          <w:iCs/>
          <w:sz w:val="30"/>
          <w:szCs w:val="30"/>
        </w:rPr>
        <w:t>aumentam e</w:t>
      </w:r>
      <w:r w:rsidRPr="005A2A2B">
        <w:rPr>
          <w:b/>
          <w:iCs/>
          <w:sz w:val="30"/>
          <w:szCs w:val="30"/>
        </w:rPr>
        <w:t>m volume, sofisticação e impacto</w:t>
      </w:r>
      <w:r w:rsidRPr="005A2A2B" w:rsidDel="005A2A2B">
        <w:rPr>
          <w:b/>
          <w:iCs/>
          <w:sz w:val="30"/>
          <w:szCs w:val="30"/>
        </w:rPr>
        <w:t xml:space="preserve"> </w:t>
      </w:r>
    </w:p>
    <w:p w14:paraId="1CDD1019" w14:textId="77777777" w:rsidR="00A426B3" w:rsidRPr="00547366" w:rsidRDefault="00A426B3" w:rsidP="008E13CA">
      <w:pPr>
        <w:pStyle w:val="Default"/>
        <w:rPr>
          <w:b/>
          <w:bCs/>
        </w:rPr>
      </w:pPr>
    </w:p>
    <w:p w14:paraId="04002158" w14:textId="6E94F0ED" w:rsidR="00254BD1" w:rsidRDefault="00254BD1" w:rsidP="009F2E84">
      <w:pPr>
        <w:pStyle w:val="Default"/>
        <w:numPr>
          <w:ilvl w:val="0"/>
          <w:numId w:val="28"/>
        </w:numPr>
        <w:rPr>
          <w:rFonts w:ascii="Calibri" w:hAnsi="Calibri" w:cs="Times New Roman"/>
          <w:b/>
          <w:bCs/>
          <w:i/>
          <w:iCs/>
          <w:color w:val="auto"/>
        </w:rPr>
      </w:pPr>
      <w:bookmarkStart w:id="2" w:name="_Hlk56670903"/>
      <w:bookmarkEnd w:id="0"/>
      <w:bookmarkEnd w:id="1"/>
      <w:r w:rsidRPr="00254BD1">
        <w:rPr>
          <w:rFonts w:ascii="Calibri" w:hAnsi="Calibri" w:cs="Times New Roman"/>
          <w:b/>
          <w:bCs/>
          <w:i/>
          <w:iCs/>
          <w:color w:val="auto"/>
        </w:rPr>
        <w:t xml:space="preserve">58% </w:t>
      </w:r>
      <w:r w:rsidR="00C03109">
        <w:rPr>
          <w:rFonts w:ascii="Calibri" w:hAnsi="Calibri" w:cs="Times New Roman"/>
          <w:b/>
          <w:bCs/>
          <w:i/>
          <w:iCs/>
          <w:color w:val="auto"/>
        </w:rPr>
        <w:t>dos</w:t>
      </w:r>
      <w:r w:rsidRPr="00254BD1">
        <w:rPr>
          <w:rFonts w:ascii="Calibri" w:hAnsi="Calibri" w:cs="Times New Roman"/>
          <w:b/>
          <w:bCs/>
          <w:i/>
          <w:iCs/>
          <w:color w:val="auto"/>
        </w:rPr>
        <w:t xml:space="preserve"> ciberataques de estados-nação tiveram origem na Rússia</w:t>
      </w:r>
      <w:r w:rsidRPr="009F2E84">
        <w:rPr>
          <w:rFonts w:ascii="Calibri" w:hAnsi="Calibri" w:cs="Times New Roman"/>
          <w:b/>
          <w:bCs/>
          <w:i/>
          <w:iCs/>
          <w:color w:val="auto"/>
        </w:rPr>
        <w:t xml:space="preserve"> </w:t>
      </w:r>
    </w:p>
    <w:p w14:paraId="16D67F5D" w14:textId="628E3801" w:rsidR="002F3082" w:rsidRDefault="002F3082" w:rsidP="009F2E84">
      <w:pPr>
        <w:pStyle w:val="Default"/>
        <w:numPr>
          <w:ilvl w:val="0"/>
          <w:numId w:val="28"/>
        </w:numPr>
        <w:rPr>
          <w:rFonts w:ascii="Calibri" w:hAnsi="Calibri" w:cs="Times New Roman"/>
          <w:b/>
          <w:bCs/>
          <w:i/>
          <w:iCs/>
          <w:color w:val="auto"/>
        </w:rPr>
      </w:pPr>
      <w:r>
        <w:rPr>
          <w:rFonts w:ascii="Calibri" w:hAnsi="Calibri" w:cs="Times New Roman"/>
          <w:b/>
          <w:bCs/>
          <w:i/>
          <w:iCs/>
          <w:color w:val="auto"/>
        </w:rPr>
        <w:t xml:space="preserve">Retalho </w:t>
      </w:r>
      <w:r w:rsidR="0013287D" w:rsidRPr="0013287D">
        <w:rPr>
          <w:rFonts w:ascii="Calibri" w:hAnsi="Calibri" w:cs="Times New Roman"/>
          <w:b/>
          <w:bCs/>
          <w:i/>
          <w:iCs/>
          <w:color w:val="auto"/>
        </w:rPr>
        <w:t>(13%), serviços financeiros (12%), manufatura (12%), administração pública (11%) e saúde (9%)</w:t>
      </w:r>
      <w:r>
        <w:rPr>
          <w:rFonts w:ascii="Calibri" w:hAnsi="Calibri" w:cs="Times New Roman"/>
          <w:b/>
          <w:bCs/>
          <w:i/>
          <w:iCs/>
          <w:color w:val="auto"/>
        </w:rPr>
        <w:t xml:space="preserve"> são os setores mais afetados</w:t>
      </w:r>
    </w:p>
    <w:p w14:paraId="49EDDB53" w14:textId="077341AF" w:rsidR="00697F4D" w:rsidRDefault="009F2E84" w:rsidP="009F2E84">
      <w:pPr>
        <w:pStyle w:val="Default"/>
        <w:numPr>
          <w:ilvl w:val="0"/>
          <w:numId w:val="28"/>
        </w:numPr>
        <w:rPr>
          <w:rFonts w:ascii="Calibri" w:hAnsi="Calibri" w:cs="Times New Roman"/>
          <w:b/>
          <w:bCs/>
          <w:i/>
          <w:iCs/>
          <w:color w:val="auto"/>
        </w:rPr>
      </w:pPr>
      <w:proofErr w:type="spellStart"/>
      <w:r w:rsidRPr="009F2E84">
        <w:rPr>
          <w:rFonts w:ascii="Calibri" w:hAnsi="Calibri" w:cs="Times New Roman"/>
          <w:b/>
          <w:bCs/>
          <w:i/>
          <w:iCs/>
          <w:color w:val="auto"/>
        </w:rPr>
        <w:t>Ransomware</w:t>
      </w:r>
      <w:proofErr w:type="spellEnd"/>
      <w:r w:rsidRPr="009F2E84">
        <w:rPr>
          <w:rFonts w:ascii="Calibri" w:hAnsi="Calibri" w:cs="Times New Roman"/>
          <w:b/>
          <w:bCs/>
          <w:i/>
          <w:iCs/>
          <w:color w:val="auto"/>
        </w:rPr>
        <w:t xml:space="preserve"> </w:t>
      </w:r>
      <w:r w:rsidR="00C03109">
        <w:rPr>
          <w:rFonts w:ascii="Calibri" w:hAnsi="Calibri" w:cs="Times New Roman"/>
          <w:b/>
          <w:bCs/>
          <w:i/>
          <w:iCs/>
          <w:color w:val="auto"/>
        </w:rPr>
        <w:t>é o</w:t>
      </w:r>
      <w:r>
        <w:rPr>
          <w:rFonts w:ascii="Calibri" w:hAnsi="Calibri" w:cs="Times New Roman"/>
          <w:b/>
          <w:bCs/>
          <w:i/>
          <w:iCs/>
          <w:color w:val="auto"/>
        </w:rPr>
        <w:t xml:space="preserve"> cibercrime </w:t>
      </w:r>
      <w:r w:rsidRPr="009F2E84">
        <w:rPr>
          <w:rFonts w:ascii="Calibri" w:hAnsi="Calibri" w:cs="Times New Roman"/>
          <w:b/>
          <w:bCs/>
          <w:i/>
          <w:iCs/>
          <w:color w:val="auto"/>
        </w:rPr>
        <w:t>mais grave e</w:t>
      </w:r>
      <w:r w:rsidR="00254BD1">
        <w:rPr>
          <w:rFonts w:ascii="Calibri" w:hAnsi="Calibri" w:cs="Times New Roman"/>
          <w:b/>
          <w:bCs/>
          <w:i/>
          <w:iCs/>
          <w:color w:val="auto"/>
        </w:rPr>
        <w:t xml:space="preserve"> continua a</w:t>
      </w:r>
      <w:r w:rsidRPr="009F2E84">
        <w:rPr>
          <w:rFonts w:ascii="Calibri" w:hAnsi="Calibri" w:cs="Times New Roman"/>
          <w:b/>
          <w:bCs/>
          <w:i/>
          <w:iCs/>
          <w:color w:val="auto"/>
        </w:rPr>
        <w:t xml:space="preserve"> cresce</w:t>
      </w:r>
      <w:r w:rsidR="00254BD1">
        <w:rPr>
          <w:rFonts w:ascii="Calibri" w:hAnsi="Calibri" w:cs="Times New Roman"/>
          <w:b/>
          <w:bCs/>
          <w:i/>
          <w:iCs/>
          <w:color w:val="auto"/>
        </w:rPr>
        <w:t>r</w:t>
      </w:r>
    </w:p>
    <w:p w14:paraId="1DDE479A" w14:textId="23B79440" w:rsidR="00420943" w:rsidRDefault="00896D57" w:rsidP="003334D0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A31A1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11</w:t>
      </w:r>
      <w:r w:rsidR="00A31A16"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</w:t>
      </w:r>
      <w:r w:rsidR="00697F4D"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de </w:t>
      </w:r>
      <w:r w:rsidR="0054736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outubro</w:t>
      </w:r>
      <w:r w:rsidRPr="002659E7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2021</w:t>
      </w:r>
      <w:r w:rsidRPr="002659E7">
        <w:rPr>
          <w:rFonts w:ascii="Segoe UI" w:hAnsi="Segoe UI" w:cs="Segoe UI"/>
          <w:sz w:val="20"/>
          <w:szCs w:val="20"/>
          <w:lang w:val="pt-PT"/>
        </w:rPr>
        <w:t xml:space="preserve"> –</w:t>
      </w:r>
      <w:r w:rsidR="00986A41" w:rsidRPr="002659E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420943" w:rsidRPr="00420943">
        <w:rPr>
          <w:rFonts w:ascii="Segoe UI" w:hAnsi="Segoe UI" w:cs="Segoe UI"/>
          <w:sz w:val="20"/>
          <w:szCs w:val="20"/>
          <w:lang w:val="pt-PT"/>
        </w:rPr>
        <w:t xml:space="preserve">As conclusões do segundo </w:t>
      </w:r>
      <w:hyperlink r:id="rId11" w:history="1">
        <w:r w:rsidR="00420943" w:rsidRPr="008910B0">
          <w:rPr>
            <w:rStyle w:val="Hiperligao"/>
            <w:rFonts w:ascii="Segoe UI" w:hAnsi="Segoe UI" w:cs="Segoe UI"/>
            <w:b/>
            <w:sz w:val="20"/>
            <w:szCs w:val="20"/>
            <w:lang w:val="pt-PT"/>
          </w:rPr>
          <w:t>Relatório de Defesa Digital da Microsoft</w:t>
        </w:r>
      </w:hyperlink>
      <w:r w:rsidR="00420943" w:rsidRPr="008910B0">
        <w:rPr>
          <w:rFonts w:ascii="Segoe UI" w:hAnsi="Segoe UI" w:cs="Segoe UI"/>
          <w:b/>
          <w:sz w:val="20"/>
          <w:szCs w:val="20"/>
          <w:lang w:val="pt-PT"/>
        </w:rPr>
        <w:t xml:space="preserve"> </w:t>
      </w:r>
      <w:r w:rsidR="00420943" w:rsidRPr="00420943">
        <w:rPr>
          <w:rFonts w:ascii="Segoe UI" w:hAnsi="Segoe UI" w:cs="Segoe UI"/>
          <w:sz w:val="20"/>
          <w:szCs w:val="20"/>
          <w:lang w:val="pt-PT"/>
        </w:rPr>
        <w:t xml:space="preserve">não deixam margem para dúvidas: a segurança cibernética é um desafio complexo, em constante evolução e sem data de </w:t>
      </w:r>
      <w:r w:rsidR="00420943">
        <w:rPr>
          <w:rFonts w:ascii="Segoe UI" w:hAnsi="Segoe UI" w:cs="Segoe UI"/>
          <w:sz w:val="20"/>
          <w:szCs w:val="20"/>
          <w:lang w:val="pt-PT"/>
        </w:rPr>
        <w:t>finalização</w:t>
      </w:r>
      <w:r w:rsidR="00420943" w:rsidRPr="00420943">
        <w:rPr>
          <w:rFonts w:ascii="Segoe UI" w:hAnsi="Segoe UI" w:cs="Segoe UI"/>
          <w:sz w:val="20"/>
          <w:szCs w:val="20"/>
          <w:lang w:val="pt-PT"/>
        </w:rPr>
        <w:t xml:space="preserve">. Com base em </w:t>
      </w:r>
      <w:r w:rsidR="00420943" w:rsidRPr="008910B0">
        <w:rPr>
          <w:rFonts w:ascii="Segoe UI" w:hAnsi="Segoe UI" w:cs="Segoe UI"/>
          <w:b/>
          <w:sz w:val="20"/>
          <w:szCs w:val="20"/>
          <w:lang w:val="pt-PT"/>
        </w:rPr>
        <w:t>mais de 24 mil milhões de sinais diários</w:t>
      </w:r>
      <w:r w:rsidR="00420943" w:rsidRPr="00420943">
        <w:rPr>
          <w:rFonts w:ascii="Segoe UI" w:hAnsi="Segoe UI" w:cs="Segoe UI"/>
          <w:sz w:val="20"/>
          <w:szCs w:val="20"/>
          <w:lang w:val="pt-PT"/>
        </w:rPr>
        <w:t xml:space="preserve">, além de </w:t>
      </w:r>
      <w:r w:rsidR="00420943" w:rsidRPr="008910B0">
        <w:rPr>
          <w:rFonts w:ascii="Segoe UI" w:hAnsi="Segoe UI" w:cs="Segoe UI"/>
          <w:b/>
          <w:sz w:val="20"/>
          <w:szCs w:val="20"/>
          <w:lang w:val="pt-PT"/>
        </w:rPr>
        <w:t>observações feitas em 77 países, incluindo Portugal</w:t>
      </w:r>
      <w:r w:rsidR="00420943" w:rsidRPr="00420943">
        <w:rPr>
          <w:rFonts w:ascii="Segoe UI" w:hAnsi="Segoe UI" w:cs="Segoe UI"/>
          <w:sz w:val="20"/>
          <w:szCs w:val="20"/>
          <w:lang w:val="pt-PT"/>
        </w:rPr>
        <w:t xml:space="preserve">, o estudo cobre o período </w:t>
      </w:r>
      <w:r w:rsidR="00420943" w:rsidRPr="008910B0">
        <w:rPr>
          <w:rFonts w:ascii="Segoe UI" w:hAnsi="Segoe UI" w:cs="Segoe UI"/>
          <w:b/>
          <w:sz w:val="20"/>
          <w:szCs w:val="20"/>
          <w:lang w:val="pt-PT"/>
        </w:rPr>
        <w:t>entre julho de 2020 e junho de 2021</w:t>
      </w:r>
      <w:r w:rsidR="00420943" w:rsidRPr="00420943">
        <w:rPr>
          <w:rFonts w:ascii="Segoe UI" w:hAnsi="Segoe UI" w:cs="Segoe UI"/>
          <w:sz w:val="20"/>
          <w:szCs w:val="20"/>
          <w:lang w:val="pt-PT"/>
        </w:rPr>
        <w:t>.</w:t>
      </w:r>
      <w:r w:rsidR="00420943" w:rsidRPr="00420943" w:rsidDel="00C03109">
        <w:rPr>
          <w:rFonts w:ascii="Segoe UI" w:hAnsi="Segoe UI" w:cs="Segoe UI"/>
          <w:sz w:val="20"/>
          <w:szCs w:val="20"/>
          <w:lang w:val="pt-PT"/>
        </w:rPr>
        <w:t xml:space="preserve"> </w:t>
      </w:r>
      <w:bookmarkStart w:id="3" w:name="_Hlt84583295"/>
      <w:bookmarkStart w:id="4" w:name="_Hlt84583296"/>
    </w:p>
    <w:p w14:paraId="45FB58A5" w14:textId="77777777" w:rsidR="00415168" w:rsidRDefault="00415168" w:rsidP="00415168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bookmarkStart w:id="5" w:name="_Hlt84523299"/>
      <w:bookmarkStart w:id="6" w:name="_Hlt84523300"/>
      <w:r w:rsidRPr="000F29FC">
        <w:rPr>
          <w:rFonts w:ascii="Segoe UI" w:hAnsi="Segoe UI" w:cs="Segoe UI"/>
          <w:i/>
          <w:sz w:val="20"/>
          <w:szCs w:val="20"/>
          <w:lang w:val="pt-PT"/>
        </w:rPr>
        <w:t xml:space="preserve">“A posição única da Microsoft, </w:t>
      </w:r>
      <w:r>
        <w:rPr>
          <w:rFonts w:ascii="Segoe UI" w:hAnsi="Segoe UI" w:cs="Segoe UI"/>
          <w:i/>
          <w:sz w:val="20"/>
          <w:szCs w:val="20"/>
          <w:lang w:val="pt-PT"/>
        </w:rPr>
        <w:t>potenciada</w:t>
      </w:r>
      <w:r w:rsidRPr="000F29FC">
        <w:rPr>
          <w:rFonts w:ascii="Segoe UI" w:hAnsi="Segoe UI" w:cs="Segoe UI"/>
          <w:i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i/>
          <w:sz w:val="20"/>
          <w:szCs w:val="20"/>
          <w:lang w:val="pt-PT"/>
        </w:rPr>
        <w:t>pela</w:t>
      </w:r>
      <w:r w:rsidRPr="000F29FC">
        <w:rPr>
          <w:rFonts w:ascii="Segoe UI" w:hAnsi="Segoe UI" w:cs="Segoe UI"/>
          <w:i/>
          <w:sz w:val="20"/>
          <w:szCs w:val="20"/>
          <w:lang w:val="pt-PT"/>
        </w:rPr>
        <w:t xml:space="preserve"> utilização da Inteligência Artificial, permite-nos obter uma imagem precisa do estado da </w:t>
      </w:r>
      <w:proofErr w:type="spellStart"/>
      <w:r w:rsidRPr="000F29FC">
        <w:rPr>
          <w:rFonts w:ascii="Segoe UI" w:hAnsi="Segoe UI" w:cs="Segoe UI"/>
          <w:i/>
          <w:sz w:val="20"/>
          <w:szCs w:val="20"/>
          <w:lang w:val="pt-PT"/>
        </w:rPr>
        <w:t>cibersegurança</w:t>
      </w:r>
      <w:proofErr w:type="spellEnd"/>
      <w:r w:rsidRPr="000F29FC">
        <w:rPr>
          <w:rFonts w:ascii="Segoe UI" w:hAnsi="Segoe UI" w:cs="Segoe UI"/>
          <w:i/>
          <w:sz w:val="20"/>
          <w:szCs w:val="20"/>
          <w:lang w:val="pt-PT"/>
        </w:rPr>
        <w:t xml:space="preserve">, incluindo indicadores que nos dão a oportunidade de prever os próximos passos dos </w:t>
      </w:r>
      <w:proofErr w:type="spellStart"/>
      <w:r w:rsidRPr="000F29FC">
        <w:rPr>
          <w:rFonts w:ascii="Segoe UI" w:hAnsi="Segoe UI" w:cs="Segoe UI"/>
          <w:i/>
          <w:sz w:val="20"/>
          <w:szCs w:val="20"/>
          <w:lang w:val="pt-PT"/>
        </w:rPr>
        <w:t>cibercriminosos</w:t>
      </w:r>
      <w:proofErr w:type="spellEnd"/>
      <w:r w:rsidRPr="000F29FC">
        <w:rPr>
          <w:rFonts w:ascii="Segoe UI" w:hAnsi="Segoe UI" w:cs="Segoe UI"/>
          <w:i/>
          <w:sz w:val="20"/>
          <w:szCs w:val="20"/>
          <w:lang w:val="pt-PT"/>
        </w:rPr>
        <w:t xml:space="preserve">. Este relatório </w:t>
      </w:r>
      <w:r>
        <w:rPr>
          <w:rFonts w:ascii="Segoe UI" w:hAnsi="Segoe UI" w:cs="Segoe UI"/>
          <w:i/>
          <w:sz w:val="20"/>
          <w:szCs w:val="20"/>
          <w:lang w:val="pt-PT"/>
        </w:rPr>
        <w:t>mostra-nos</w:t>
      </w:r>
      <w:r w:rsidRPr="000F29FC">
        <w:rPr>
          <w:rFonts w:ascii="Segoe UI" w:hAnsi="Segoe UI" w:cs="Segoe UI"/>
          <w:i/>
          <w:sz w:val="20"/>
          <w:szCs w:val="20"/>
          <w:lang w:val="pt-PT"/>
        </w:rPr>
        <w:t xml:space="preserve"> que os ataques estão a tornar-se mais criativos, inovadores e sofisticados e esperamos que ajude as organizações a continuar a compreender</w:t>
      </w:r>
      <w:r w:rsidRPr="00DF6C7E">
        <w:rPr>
          <w:rFonts w:ascii="Segoe UI" w:hAnsi="Segoe UI" w:cs="Segoe UI"/>
          <w:i/>
          <w:sz w:val="20"/>
          <w:szCs w:val="20"/>
          <w:lang w:val="pt-PT"/>
        </w:rPr>
        <w:t xml:space="preserve"> melhor </w:t>
      </w:r>
      <w:r w:rsidRPr="000F29FC">
        <w:rPr>
          <w:rFonts w:ascii="Segoe UI" w:hAnsi="Segoe UI" w:cs="Segoe UI"/>
          <w:i/>
          <w:sz w:val="20"/>
          <w:szCs w:val="20"/>
          <w:lang w:val="pt-PT"/>
        </w:rPr>
        <w:t>e a protegerem-se no cenário de constante mudança da segurança cibernética”,</w:t>
      </w:r>
      <w:r w:rsidRPr="000F29FC">
        <w:rPr>
          <w:rFonts w:ascii="Segoe UI" w:hAnsi="Segoe UI" w:cs="Segoe UI"/>
          <w:sz w:val="20"/>
          <w:szCs w:val="20"/>
          <w:lang w:val="pt-PT"/>
        </w:rPr>
        <w:t xml:space="preserve"> refere </w:t>
      </w:r>
      <w:r w:rsidRPr="000F29FC">
        <w:rPr>
          <w:rFonts w:ascii="Segoe UI" w:hAnsi="Segoe UI" w:cs="Segoe UI"/>
          <w:b/>
          <w:sz w:val="20"/>
          <w:szCs w:val="20"/>
          <w:lang w:val="pt-PT"/>
        </w:rPr>
        <w:t>Manuel Dias, NTO da Microsoft Portugal</w:t>
      </w:r>
      <w:r w:rsidRPr="000F29FC">
        <w:rPr>
          <w:rFonts w:ascii="Segoe UI" w:hAnsi="Segoe UI" w:cs="Segoe UI"/>
          <w:sz w:val="20"/>
          <w:szCs w:val="20"/>
          <w:lang w:val="pt-PT"/>
        </w:rPr>
        <w:t>.</w:t>
      </w:r>
    </w:p>
    <w:bookmarkEnd w:id="5"/>
    <w:bookmarkEnd w:id="6"/>
    <w:bookmarkEnd w:id="3"/>
    <w:bookmarkEnd w:id="4"/>
    <w:p w14:paraId="1BDB15AA" w14:textId="77777777" w:rsidR="00420943" w:rsidRDefault="00420943" w:rsidP="008910B0">
      <w:pPr>
        <w:spacing w:after="0" w:line="312" w:lineRule="auto"/>
        <w:rPr>
          <w:rFonts w:ascii="Segoe UI" w:hAnsi="Segoe UI" w:cs="Segoe UI"/>
          <w:b/>
          <w:bCs/>
          <w:sz w:val="20"/>
          <w:szCs w:val="20"/>
          <w:lang w:val="pt-PT"/>
        </w:rPr>
      </w:pPr>
      <w:r w:rsidRPr="00420943">
        <w:rPr>
          <w:rFonts w:ascii="Segoe UI" w:hAnsi="Segoe UI" w:cs="Segoe UI"/>
          <w:b/>
          <w:bCs/>
          <w:sz w:val="20"/>
          <w:szCs w:val="20"/>
          <w:lang w:val="pt-PT"/>
        </w:rPr>
        <w:t>Ataques de Estados-nação</w:t>
      </w:r>
      <w:r w:rsidRPr="00420943" w:rsidDel="002F3082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</w:p>
    <w:p w14:paraId="4C61A0BD" w14:textId="58552238" w:rsidR="008B5BA7" w:rsidRDefault="008B5BA7" w:rsidP="005A2A2B">
      <w:pPr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3334D0">
        <w:rPr>
          <w:rFonts w:ascii="Segoe UI" w:hAnsi="Segoe UI" w:cs="Segoe UI"/>
          <w:sz w:val="20"/>
          <w:szCs w:val="20"/>
          <w:lang w:val="pt-PT"/>
        </w:rPr>
        <w:t xml:space="preserve">Durante o ano passado, </w:t>
      </w:r>
      <w:r w:rsidRPr="003334D0">
        <w:rPr>
          <w:rFonts w:ascii="Segoe UI" w:hAnsi="Segoe UI" w:cs="Segoe UI"/>
          <w:b/>
          <w:sz w:val="20"/>
          <w:szCs w:val="20"/>
          <w:lang w:val="pt-PT"/>
        </w:rPr>
        <w:t xml:space="preserve">58% </w:t>
      </w:r>
      <w:r w:rsidRPr="003334D0">
        <w:rPr>
          <w:rFonts w:ascii="Segoe UI" w:hAnsi="Segoe UI" w:cs="Segoe UI"/>
          <w:sz w:val="20"/>
          <w:szCs w:val="20"/>
          <w:lang w:val="pt-PT"/>
        </w:rPr>
        <w:t>de todos os ciberataques de estados-nação observados pela Microsoft</w:t>
      </w:r>
      <w:r w:rsidRPr="005A2A2B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tiveram</w:t>
      </w:r>
      <w:r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origem na </w:t>
      </w:r>
      <w:r w:rsidRPr="008B5BA7">
        <w:rPr>
          <w:rFonts w:ascii="Segoe UI" w:eastAsia="Times New Roman" w:hAnsi="Segoe UI" w:cs="Segoe UI"/>
          <w:sz w:val="20"/>
          <w:szCs w:val="20"/>
          <w:lang w:val="pt-PT" w:eastAsia="es-ES"/>
        </w:rPr>
        <w:t>Rússia</w:t>
      </w:r>
      <w:r w:rsidR="00143399">
        <w:rPr>
          <w:rFonts w:ascii="Segoe UI" w:hAnsi="Segoe UI" w:cs="Segoe UI"/>
          <w:sz w:val="20"/>
          <w:szCs w:val="20"/>
          <w:lang w:val="pt-PT"/>
        </w:rPr>
        <w:t xml:space="preserve"> e dirigiram-se sobretudo aos Estados Unidos, Ucrânia e Reino Unido. </w:t>
      </w:r>
      <w:r w:rsidR="00E47A49">
        <w:rPr>
          <w:rFonts w:ascii="Segoe UI" w:hAnsi="Segoe UI" w:cs="Segoe UI"/>
          <w:sz w:val="20"/>
          <w:szCs w:val="20"/>
          <w:lang w:val="pt-PT"/>
        </w:rPr>
        <w:t xml:space="preserve">Destaca-se o aumento da 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 xml:space="preserve">eficácia dos ataques da Rússia, passando de uma taxa de sucesso de </w:t>
      </w:r>
      <w:r w:rsidR="00E47A49" w:rsidRPr="008910B0">
        <w:rPr>
          <w:rFonts w:ascii="Segoe UI" w:hAnsi="Segoe UI" w:cs="Segoe UI"/>
          <w:b/>
          <w:sz w:val="20"/>
          <w:szCs w:val="20"/>
          <w:lang w:val="pt-PT"/>
        </w:rPr>
        <w:t xml:space="preserve">21% </w:t>
      </w:r>
      <w:r w:rsidR="00E47A49" w:rsidRPr="00AF4274">
        <w:rPr>
          <w:rFonts w:ascii="Segoe UI" w:hAnsi="Segoe UI" w:cs="Segoe UI"/>
          <w:sz w:val="20"/>
          <w:szCs w:val="20"/>
          <w:lang w:val="pt-PT"/>
        </w:rPr>
        <w:t>para</w:t>
      </w:r>
      <w:r w:rsidR="00E47A49" w:rsidRPr="008910B0">
        <w:rPr>
          <w:rFonts w:ascii="Segoe UI" w:hAnsi="Segoe UI" w:cs="Segoe UI"/>
          <w:b/>
          <w:sz w:val="20"/>
          <w:szCs w:val="20"/>
          <w:lang w:val="pt-PT"/>
        </w:rPr>
        <w:t xml:space="preserve"> 32%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 xml:space="preserve"> em apenas um ano.</w:t>
      </w:r>
      <w:r w:rsidR="00E47A49">
        <w:rPr>
          <w:rFonts w:ascii="Segoe UI" w:hAnsi="Segoe UI" w:cs="Segoe UI"/>
          <w:sz w:val="20"/>
          <w:szCs w:val="20"/>
          <w:lang w:val="pt-PT"/>
        </w:rPr>
        <w:t xml:space="preserve"> Da mesma forma, focaram de forma mais intensa os 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>órgãos de política externa, segurança nacional ou defesa para</w:t>
      </w:r>
      <w:r w:rsidRPr="008B5BA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a recolha de informações, </w:t>
      </w:r>
      <w:r w:rsidR="00E47A49">
        <w:rPr>
          <w:rFonts w:ascii="Segoe UI" w:hAnsi="Segoe UI" w:cs="Segoe UI"/>
          <w:sz w:val="20"/>
          <w:szCs w:val="20"/>
          <w:lang w:val="pt-PT"/>
        </w:rPr>
        <w:t xml:space="preserve">meta </w:t>
      </w:r>
      <w:r w:rsidRPr="008B5BA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que passou de </w:t>
      </w:r>
      <w:r w:rsidRPr="003334D0">
        <w:rPr>
          <w:rFonts w:ascii="Segoe UI" w:eastAsia="Times New Roman" w:hAnsi="Segoe UI" w:cs="Segoe UI"/>
          <w:b/>
          <w:sz w:val="20"/>
          <w:szCs w:val="20"/>
          <w:lang w:val="pt-PT" w:eastAsia="es-ES"/>
        </w:rPr>
        <w:t>3%</w:t>
      </w:r>
      <w:r w:rsidRPr="008B5BA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dos seus alvos</w:t>
      </w:r>
      <w:r w:rsidRPr="008B5BA7" w:rsidDel="00E47A49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Pr="008B5BA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para </w:t>
      </w:r>
      <w:r w:rsidRPr="003334D0">
        <w:rPr>
          <w:rFonts w:ascii="Segoe UI" w:eastAsia="Times New Roman" w:hAnsi="Segoe UI" w:cs="Segoe UI"/>
          <w:b/>
          <w:sz w:val="20"/>
          <w:szCs w:val="20"/>
          <w:lang w:val="pt-PT" w:eastAsia="es-ES"/>
        </w:rPr>
        <w:t>53%</w:t>
      </w:r>
      <w:r w:rsidRPr="008B5BA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="00E47A49">
        <w:rPr>
          <w:rFonts w:ascii="Segoe UI" w:hAnsi="Segoe UI" w:cs="Segoe UI"/>
          <w:sz w:val="20"/>
          <w:szCs w:val="20"/>
          <w:lang w:val="pt-PT"/>
        </w:rPr>
        <w:t>num ano</w:t>
      </w:r>
      <w:r w:rsidRPr="008B5BA7" w:rsidDel="00E47A49">
        <w:rPr>
          <w:rFonts w:ascii="Segoe UI" w:eastAsia="Times New Roman" w:hAnsi="Segoe UI" w:cs="Segoe UI"/>
          <w:sz w:val="20"/>
          <w:szCs w:val="20"/>
          <w:lang w:val="pt-PT" w:eastAsia="es-ES"/>
        </w:rPr>
        <w:t>.</w:t>
      </w:r>
    </w:p>
    <w:p w14:paraId="0567A1C2" w14:textId="77777777" w:rsidR="005A2A2B" w:rsidRDefault="005A2A2B" w:rsidP="005A2A2B">
      <w:pPr>
        <w:spacing w:after="0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es-ES"/>
        </w:rPr>
      </w:pPr>
    </w:p>
    <w:bookmarkEnd w:id="2"/>
    <w:p w14:paraId="22904789" w14:textId="59441E4D" w:rsidR="00E47A49" w:rsidRPr="00880FEF" w:rsidRDefault="00143399" w:rsidP="00E47A49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eastAsiaTheme="minorHAnsi" w:hAnsi="Segoe UI" w:cs="Segoe UI"/>
          <w:sz w:val="20"/>
          <w:szCs w:val="20"/>
          <w:lang w:val="pt-PT" w:eastAsia="en-US"/>
        </w:rPr>
        <w:t>Mas embora os ataques russos sejam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 xml:space="preserve"> os mais comuns, não são os únicos, nem a espionagem é a única motivação. </w:t>
      </w:r>
      <w:r w:rsidR="00E47A49">
        <w:rPr>
          <w:rFonts w:ascii="Segoe UI" w:hAnsi="Segoe UI" w:cs="Segoe UI"/>
          <w:sz w:val="20"/>
          <w:szCs w:val="20"/>
          <w:lang w:val="pt-PT"/>
        </w:rPr>
        <w:t>Estes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 xml:space="preserve"> também vêm de países como Cor</w:t>
      </w:r>
      <w:r w:rsidR="00E47A49">
        <w:rPr>
          <w:rFonts w:ascii="Segoe UI" w:hAnsi="Segoe UI" w:cs="Segoe UI"/>
          <w:sz w:val="20"/>
          <w:szCs w:val="20"/>
          <w:lang w:val="pt-PT"/>
        </w:rPr>
        <w:t>e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>ia do Norte, Irã</w:t>
      </w:r>
      <w:r w:rsidR="00E47A49">
        <w:rPr>
          <w:rFonts w:ascii="Segoe UI" w:hAnsi="Segoe UI" w:cs="Segoe UI"/>
          <w:sz w:val="20"/>
          <w:szCs w:val="20"/>
          <w:lang w:val="pt-PT"/>
        </w:rPr>
        <w:t>o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 xml:space="preserve"> e China, bem como Cor</w:t>
      </w:r>
      <w:r w:rsidR="00E47A49">
        <w:rPr>
          <w:rFonts w:ascii="Segoe UI" w:hAnsi="Segoe UI" w:cs="Segoe UI"/>
          <w:sz w:val="20"/>
          <w:szCs w:val="20"/>
          <w:lang w:val="pt-PT"/>
        </w:rPr>
        <w:t>e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>ia do Sul, Turquia (</w:t>
      </w:r>
      <w:r w:rsidR="00E47A49" w:rsidRPr="00880FEF">
        <w:rPr>
          <w:rFonts w:ascii="Segoe UI" w:hAnsi="Segoe UI" w:cs="Segoe UI"/>
          <w:sz w:val="20"/>
          <w:szCs w:val="20"/>
          <w:lang w:val="pt-PT"/>
        </w:rPr>
        <w:t>novo participante no relatório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>) e V</w:t>
      </w:r>
      <w:r w:rsidR="00E47A49">
        <w:rPr>
          <w:rFonts w:ascii="Segoe UI" w:hAnsi="Segoe UI" w:cs="Segoe UI"/>
          <w:sz w:val="20"/>
          <w:szCs w:val="20"/>
          <w:lang w:val="pt-PT"/>
        </w:rPr>
        <w:t>ietname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 xml:space="preserve"> em menor grau. Independentemente dos diferentes objetivos estratégicos de cada </w:t>
      </w:r>
      <w:r w:rsidR="00E47A49">
        <w:rPr>
          <w:rFonts w:ascii="Segoe UI" w:hAnsi="Segoe UI" w:cs="Segoe UI"/>
          <w:sz w:val="20"/>
          <w:szCs w:val="20"/>
          <w:lang w:val="pt-PT"/>
        </w:rPr>
        <w:t>ataque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>, os objetivos operacionais comuns</w:t>
      </w:r>
      <w:r w:rsidR="00E47A49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>além da captura de informação</w:t>
      </w:r>
      <w:r w:rsidR="00E47A49">
        <w:rPr>
          <w:rFonts w:ascii="Segoe UI" w:hAnsi="Segoe UI" w:cs="Segoe UI"/>
          <w:sz w:val="20"/>
          <w:szCs w:val="20"/>
          <w:lang w:val="pt-PT"/>
        </w:rPr>
        <w:t>, centram-se</w:t>
      </w:r>
      <w:r w:rsidR="00E47A49" w:rsidRPr="00E47A49">
        <w:rPr>
          <w:rFonts w:ascii="Segoe UI" w:hAnsi="Segoe UI" w:cs="Segoe UI"/>
          <w:sz w:val="20"/>
          <w:szCs w:val="20"/>
          <w:lang w:val="pt-PT"/>
        </w:rPr>
        <w:t xml:space="preserve"> na interrupção de processos e serviços ou destruição de dados e ativos físicos, juntamente com a obtenção de receitas.</w:t>
      </w:r>
    </w:p>
    <w:p w14:paraId="0A2AFD6B" w14:textId="77777777" w:rsidR="005F2830" w:rsidRDefault="005F2830" w:rsidP="008910B0">
      <w:pPr>
        <w:rPr>
          <w:lang w:val="pt-PT"/>
        </w:rPr>
      </w:pPr>
    </w:p>
    <w:p w14:paraId="6F558B24" w14:textId="1B02F24D" w:rsidR="002F3082" w:rsidRPr="003334D0" w:rsidRDefault="002F3082" w:rsidP="008910B0">
      <w:pPr>
        <w:spacing w:line="312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lastRenderedPageBreak/>
        <w:t>No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 geral, as vítimas preferidas dos ataques de estado-nação que a Microsoft detetou são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empresas (79%)</w:t>
      </w:r>
      <w:r w:rsidRPr="00AF4274">
        <w:rPr>
          <w:rFonts w:ascii="Segoe UI" w:hAnsi="Segoe UI" w:cs="Segoe UI"/>
          <w:sz w:val="20"/>
          <w:szCs w:val="20"/>
          <w:lang w:val="pt-PT"/>
        </w:rPr>
        <w:t>,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AF4274">
        <w:rPr>
          <w:rFonts w:ascii="Segoe UI" w:hAnsi="Segoe UI" w:cs="Segoe UI"/>
          <w:sz w:val="20"/>
          <w:szCs w:val="20"/>
          <w:lang w:val="pt-PT"/>
        </w:rPr>
        <w:t xml:space="preserve">tendo como setores mais específicos os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Governos (48%)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ONG e grupos de reflexão (31%)</w:t>
      </w:r>
      <w:r w:rsidR="00AF4274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Educação (3%)</w:t>
      </w:r>
      <w:r w:rsidRPr="00AF4274">
        <w:rPr>
          <w:rFonts w:ascii="Segoe UI" w:hAnsi="Segoe UI" w:cs="Segoe UI"/>
          <w:sz w:val="20"/>
          <w:szCs w:val="20"/>
          <w:lang w:val="pt-PT"/>
        </w:rPr>
        <w:t>,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organizações intergovernamentais (3%)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TI (2%)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 xml:space="preserve">energia (1%) </w:t>
      </w:r>
      <w:r w:rsidRPr="00AF4274">
        <w:rPr>
          <w:rFonts w:ascii="Segoe UI" w:hAnsi="Segoe UI" w:cs="Segoe UI"/>
          <w:sz w:val="20"/>
          <w:szCs w:val="20"/>
          <w:lang w:val="pt-PT"/>
        </w:rPr>
        <w:t>e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 xml:space="preserve"> meios de comunicação (1%)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. Por outro lado,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21%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 des</w:t>
      </w:r>
      <w:r>
        <w:rPr>
          <w:rFonts w:ascii="Segoe UI" w:hAnsi="Segoe UI" w:cs="Segoe UI"/>
          <w:sz w:val="20"/>
          <w:szCs w:val="20"/>
          <w:lang w:val="pt-PT"/>
        </w:rPr>
        <w:t>t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es ataques cibernéticos são direcionados aos </w:t>
      </w:r>
      <w:r w:rsidRPr="008910B0">
        <w:rPr>
          <w:rFonts w:ascii="Segoe UI" w:hAnsi="Segoe UI" w:cs="Segoe UI"/>
          <w:b/>
          <w:sz w:val="20"/>
          <w:szCs w:val="20"/>
          <w:lang w:val="pt-PT"/>
        </w:rPr>
        <w:t>consumidores</w:t>
      </w:r>
      <w:r w:rsidRPr="002F3082">
        <w:rPr>
          <w:rFonts w:ascii="Segoe UI" w:hAnsi="Segoe UI" w:cs="Segoe UI"/>
          <w:sz w:val="20"/>
          <w:szCs w:val="20"/>
          <w:lang w:val="pt-PT"/>
        </w:rPr>
        <w:t xml:space="preserve">. </w:t>
      </w:r>
      <w:r w:rsidRPr="009B4299">
        <w:rPr>
          <w:rFonts w:ascii="Segoe UI" w:hAnsi="Segoe UI" w:cs="Segoe UI"/>
          <w:sz w:val="20"/>
          <w:szCs w:val="20"/>
          <w:lang w:val="pt-PT"/>
        </w:rPr>
        <w:t xml:space="preserve">No total, a Microsoft notificou </w:t>
      </w:r>
      <w:r w:rsidR="00790333" w:rsidRPr="009B4299">
        <w:rPr>
          <w:rFonts w:ascii="Segoe UI" w:hAnsi="Segoe UI" w:cs="Segoe UI"/>
          <w:sz w:val="20"/>
          <w:szCs w:val="20"/>
          <w:lang w:val="pt-PT"/>
        </w:rPr>
        <w:t xml:space="preserve">os </w:t>
      </w:r>
      <w:r w:rsidRPr="009B4299">
        <w:rPr>
          <w:rFonts w:ascii="Segoe UI" w:hAnsi="Segoe UI" w:cs="Segoe UI"/>
          <w:sz w:val="20"/>
          <w:szCs w:val="20"/>
          <w:lang w:val="pt-PT"/>
        </w:rPr>
        <w:t xml:space="preserve">seus clientes de </w:t>
      </w:r>
      <w:r w:rsidRPr="009B4299">
        <w:rPr>
          <w:rFonts w:ascii="Segoe UI" w:hAnsi="Segoe UI" w:cs="Segoe UI"/>
          <w:b/>
          <w:sz w:val="20"/>
          <w:szCs w:val="20"/>
          <w:lang w:val="pt-PT"/>
        </w:rPr>
        <w:t>20.500</w:t>
      </w:r>
      <w:r w:rsidRPr="009B4299">
        <w:rPr>
          <w:rFonts w:ascii="Segoe UI" w:hAnsi="Segoe UI" w:cs="Segoe UI"/>
          <w:sz w:val="20"/>
          <w:szCs w:val="20"/>
          <w:lang w:val="pt-PT"/>
        </w:rPr>
        <w:t xml:space="preserve"> tentativas de </w:t>
      </w:r>
      <w:r w:rsidR="009B4299" w:rsidRPr="009B4299">
        <w:rPr>
          <w:rFonts w:ascii="Segoe UI" w:hAnsi="Segoe UI" w:cs="Segoe UI"/>
          <w:sz w:val="20"/>
          <w:szCs w:val="20"/>
          <w:lang w:val="pt-PT"/>
        </w:rPr>
        <w:t>violação dos</w:t>
      </w:r>
      <w:r w:rsidRPr="009B4299">
        <w:rPr>
          <w:rFonts w:ascii="Segoe UI" w:hAnsi="Segoe UI" w:cs="Segoe UI"/>
          <w:sz w:val="20"/>
          <w:szCs w:val="20"/>
          <w:lang w:val="pt-PT"/>
        </w:rPr>
        <w:t xml:space="preserve"> seus sistemas nos últimos três anos.</w:t>
      </w:r>
    </w:p>
    <w:p w14:paraId="16AAD687" w14:textId="3E25E0D5" w:rsidR="00880FEF" w:rsidRPr="00880FEF" w:rsidRDefault="00E47A49" w:rsidP="00880FEF">
      <w:pPr>
        <w:spacing w:after="0" w:line="312" w:lineRule="auto"/>
        <w:rPr>
          <w:rFonts w:ascii="Segoe UI" w:hAnsi="Segoe UI" w:cs="Segoe UI"/>
          <w:b/>
          <w:bCs/>
          <w:sz w:val="20"/>
          <w:szCs w:val="20"/>
          <w:lang w:val="pt-PT"/>
        </w:rPr>
      </w:pPr>
      <w:r>
        <w:rPr>
          <w:rFonts w:ascii="Segoe UI" w:hAnsi="Segoe UI" w:cs="Segoe UI"/>
          <w:b/>
          <w:bCs/>
          <w:sz w:val="20"/>
          <w:szCs w:val="20"/>
          <w:lang w:val="pt-PT"/>
        </w:rPr>
        <w:t>O cibercrime como serviço</w:t>
      </w:r>
    </w:p>
    <w:p w14:paraId="438E1E5E" w14:textId="42C4F3A9" w:rsidR="005252DE" w:rsidRDefault="00880FEF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880FEF">
        <w:rPr>
          <w:rFonts w:ascii="Segoe UI" w:hAnsi="Segoe UI" w:cs="Segoe UI"/>
          <w:sz w:val="20"/>
          <w:szCs w:val="20"/>
        </w:rPr>
        <w:t xml:space="preserve">O cibercrime – especialmente o </w:t>
      </w:r>
      <w:proofErr w:type="spellStart"/>
      <w:r w:rsidRPr="00880FEF">
        <w:rPr>
          <w:rFonts w:ascii="Segoe UI" w:hAnsi="Segoe UI" w:cs="Segoe UI"/>
          <w:i/>
          <w:iCs/>
          <w:sz w:val="20"/>
          <w:szCs w:val="20"/>
        </w:rPr>
        <w:t>ransomware</w:t>
      </w:r>
      <w:proofErr w:type="spellEnd"/>
      <w:r w:rsidRPr="00880FEF">
        <w:rPr>
          <w:rFonts w:ascii="Segoe UI" w:hAnsi="Segoe UI" w:cs="Segoe UI"/>
          <w:sz w:val="20"/>
          <w:szCs w:val="20"/>
        </w:rPr>
        <w:t xml:space="preserve"> – continua a ser </w:t>
      </w:r>
      <w:r>
        <w:rPr>
          <w:rFonts w:ascii="Segoe UI" w:hAnsi="Segoe UI" w:cs="Segoe UI"/>
          <w:sz w:val="20"/>
          <w:szCs w:val="20"/>
        </w:rPr>
        <w:t xml:space="preserve">considerado o mais </w:t>
      </w:r>
      <w:r w:rsidRPr="00880FEF">
        <w:rPr>
          <w:rFonts w:ascii="Segoe UI" w:hAnsi="Segoe UI" w:cs="Segoe UI"/>
          <w:sz w:val="20"/>
          <w:szCs w:val="20"/>
        </w:rPr>
        <w:t xml:space="preserve">grave e crescente.  </w:t>
      </w:r>
      <w:r w:rsidR="00B15626">
        <w:rPr>
          <w:rFonts w:ascii="Segoe UI" w:hAnsi="Segoe UI" w:cs="Segoe UI"/>
          <w:sz w:val="20"/>
          <w:szCs w:val="20"/>
        </w:rPr>
        <w:t>E</w:t>
      </w:r>
      <w:r w:rsidRPr="00880FEF">
        <w:rPr>
          <w:rFonts w:ascii="Segoe UI" w:hAnsi="Segoe UI" w:cs="Segoe UI"/>
          <w:sz w:val="20"/>
          <w:szCs w:val="20"/>
        </w:rPr>
        <w:t xml:space="preserve">nquanto os atores do </w:t>
      </w:r>
      <w:r>
        <w:rPr>
          <w:rFonts w:ascii="Segoe UI" w:hAnsi="Segoe UI" w:cs="Segoe UI"/>
          <w:sz w:val="20"/>
          <w:szCs w:val="20"/>
        </w:rPr>
        <w:t>e</w:t>
      </w:r>
      <w:r w:rsidRPr="00880FEF">
        <w:rPr>
          <w:rFonts w:ascii="Segoe UI" w:hAnsi="Segoe UI" w:cs="Segoe UI"/>
          <w:sz w:val="20"/>
          <w:szCs w:val="20"/>
        </w:rPr>
        <w:t xml:space="preserve">stado-nação visam sobretudo </w:t>
      </w:r>
      <w:r w:rsidR="00B15626">
        <w:rPr>
          <w:rFonts w:ascii="Segoe UI" w:hAnsi="Segoe UI" w:cs="Segoe UI"/>
          <w:sz w:val="20"/>
          <w:szCs w:val="20"/>
        </w:rPr>
        <w:t>a obtenção de informações</w:t>
      </w:r>
      <w:r w:rsidRPr="00880FEF">
        <w:rPr>
          <w:rFonts w:ascii="Segoe UI" w:hAnsi="Segoe UI" w:cs="Segoe UI"/>
          <w:sz w:val="20"/>
          <w:szCs w:val="20"/>
        </w:rPr>
        <w:t xml:space="preserve">, </w:t>
      </w:r>
      <w:r w:rsidR="00B15626">
        <w:rPr>
          <w:rFonts w:ascii="Segoe UI" w:hAnsi="Segoe UI" w:cs="Segoe UI"/>
          <w:sz w:val="20"/>
          <w:szCs w:val="20"/>
        </w:rPr>
        <w:t>o objetivo dos</w:t>
      </w:r>
      <w:r w:rsidRPr="00880FE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880FEF">
        <w:rPr>
          <w:rFonts w:ascii="Segoe UI" w:hAnsi="Segoe UI" w:cs="Segoe UI"/>
          <w:sz w:val="20"/>
          <w:szCs w:val="20"/>
        </w:rPr>
        <w:t>cibercriminosos</w:t>
      </w:r>
      <w:proofErr w:type="spellEnd"/>
      <w:r w:rsidRPr="00880FEF">
        <w:rPr>
          <w:rFonts w:ascii="Segoe UI" w:hAnsi="Segoe UI" w:cs="Segoe UI"/>
          <w:sz w:val="20"/>
          <w:szCs w:val="20"/>
        </w:rPr>
        <w:t xml:space="preserve"> </w:t>
      </w:r>
      <w:r w:rsidR="00B15626">
        <w:rPr>
          <w:rFonts w:ascii="Segoe UI" w:hAnsi="Segoe UI" w:cs="Segoe UI"/>
          <w:sz w:val="20"/>
          <w:szCs w:val="20"/>
        </w:rPr>
        <w:t>é económico</w:t>
      </w:r>
      <w:r w:rsidRPr="00880FEF">
        <w:rPr>
          <w:rFonts w:ascii="Segoe UI" w:hAnsi="Segoe UI" w:cs="Segoe UI"/>
          <w:sz w:val="20"/>
          <w:szCs w:val="20"/>
        </w:rPr>
        <w:t xml:space="preserve">. Como resultado, </w:t>
      </w:r>
      <w:r w:rsidR="00B15626" w:rsidRPr="00B15626">
        <w:rPr>
          <w:rFonts w:ascii="Segoe UI" w:hAnsi="Segoe UI" w:cs="Segoe UI"/>
          <w:sz w:val="20"/>
          <w:szCs w:val="20"/>
        </w:rPr>
        <w:t xml:space="preserve">as vítimas têm um perfil diferente e os </w:t>
      </w:r>
      <w:proofErr w:type="spellStart"/>
      <w:r w:rsidR="00B15626" w:rsidRPr="00B15626">
        <w:rPr>
          <w:rFonts w:ascii="Segoe UI" w:hAnsi="Segoe UI" w:cs="Segoe UI"/>
          <w:sz w:val="20"/>
          <w:szCs w:val="20"/>
        </w:rPr>
        <w:t>cibercriminosos</w:t>
      </w:r>
      <w:proofErr w:type="spellEnd"/>
      <w:r w:rsidR="00B15626" w:rsidRPr="00B15626">
        <w:rPr>
          <w:rFonts w:ascii="Segoe UI" w:hAnsi="Segoe UI" w:cs="Segoe UI"/>
          <w:sz w:val="20"/>
          <w:szCs w:val="20"/>
        </w:rPr>
        <w:t xml:space="preserve"> procuram atacar a infraestrutura crítica.</w:t>
      </w:r>
      <w:r w:rsidR="00B15626" w:rsidRPr="00B15626" w:rsidDel="00B15626">
        <w:rPr>
          <w:rFonts w:ascii="Segoe UI" w:hAnsi="Segoe UI" w:cs="Segoe UI"/>
          <w:sz w:val="20"/>
          <w:szCs w:val="20"/>
        </w:rPr>
        <w:t xml:space="preserve"> </w:t>
      </w:r>
    </w:p>
    <w:p w14:paraId="46A938D5" w14:textId="3DBDE16D" w:rsidR="00B15626" w:rsidRDefault="00B15626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77A259E0" w14:textId="77777777" w:rsidR="00B15626" w:rsidRDefault="00B15626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 </w:t>
      </w:r>
      <w:proofErr w:type="spellStart"/>
      <w:r w:rsidRPr="008910B0">
        <w:rPr>
          <w:rFonts w:ascii="Segoe UI" w:hAnsi="Segoe UI" w:cs="Segoe UI"/>
          <w:i/>
          <w:sz w:val="20"/>
          <w:szCs w:val="20"/>
        </w:rPr>
        <w:t>ransomware</w:t>
      </w:r>
      <w:proofErr w:type="spellEnd"/>
      <w:r w:rsidRPr="00B15626">
        <w:rPr>
          <w:rFonts w:ascii="Segoe UI" w:hAnsi="Segoe UI" w:cs="Segoe UI"/>
          <w:sz w:val="20"/>
          <w:szCs w:val="20"/>
        </w:rPr>
        <w:t xml:space="preserve"> é um tipo de </w:t>
      </w:r>
      <w:proofErr w:type="spellStart"/>
      <w:r w:rsidRPr="008910B0">
        <w:rPr>
          <w:rFonts w:ascii="Segoe UI" w:hAnsi="Segoe UI" w:cs="Segoe UI"/>
          <w:i/>
          <w:sz w:val="20"/>
          <w:szCs w:val="20"/>
        </w:rPr>
        <w:t>malware</w:t>
      </w:r>
      <w:proofErr w:type="spellEnd"/>
      <w:r w:rsidRPr="00B15626">
        <w:rPr>
          <w:rFonts w:ascii="Segoe UI" w:hAnsi="Segoe UI" w:cs="Segoe UI"/>
          <w:sz w:val="20"/>
          <w:szCs w:val="20"/>
        </w:rPr>
        <w:t xml:space="preserve">, ou software malicioso, projetado para impedir o acesso a dados, arquivos ou sistemas até que o pagamento do resgate seja </w:t>
      </w:r>
      <w:r>
        <w:rPr>
          <w:rFonts w:ascii="Segoe UI" w:hAnsi="Segoe UI" w:cs="Segoe UI"/>
          <w:sz w:val="20"/>
          <w:szCs w:val="20"/>
        </w:rPr>
        <w:t>realizado</w:t>
      </w:r>
      <w:r w:rsidRPr="00B15626">
        <w:rPr>
          <w:rFonts w:ascii="Segoe UI" w:hAnsi="Segoe UI" w:cs="Segoe UI"/>
          <w:sz w:val="20"/>
          <w:szCs w:val="20"/>
        </w:rPr>
        <w:t xml:space="preserve">. Nesse contexto, o </w:t>
      </w:r>
      <w:proofErr w:type="spellStart"/>
      <w:r w:rsidRPr="008910B0">
        <w:rPr>
          <w:rFonts w:ascii="Segoe UI" w:hAnsi="Segoe UI" w:cs="Segoe UI"/>
          <w:i/>
          <w:sz w:val="20"/>
          <w:szCs w:val="20"/>
        </w:rPr>
        <w:t>ransomware</w:t>
      </w:r>
      <w:proofErr w:type="spellEnd"/>
      <w:r w:rsidRPr="00B15626">
        <w:rPr>
          <w:rFonts w:ascii="Segoe UI" w:hAnsi="Segoe UI" w:cs="Segoe UI"/>
          <w:sz w:val="20"/>
          <w:szCs w:val="20"/>
        </w:rPr>
        <w:t xml:space="preserve"> operado por humanos foi uma mudança de paradigma</w:t>
      </w:r>
      <w:r>
        <w:rPr>
          <w:rFonts w:ascii="Segoe UI" w:hAnsi="Segoe UI" w:cs="Segoe UI"/>
          <w:sz w:val="20"/>
          <w:szCs w:val="20"/>
        </w:rPr>
        <w:t xml:space="preserve">: </w:t>
      </w:r>
      <w:r w:rsidRPr="00B15626">
        <w:rPr>
          <w:rFonts w:ascii="Segoe UI" w:hAnsi="Segoe UI" w:cs="Segoe UI"/>
          <w:sz w:val="20"/>
          <w:szCs w:val="20"/>
        </w:rPr>
        <w:t xml:space="preserve">evoluiu e </w:t>
      </w:r>
      <w:r>
        <w:rPr>
          <w:rFonts w:ascii="Segoe UI" w:hAnsi="Segoe UI" w:cs="Segoe UI"/>
          <w:sz w:val="20"/>
          <w:szCs w:val="20"/>
        </w:rPr>
        <w:t xml:space="preserve">tornou-se </w:t>
      </w:r>
      <w:r w:rsidRPr="00B15626">
        <w:rPr>
          <w:rFonts w:ascii="Segoe UI" w:hAnsi="Segoe UI" w:cs="Segoe UI"/>
          <w:sz w:val="20"/>
          <w:szCs w:val="20"/>
        </w:rPr>
        <w:t xml:space="preserve">mais prejudicial, tornando os ataques cibernéticos um perigo generalizado para todos. </w:t>
      </w:r>
    </w:p>
    <w:p w14:paraId="2DA1D113" w14:textId="77777777" w:rsidR="00B15626" w:rsidRDefault="00B15626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0C72B5ED" w14:textId="0A4076F7" w:rsidR="00B15626" w:rsidRDefault="00B15626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B15626">
        <w:rPr>
          <w:rFonts w:ascii="Segoe UI" w:hAnsi="Segoe UI" w:cs="Segoe UI"/>
          <w:sz w:val="20"/>
          <w:szCs w:val="20"/>
        </w:rPr>
        <w:t xml:space="preserve">Conforme </w:t>
      </w:r>
      <w:r>
        <w:rPr>
          <w:rFonts w:ascii="Segoe UI" w:hAnsi="Segoe UI" w:cs="Segoe UI"/>
          <w:sz w:val="20"/>
          <w:szCs w:val="20"/>
        </w:rPr>
        <w:t>concluído</w:t>
      </w:r>
      <w:r w:rsidRPr="00B15626">
        <w:rPr>
          <w:rFonts w:ascii="Segoe UI" w:hAnsi="Segoe UI" w:cs="Segoe UI"/>
          <w:sz w:val="20"/>
          <w:szCs w:val="20"/>
        </w:rPr>
        <w:t xml:space="preserve"> a partir de intervenções de </w:t>
      </w:r>
      <w:proofErr w:type="spellStart"/>
      <w:r w:rsidRPr="008910B0">
        <w:rPr>
          <w:rFonts w:ascii="Segoe UI" w:hAnsi="Segoe UI" w:cs="Segoe UI"/>
          <w:i/>
          <w:sz w:val="20"/>
          <w:szCs w:val="20"/>
        </w:rPr>
        <w:t>ransomware</w:t>
      </w:r>
      <w:proofErr w:type="spellEnd"/>
      <w:r w:rsidRPr="00B15626">
        <w:rPr>
          <w:rFonts w:ascii="Segoe UI" w:hAnsi="Segoe UI" w:cs="Segoe UI"/>
          <w:sz w:val="20"/>
          <w:szCs w:val="20"/>
        </w:rPr>
        <w:t xml:space="preserve"> pela </w:t>
      </w:r>
      <w:r>
        <w:rPr>
          <w:rFonts w:ascii="Segoe UI" w:hAnsi="Segoe UI" w:cs="Segoe UI"/>
          <w:sz w:val="20"/>
          <w:szCs w:val="20"/>
        </w:rPr>
        <w:t>E</w:t>
      </w:r>
      <w:r w:rsidRPr="00B15626">
        <w:rPr>
          <w:rFonts w:ascii="Segoe UI" w:hAnsi="Segoe UI" w:cs="Segoe UI"/>
          <w:sz w:val="20"/>
          <w:szCs w:val="20"/>
        </w:rPr>
        <w:t>quip</w:t>
      </w:r>
      <w:r>
        <w:rPr>
          <w:rFonts w:ascii="Segoe UI" w:hAnsi="Segoe UI" w:cs="Segoe UI"/>
          <w:sz w:val="20"/>
          <w:szCs w:val="20"/>
        </w:rPr>
        <w:t>a</w:t>
      </w:r>
      <w:r w:rsidRPr="00B15626">
        <w:rPr>
          <w:rFonts w:ascii="Segoe UI" w:hAnsi="Segoe UI" w:cs="Segoe UI"/>
          <w:sz w:val="20"/>
          <w:szCs w:val="20"/>
        </w:rPr>
        <w:t xml:space="preserve"> de </w:t>
      </w:r>
      <w:r>
        <w:rPr>
          <w:rFonts w:ascii="Segoe UI" w:hAnsi="Segoe UI" w:cs="Segoe UI"/>
          <w:sz w:val="20"/>
          <w:szCs w:val="20"/>
        </w:rPr>
        <w:t>D</w:t>
      </w:r>
      <w:r w:rsidRPr="00B15626">
        <w:rPr>
          <w:rFonts w:ascii="Segoe UI" w:hAnsi="Segoe UI" w:cs="Segoe UI"/>
          <w:sz w:val="20"/>
          <w:szCs w:val="20"/>
        </w:rPr>
        <w:t xml:space="preserve">eteção e </w:t>
      </w:r>
      <w:r>
        <w:rPr>
          <w:rFonts w:ascii="Segoe UI" w:hAnsi="Segoe UI" w:cs="Segoe UI"/>
          <w:sz w:val="20"/>
          <w:szCs w:val="20"/>
        </w:rPr>
        <w:t>R</w:t>
      </w:r>
      <w:r w:rsidRPr="00B15626">
        <w:rPr>
          <w:rFonts w:ascii="Segoe UI" w:hAnsi="Segoe UI" w:cs="Segoe UI"/>
          <w:sz w:val="20"/>
          <w:szCs w:val="20"/>
        </w:rPr>
        <w:t xml:space="preserve">esposta </w:t>
      </w:r>
      <w:r>
        <w:rPr>
          <w:rFonts w:ascii="Segoe UI" w:hAnsi="Segoe UI" w:cs="Segoe UI"/>
          <w:sz w:val="20"/>
          <w:szCs w:val="20"/>
        </w:rPr>
        <w:t>R</w:t>
      </w:r>
      <w:r w:rsidRPr="00B15626">
        <w:rPr>
          <w:rFonts w:ascii="Segoe UI" w:hAnsi="Segoe UI" w:cs="Segoe UI"/>
          <w:sz w:val="20"/>
          <w:szCs w:val="20"/>
        </w:rPr>
        <w:t xml:space="preserve">ápida da Microsoft (DART), os cinco principais setores visados ​​no ano passado são </w:t>
      </w:r>
      <w:r>
        <w:rPr>
          <w:rFonts w:ascii="Segoe UI" w:hAnsi="Segoe UI" w:cs="Segoe UI"/>
          <w:sz w:val="20"/>
          <w:szCs w:val="20"/>
        </w:rPr>
        <w:t xml:space="preserve">o </w:t>
      </w:r>
      <w:r w:rsidRPr="008910B0">
        <w:rPr>
          <w:rFonts w:ascii="Segoe UI" w:hAnsi="Segoe UI" w:cs="Segoe UI"/>
          <w:b/>
          <w:sz w:val="20"/>
          <w:szCs w:val="20"/>
        </w:rPr>
        <w:t>retalho (13%), serviços financeiros (12%), indústria de manufatura (12%), administração pública (11%) e saúde (9%)</w:t>
      </w:r>
      <w:r w:rsidRPr="00B15626">
        <w:rPr>
          <w:rFonts w:ascii="Segoe UI" w:hAnsi="Segoe UI" w:cs="Segoe UI"/>
          <w:sz w:val="20"/>
          <w:szCs w:val="20"/>
        </w:rPr>
        <w:t xml:space="preserve">. Os Estados Unidos são de longe o país mais atacado, recebendo mais </w:t>
      </w:r>
      <w:r w:rsidR="00247E30">
        <w:rPr>
          <w:rFonts w:ascii="Segoe UI" w:hAnsi="Segoe UI" w:cs="Segoe UI"/>
          <w:sz w:val="20"/>
          <w:szCs w:val="20"/>
        </w:rPr>
        <w:t>do triplo de a</w:t>
      </w:r>
      <w:r w:rsidRPr="00B15626">
        <w:rPr>
          <w:rFonts w:ascii="Segoe UI" w:hAnsi="Segoe UI" w:cs="Segoe UI"/>
          <w:sz w:val="20"/>
          <w:szCs w:val="20"/>
        </w:rPr>
        <w:t xml:space="preserve">taques de </w:t>
      </w:r>
      <w:proofErr w:type="spellStart"/>
      <w:r w:rsidRPr="008910B0">
        <w:rPr>
          <w:rFonts w:ascii="Segoe UI" w:hAnsi="Segoe UI" w:cs="Segoe UI"/>
          <w:i/>
          <w:sz w:val="20"/>
          <w:szCs w:val="20"/>
        </w:rPr>
        <w:t>ransomware</w:t>
      </w:r>
      <w:proofErr w:type="spellEnd"/>
      <w:r w:rsidRPr="00B15626">
        <w:rPr>
          <w:rFonts w:ascii="Segoe UI" w:hAnsi="Segoe UI" w:cs="Segoe UI"/>
          <w:sz w:val="20"/>
          <w:szCs w:val="20"/>
        </w:rPr>
        <w:t xml:space="preserve"> do que </w:t>
      </w:r>
      <w:r w:rsidR="00247E30">
        <w:rPr>
          <w:rFonts w:ascii="Segoe UI" w:hAnsi="Segoe UI" w:cs="Segoe UI"/>
          <w:sz w:val="20"/>
          <w:szCs w:val="20"/>
        </w:rPr>
        <w:t>o seguinte</w:t>
      </w:r>
      <w:r w:rsidRPr="00B15626">
        <w:rPr>
          <w:rFonts w:ascii="Segoe UI" w:hAnsi="Segoe UI" w:cs="Segoe UI"/>
          <w:sz w:val="20"/>
          <w:szCs w:val="20"/>
        </w:rPr>
        <w:t xml:space="preserve"> da lista, a China. </w:t>
      </w:r>
      <w:r w:rsidR="00247E30">
        <w:rPr>
          <w:rFonts w:ascii="Segoe UI" w:hAnsi="Segoe UI" w:cs="Segoe UI"/>
          <w:sz w:val="20"/>
          <w:szCs w:val="20"/>
        </w:rPr>
        <w:t>De</w:t>
      </w:r>
      <w:r w:rsidRPr="00B15626">
        <w:rPr>
          <w:rFonts w:ascii="Segoe UI" w:hAnsi="Segoe UI" w:cs="Segoe UI"/>
          <w:sz w:val="20"/>
          <w:szCs w:val="20"/>
        </w:rPr>
        <w:t xml:space="preserve"> seguida, vêm o Japão, a Alemanha e os Emirados Árabes Unidos.</w:t>
      </w:r>
    </w:p>
    <w:p w14:paraId="72BB9742" w14:textId="77777777" w:rsidR="00880FEF" w:rsidRPr="00880FEF" w:rsidRDefault="00880FEF" w:rsidP="00880FEF">
      <w:pPr>
        <w:pStyle w:val="paragraph"/>
        <w:spacing w:line="312" w:lineRule="auto"/>
        <w:textAlignment w:val="baseline"/>
        <w:rPr>
          <w:rFonts w:ascii="Segoe UI" w:hAnsi="Segoe UI" w:cs="Segoe UI"/>
          <w:sz w:val="20"/>
          <w:szCs w:val="20"/>
        </w:rPr>
      </w:pPr>
    </w:p>
    <w:p w14:paraId="43E1637B" w14:textId="236622F3" w:rsidR="00247E30" w:rsidRDefault="00247E30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47E30">
        <w:rPr>
          <w:rFonts w:ascii="Segoe UI" w:hAnsi="Segoe UI" w:cs="Segoe UI"/>
          <w:sz w:val="20"/>
          <w:szCs w:val="20"/>
        </w:rPr>
        <w:t xml:space="preserve">Além disso, o </w:t>
      </w:r>
      <w:hyperlink r:id="rId12" w:history="1">
        <w:r w:rsidR="00ED7238" w:rsidRPr="00725C9F">
          <w:rPr>
            <w:rStyle w:val="Hiperligao"/>
            <w:rFonts w:ascii="Segoe UI" w:hAnsi="Segoe UI" w:cs="Segoe UI"/>
            <w:b/>
            <w:bCs/>
            <w:sz w:val="20"/>
            <w:szCs w:val="20"/>
          </w:rPr>
          <w:t>Relatório de Defesa Digital da Microsoft</w:t>
        </w:r>
      </w:hyperlink>
      <w:r w:rsidRPr="00725C9F" w:rsidDel="00ED7238">
        <w:rPr>
          <w:rFonts w:ascii="Segoe UI" w:hAnsi="Segoe UI" w:cs="Segoe UI"/>
          <w:b/>
          <w:sz w:val="20"/>
          <w:szCs w:val="20"/>
        </w:rPr>
        <w:t xml:space="preserve"> </w:t>
      </w:r>
      <w:r w:rsidRPr="00247E30">
        <w:rPr>
          <w:rFonts w:ascii="Segoe UI" w:hAnsi="Segoe UI" w:cs="Segoe UI"/>
          <w:sz w:val="20"/>
          <w:szCs w:val="20"/>
        </w:rPr>
        <w:t xml:space="preserve">mostra que, no ano passado, a economia do “crime cibernético como serviço” evoluiu para uma indústria criminosa madura. Hoje, qualquer pessoa, independentemente do seu conhecimento técnico, pode </w:t>
      </w:r>
      <w:r>
        <w:rPr>
          <w:rFonts w:ascii="Segoe UI" w:hAnsi="Segoe UI" w:cs="Segoe UI"/>
          <w:sz w:val="20"/>
          <w:szCs w:val="20"/>
        </w:rPr>
        <w:t>aceder</w:t>
      </w:r>
      <w:r w:rsidRPr="00247E30">
        <w:rPr>
          <w:rFonts w:ascii="Segoe UI" w:hAnsi="Segoe UI" w:cs="Segoe UI"/>
          <w:sz w:val="20"/>
          <w:szCs w:val="20"/>
        </w:rPr>
        <w:t xml:space="preserve"> um robusto mercado online para </w:t>
      </w:r>
      <w:r>
        <w:rPr>
          <w:rFonts w:ascii="Segoe UI" w:hAnsi="Segoe UI" w:cs="Segoe UI"/>
          <w:sz w:val="20"/>
          <w:szCs w:val="20"/>
        </w:rPr>
        <w:t>adquiri um leque</w:t>
      </w:r>
      <w:r w:rsidRPr="00247E30">
        <w:rPr>
          <w:rFonts w:ascii="Segoe UI" w:hAnsi="Segoe UI" w:cs="Segoe UI"/>
          <w:sz w:val="20"/>
          <w:szCs w:val="20"/>
        </w:rPr>
        <w:t xml:space="preserve"> de serviços necessários </w:t>
      </w:r>
      <w:r>
        <w:rPr>
          <w:rFonts w:ascii="Segoe UI" w:hAnsi="Segoe UI" w:cs="Segoe UI"/>
          <w:sz w:val="20"/>
          <w:szCs w:val="20"/>
        </w:rPr>
        <w:t>e</w:t>
      </w:r>
      <w:r w:rsidRPr="00247E30">
        <w:rPr>
          <w:rFonts w:ascii="Segoe UI" w:hAnsi="Segoe UI" w:cs="Segoe UI"/>
          <w:sz w:val="20"/>
          <w:szCs w:val="20"/>
        </w:rPr>
        <w:t xml:space="preserve"> executar ataques para qualquer finalidade: de kits de infeção prontos</w:t>
      </w:r>
      <w:r>
        <w:rPr>
          <w:rFonts w:ascii="Segoe UI" w:hAnsi="Segoe UI" w:cs="Segoe UI"/>
          <w:sz w:val="20"/>
          <w:szCs w:val="20"/>
        </w:rPr>
        <w:t xml:space="preserve"> a utilizar</w:t>
      </w:r>
      <w:r w:rsidRPr="00247E30">
        <w:rPr>
          <w:rFonts w:ascii="Segoe UI" w:hAnsi="Segoe UI" w:cs="Segoe UI"/>
          <w:sz w:val="20"/>
          <w:szCs w:val="20"/>
        </w:rPr>
        <w:t>, que custam pouco mais de 56 euros, a credenciais que são vendidas por valores entre 1 e 43 euro</w:t>
      </w:r>
      <w:r>
        <w:rPr>
          <w:rFonts w:ascii="Segoe UI" w:hAnsi="Segoe UI" w:cs="Segoe UI"/>
          <w:sz w:val="20"/>
          <w:szCs w:val="20"/>
        </w:rPr>
        <w:t>s</w:t>
      </w:r>
      <w:r w:rsidRPr="00247E30">
        <w:rPr>
          <w:rFonts w:ascii="Segoe UI" w:hAnsi="Segoe UI" w:cs="Segoe UI"/>
          <w:sz w:val="20"/>
          <w:szCs w:val="20"/>
        </w:rPr>
        <w:t xml:space="preserve">. </w:t>
      </w:r>
    </w:p>
    <w:p w14:paraId="4E269CF4" w14:textId="1B0BC288" w:rsidR="00247E30" w:rsidRDefault="00247E30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D328C09" w14:textId="4766F5D6" w:rsidR="00247E30" w:rsidRDefault="00247E30" w:rsidP="00880FEF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247E30">
        <w:rPr>
          <w:rFonts w:ascii="Segoe UI" w:hAnsi="Segoe UI" w:cs="Segoe UI"/>
          <w:sz w:val="20"/>
          <w:szCs w:val="20"/>
        </w:rPr>
        <w:t xml:space="preserve">Entre julho de 2020 e junho de 2021, a Microsoft bloqueou </w:t>
      </w:r>
      <w:r w:rsidRPr="008910B0">
        <w:rPr>
          <w:rFonts w:ascii="Segoe UI" w:hAnsi="Segoe UI" w:cs="Segoe UI"/>
          <w:b/>
          <w:sz w:val="20"/>
          <w:szCs w:val="20"/>
        </w:rPr>
        <w:t>9 mil milhões de ameaças a dispositivos</w:t>
      </w:r>
      <w:r w:rsidRPr="00144788">
        <w:rPr>
          <w:rFonts w:ascii="Segoe UI" w:hAnsi="Segoe UI" w:cs="Segoe UI"/>
          <w:bCs/>
          <w:sz w:val="20"/>
          <w:szCs w:val="20"/>
        </w:rPr>
        <w:t>,</w:t>
      </w:r>
      <w:r w:rsidRPr="008910B0">
        <w:rPr>
          <w:rFonts w:ascii="Segoe UI" w:hAnsi="Segoe UI" w:cs="Segoe UI"/>
          <w:b/>
          <w:sz w:val="20"/>
          <w:szCs w:val="20"/>
        </w:rPr>
        <w:t xml:space="preserve"> 32 mil milhões de ataques por e-mail </w:t>
      </w:r>
      <w:r w:rsidRPr="00144788">
        <w:rPr>
          <w:rFonts w:ascii="Segoe UI" w:hAnsi="Segoe UI" w:cs="Segoe UI"/>
          <w:bCs/>
          <w:sz w:val="20"/>
          <w:szCs w:val="20"/>
        </w:rPr>
        <w:t xml:space="preserve">e </w:t>
      </w:r>
      <w:r w:rsidRPr="008910B0">
        <w:rPr>
          <w:rFonts w:ascii="Segoe UI" w:hAnsi="Segoe UI" w:cs="Segoe UI"/>
          <w:b/>
          <w:sz w:val="20"/>
          <w:szCs w:val="20"/>
        </w:rPr>
        <w:t>31 mil milhões de ameaças</w:t>
      </w:r>
      <w:r w:rsidRPr="00247E30">
        <w:rPr>
          <w:rFonts w:ascii="Segoe UI" w:hAnsi="Segoe UI" w:cs="Segoe UI"/>
          <w:sz w:val="20"/>
          <w:szCs w:val="20"/>
        </w:rPr>
        <w:t>. Para isso, conta com uma equip</w:t>
      </w:r>
      <w:r>
        <w:rPr>
          <w:rFonts w:ascii="Segoe UI" w:hAnsi="Segoe UI" w:cs="Segoe UI"/>
          <w:sz w:val="20"/>
          <w:szCs w:val="20"/>
        </w:rPr>
        <w:t>a</w:t>
      </w:r>
      <w:r w:rsidRPr="00247E30">
        <w:rPr>
          <w:rFonts w:ascii="Segoe UI" w:hAnsi="Segoe UI" w:cs="Segoe UI"/>
          <w:sz w:val="20"/>
          <w:szCs w:val="20"/>
        </w:rPr>
        <w:t xml:space="preserve"> composta por mais de </w:t>
      </w:r>
      <w:r w:rsidRPr="008910B0">
        <w:rPr>
          <w:rFonts w:ascii="Segoe UI" w:hAnsi="Segoe UI" w:cs="Segoe UI"/>
          <w:b/>
          <w:sz w:val="20"/>
          <w:szCs w:val="20"/>
        </w:rPr>
        <w:t>8.500 especialistas</w:t>
      </w:r>
      <w:r w:rsidRPr="00247E30">
        <w:rPr>
          <w:rFonts w:ascii="Segoe UI" w:hAnsi="Segoe UI" w:cs="Segoe UI"/>
          <w:sz w:val="20"/>
          <w:szCs w:val="20"/>
        </w:rPr>
        <w:t xml:space="preserve"> na área de segurança, apoiados em ferramentas de Inteligência Artificial para análise de sinais. A </w:t>
      </w:r>
      <w:r>
        <w:rPr>
          <w:rFonts w:ascii="Segoe UI" w:hAnsi="Segoe UI" w:cs="Segoe UI"/>
          <w:sz w:val="20"/>
          <w:szCs w:val="20"/>
        </w:rPr>
        <w:t>Microsoft</w:t>
      </w:r>
      <w:r w:rsidRPr="00247E30">
        <w:rPr>
          <w:rFonts w:ascii="Segoe UI" w:hAnsi="Segoe UI" w:cs="Segoe UI"/>
          <w:sz w:val="20"/>
          <w:szCs w:val="20"/>
        </w:rPr>
        <w:t xml:space="preserve"> </w:t>
      </w:r>
      <w:r w:rsidR="00A50090">
        <w:rPr>
          <w:rFonts w:ascii="Segoe UI" w:hAnsi="Segoe UI" w:cs="Segoe UI"/>
          <w:sz w:val="20"/>
          <w:szCs w:val="20"/>
        </w:rPr>
        <w:t>irá</w:t>
      </w:r>
      <w:r w:rsidRPr="00247E30">
        <w:rPr>
          <w:rFonts w:ascii="Segoe UI" w:hAnsi="Segoe UI" w:cs="Segoe UI"/>
          <w:sz w:val="20"/>
          <w:szCs w:val="20"/>
        </w:rPr>
        <w:t xml:space="preserve"> continuar </w:t>
      </w:r>
      <w:r>
        <w:rPr>
          <w:rFonts w:ascii="Segoe UI" w:hAnsi="Segoe UI" w:cs="Segoe UI"/>
          <w:sz w:val="20"/>
          <w:szCs w:val="20"/>
        </w:rPr>
        <w:t xml:space="preserve">a investir de forma </w:t>
      </w:r>
      <w:r w:rsidRPr="00247E30">
        <w:rPr>
          <w:rFonts w:ascii="Segoe UI" w:hAnsi="Segoe UI" w:cs="Segoe UI"/>
          <w:sz w:val="20"/>
          <w:szCs w:val="20"/>
        </w:rPr>
        <w:t>significativ</w:t>
      </w:r>
      <w:r>
        <w:rPr>
          <w:rFonts w:ascii="Segoe UI" w:hAnsi="Segoe UI" w:cs="Segoe UI"/>
          <w:sz w:val="20"/>
          <w:szCs w:val="20"/>
        </w:rPr>
        <w:t>a</w:t>
      </w:r>
      <w:r w:rsidRPr="00247E30">
        <w:rPr>
          <w:rFonts w:ascii="Segoe UI" w:hAnsi="Segoe UI" w:cs="Segoe UI"/>
          <w:sz w:val="20"/>
          <w:szCs w:val="20"/>
        </w:rPr>
        <w:t xml:space="preserve"> nesta área,</w:t>
      </w:r>
      <w:r w:rsidR="00A50090">
        <w:rPr>
          <w:rFonts w:ascii="Segoe UI" w:hAnsi="Segoe UI" w:cs="Segoe UI"/>
          <w:sz w:val="20"/>
          <w:szCs w:val="20"/>
        </w:rPr>
        <w:t xml:space="preserve"> que inclui o reforço de </w:t>
      </w:r>
      <w:r w:rsidRPr="008910B0">
        <w:rPr>
          <w:rFonts w:ascii="Segoe UI" w:hAnsi="Segoe UI" w:cs="Segoe UI"/>
          <w:b/>
          <w:sz w:val="20"/>
          <w:szCs w:val="20"/>
        </w:rPr>
        <w:t>20 mil milhões de dólares nos próximos 5 anos.</w:t>
      </w:r>
    </w:p>
    <w:p w14:paraId="6E87B3F1" w14:textId="77777777" w:rsidR="00254BD1" w:rsidRDefault="00254BD1" w:rsidP="00FC2CDB">
      <w:pPr>
        <w:pStyle w:val="paragraph"/>
        <w:spacing w:line="312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089E0FB6" w14:textId="4D29A489" w:rsidR="0013287D" w:rsidRDefault="0013287D" w:rsidP="00FC2CDB">
      <w:pPr>
        <w:pStyle w:val="paragraph"/>
        <w:spacing w:line="312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13287D">
        <w:rPr>
          <w:rFonts w:ascii="Segoe UI" w:hAnsi="Segoe UI" w:cs="Segoe UI"/>
          <w:b/>
          <w:bCs/>
          <w:sz w:val="20"/>
          <w:szCs w:val="20"/>
        </w:rPr>
        <w:t xml:space="preserve">Os desafios de um ambiente de trabalho </w:t>
      </w:r>
      <w:r w:rsidR="00FC2CDB" w:rsidRPr="00FC2CDB" w:rsidDel="0013287D">
        <w:rPr>
          <w:rFonts w:ascii="Segoe UI" w:hAnsi="Segoe UI" w:cs="Segoe UI"/>
          <w:b/>
          <w:bCs/>
          <w:sz w:val="20"/>
          <w:szCs w:val="20"/>
        </w:rPr>
        <w:t>híbrido</w:t>
      </w:r>
    </w:p>
    <w:p w14:paraId="583AD483" w14:textId="721D1C43" w:rsidR="00A50090" w:rsidRDefault="00A50090" w:rsidP="00FC2CDB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50090">
        <w:rPr>
          <w:rFonts w:ascii="Segoe UI" w:hAnsi="Segoe UI" w:cs="Segoe UI"/>
          <w:sz w:val="20"/>
          <w:szCs w:val="20"/>
        </w:rPr>
        <w:lastRenderedPageBreak/>
        <w:t xml:space="preserve">Quase da noite para o dia, a força de trabalho de milhares de organizações em todo o mundo tornou-se totalmente remota e milhões de alunos tiveram que aprender em casa. Embora </w:t>
      </w:r>
      <w:r>
        <w:rPr>
          <w:rFonts w:ascii="Segoe UI" w:hAnsi="Segoe UI" w:cs="Segoe UI"/>
          <w:sz w:val="20"/>
          <w:szCs w:val="20"/>
        </w:rPr>
        <w:t>nos últimos anos existiram</w:t>
      </w:r>
      <w:r w:rsidRPr="00A5009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cada vez mais </w:t>
      </w:r>
      <w:r w:rsidRPr="00A50090">
        <w:rPr>
          <w:rFonts w:ascii="Segoe UI" w:hAnsi="Segoe UI" w:cs="Segoe UI"/>
          <w:sz w:val="20"/>
          <w:szCs w:val="20"/>
        </w:rPr>
        <w:t>oportunidades de trabalho à distância,</w:t>
      </w:r>
      <w:r>
        <w:rPr>
          <w:rFonts w:ascii="Segoe UI" w:hAnsi="Segoe UI" w:cs="Segoe UI"/>
          <w:sz w:val="20"/>
          <w:szCs w:val="20"/>
        </w:rPr>
        <w:t xml:space="preserve"> a pandemia ace</w:t>
      </w:r>
      <w:r w:rsidRPr="00A50090">
        <w:rPr>
          <w:rFonts w:ascii="Segoe UI" w:hAnsi="Segoe UI" w:cs="Segoe UI"/>
          <w:sz w:val="20"/>
          <w:szCs w:val="20"/>
        </w:rPr>
        <w:t>lerou es</w:t>
      </w:r>
      <w:r>
        <w:rPr>
          <w:rFonts w:ascii="Segoe UI" w:hAnsi="Segoe UI" w:cs="Segoe UI"/>
          <w:sz w:val="20"/>
          <w:szCs w:val="20"/>
        </w:rPr>
        <w:t>t</w:t>
      </w:r>
      <w:r w:rsidRPr="00A50090">
        <w:rPr>
          <w:rFonts w:ascii="Segoe UI" w:hAnsi="Segoe UI" w:cs="Segoe UI"/>
          <w:sz w:val="20"/>
          <w:szCs w:val="20"/>
        </w:rPr>
        <w:t xml:space="preserve">es esforços. </w:t>
      </w:r>
    </w:p>
    <w:p w14:paraId="7DE8C4D7" w14:textId="77777777" w:rsidR="00A50090" w:rsidRDefault="00A50090" w:rsidP="00FC2CDB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2A2B92BC" w14:textId="6C5B134A" w:rsidR="00FC2CDB" w:rsidRDefault="00A50090" w:rsidP="00A50090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 plena</w:t>
      </w:r>
      <w:r w:rsidRPr="00A50090">
        <w:rPr>
          <w:rFonts w:ascii="Segoe UI" w:hAnsi="Segoe UI" w:cs="Segoe UI"/>
          <w:sz w:val="20"/>
          <w:szCs w:val="20"/>
        </w:rPr>
        <w:t xml:space="preserve"> transição para modelos híbridos e </w:t>
      </w:r>
      <w:r>
        <w:rPr>
          <w:rFonts w:ascii="Segoe UI" w:hAnsi="Segoe UI" w:cs="Segoe UI"/>
          <w:sz w:val="20"/>
          <w:szCs w:val="20"/>
        </w:rPr>
        <w:t>à medida que</w:t>
      </w:r>
      <w:r w:rsidRPr="00A50090">
        <w:rPr>
          <w:rFonts w:ascii="Segoe UI" w:hAnsi="Segoe UI" w:cs="Segoe UI"/>
          <w:sz w:val="20"/>
          <w:szCs w:val="20"/>
        </w:rPr>
        <w:t xml:space="preserve"> as ameaças à </w:t>
      </w:r>
      <w:proofErr w:type="spellStart"/>
      <w:r w:rsidRPr="008910B0">
        <w:rPr>
          <w:rFonts w:ascii="Segoe UI" w:hAnsi="Segoe UI" w:cs="Segoe UI"/>
          <w:i/>
          <w:sz w:val="20"/>
          <w:szCs w:val="20"/>
        </w:rPr>
        <w:t>cloud</w:t>
      </w:r>
      <w:proofErr w:type="spellEnd"/>
      <w:r w:rsidRPr="00A50090">
        <w:rPr>
          <w:rFonts w:ascii="Segoe UI" w:hAnsi="Segoe UI" w:cs="Segoe UI"/>
          <w:sz w:val="20"/>
          <w:szCs w:val="20"/>
        </w:rPr>
        <w:t xml:space="preserve"> aumentam, devem ser tomadas </w:t>
      </w:r>
      <w:r>
        <w:rPr>
          <w:rFonts w:ascii="Segoe UI" w:hAnsi="Segoe UI" w:cs="Segoe UI"/>
          <w:sz w:val="20"/>
          <w:szCs w:val="20"/>
        </w:rPr>
        <w:t xml:space="preserve">medidas </w:t>
      </w:r>
      <w:r w:rsidRPr="00A50090">
        <w:rPr>
          <w:rFonts w:ascii="Segoe UI" w:hAnsi="Segoe UI" w:cs="Segoe UI"/>
          <w:sz w:val="20"/>
          <w:szCs w:val="20"/>
        </w:rPr>
        <w:t xml:space="preserve">para fortalecer a primeira linha de defesa. Embora a Microsoft ofereça autenticação </w:t>
      </w:r>
      <w:proofErr w:type="spellStart"/>
      <w:r w:rsidRPr="008910B0">
        <w:rPr>
          <w:rFonts w:ascii="Segoe UI" w:hAnsi="Segoe UI" w:cs="Segoe UI"/>
          <w:i/>
          <w:sz w:val="20"/>
          <w:szCs w:val="20"/>
        </w:rPr>
        <w:t>multifator</w:t>
      </w:r>
      <w:proofErr w:type="spellEnd"/>
      <w:r w:rsidRPr="00A50090">
        <w:rPr>
          <w:rFonts w:ascii="Segoe UI" w:hAnsi="Segoe UI" w:cs="Segoe UI"/>
          <w:sz w:val="20"/>
          <w:szCs w:val="20"/>
        </w:rPr>
        <w:t xml:space="preserve"> (MFA) gratuita para </w:t>
      </w:r>
      <w:r>
        <w:rPr>
          <w:rFonts w:ascii="Segoe UI" w:hAnsi="Segoe UI" w:cs="Segoe UI"/>
          <w:sz w:val="20"/>
          <w:szCs w:val="20"/>
        </w:rPr>
        <w:t xml:space="preserve">os </w:t>
      </w:r>
      <w:r w:rsidRPr="00A50090">
        <w:rPr>
          <w:rFonts w:ascii="Segoe UI" w:hAnsi="Segoe UI" w:cs="Segoe UI"/>
          <w:sz w:val="20"/>
          <w:szCs w:val="20"/>
        </w:rPr>
        <w:t xml:space="preserve">seus clientes e eles possam </w:t>
      </w:r>
      <w:r>
        <w:rPr>
          <w:rFonts w:ascii="Segoe UI" w:hAnsi="Segoe UI" w:cs="Segoe UI"/>
          <w:sz w:val="20"/>
          <w:szCs w:val="20"/>
        </w:rPr>
        <w:t>disponibilizá</w:t>
      </w:r>
      <w:r w:rsidRPr="00A50090">
        <w:rPr>
          <w:rFonts w:ascii="Segoe UI" w:hAnsi="Segoe UI" w:cs="Segoe UI"/>
          <w:sz w:val="20"/>
          <w:szCs w:val="20"/>
        </w:rPr>
        <w:t xml:space="preserve">-la remotamente para </w:t>
      </w:r>
      <w:r>
        <w:rPr>
          <w:rFonts w:ascii="Segoe UI" w:hAnsi="Segoe UI" w:cs="Segoe UI"/>
          <w:sz w:val="20"/>
          <w:szCs w:val="20"/>
        </w:rPr>
        <w:t>os seus</w:t>
      </w:r>
      <w:r w:rsidRPr="00A50090">
        <w:rPr>
          <w:rFonts w:ascii="Segoe UI" w:hAnsi="Segoe UI" w:cs="Segoe UI"/>
          <w:sz w:val="20"/>
          <w:szCs w:val="20"/>
        </w:rPr>
        <w:t xml:space="preserve"> u</w:t>
      </w:r>
      <w:r>
        <w:rPr>
          <w:rFonts w:ascii="Segoe UI" w:hAnsi="Segoe UI" w:cs="Segoe UI"/>
          <w:sz w:val="20"/>
          <w:szCs w:val="20"/>
        </w:rPr>
        <w:t>tilizadores</w:t>
      </w:r>
      <w:r w:rsidRPr="00A50090">
        <w:rPr>
          <w:rFonts w:ascii="Segoe UI" w:hAnsi="Segoe UI" w:cs="Segoe UI"/>
          <w:sz w:val="20"/>
          <w:szCs w:val="20"/>
        </w:rPr>
        <w:t xml:space="preserve">, </w:t>
      </w:r>
      <w:r w:rsidRPr="008910B0">
        <w:rPr>
          <w:rFonts w:ascii="Segoe UI" w:hAnsi="Segoe UI" w:cs="Segoe UI"/>
          <w:b/>
          <w:sz w:val="20"/>
          <w:szCs w:val="20"/>
        </w:rPr>
        <w:t xml:space="preserve">menos de 20% </w:t>
      </w:r>
      <w:r>
        <w:rPr>
          <w:rFonts w:ascii="Segoe UI" w:hAnsi="Segoe UI" w:cs="Segoe UI"/>
          <w:sz w:val="20"/>
          <w:szCs w:val="20"/>
        </w:rPr>
        <w:t xml:space="preserve">estão a tirar partido destes </w:t>
      </w:r>
      <w:r w:rsidRPr="00A50090">
        <w:rPr>
          <w:rFonts w:ascii="Segoe UI" w:hAnsi="Segoe UI" w:cs="Segoe UI"/>
          <w:sz w:val="20"/>
          <w:szCs w:val="20"/>
        </w:rPr>
        <w:t>recursos de autenticação fortes. Na verdade</w:t>
      </w:r>
      <w:r w:rsidR="00FC2CDB" w:rsidRPr="00FC2CDB">
        <w:rPr>
          <w:rFonts w:ascii="Segoe UI" w:hAnsi="Segoe UI" w:cs="Segoe UI"/>
          <w:sz w:val="20"/>
          <w:szCs w:val="20"/>
        </w:rPr>
        <w:t xml:space="preserve">, se as organizações aplicassem </w:t>
      </w:r>
      <w:r w:rsidR="00C61F71" w:rsidRPr="00FC2CDB">
        <w:rPr>
          <w:rFonts w:ascii="Segoe UI" w:hAnsi="Segoe UI" w:cs="Segoe UI"/>
          <w:sz w:val="20"/>
          <w:szCs w:val="20"/>
        </w:rPr>
        <w:t xml:space="preserve">apenas </w:t>
      </w:r>
      <w:r w:rsidR="00FC2CDB" w:rsidRPr="00FC2CDB">
        <w:rPr>
          <w:rFonts w:ascii="Segoe UI" w:hAnsi="Segoe UI" w:cs="Segoe UI"/>
          <w:sz w:val="20"/>
          <w:szCs w:val="20"/>
        </w:rPr>
        <w:t xml:space="preserve">MFA, utilizassem </w:t>
      </w:r>
      <w:proofErr w:type="spellStart"/>
      <w:r w:rsidR="00FC2CDB" w:rsidRPr="009F2E84">
        <w:rPr>
          <w:rFonts w:ascii="Segoe UI" w:hAnsi="Segoe UI" w:cs="Segoe UI"/>
          <w:i/>
          <w:iCs/>
          <w:sz w:val="20"/>
          <w:szCs w:val="20"/>
        </w:rPr>
        <w:t>anti-malware</w:t>
      </w:r>
      <w:proofErr w:type="spellEnd"/>
      <w:r w:rsidR="00FC2CDB" w:rsidRPr="00FC2CDB">
        <w:rPr>
          <w:rFonts w:ascii="Segoe UI" w:hAnsi="Segoe UI" w:cs="Segoe UI"/>
          <w:sz w:val="20"/>
          <w:szCs w:val="20"/>
        </w:rPr>
        <w:t xml:space="preserve">, e mantivessem os seus sistemas atualizados, estariam protegidas </w:t>
      </w:r>
      <w:r w:rsidR="00FC2CDB" w:rsidRPr="003334D0">
        <w:rPr>
          <w:rFonts w:ascii="Segoe UI" w:hAnsi="Segoe UI" w:cs="Segoe UI"/>
          <w:b/>
          <w:sz w:val="20"/>
          <w:szCs w:val="20"/>
        </w:rPr>
        <w:t>contra</w:t>
      </w:r>
      <w:r w:rsidR="00FC2CDB" w:rsidRPr="00FC2CDB">
        <w:rPr>
          <w:rFonts w:ascii="Segoe UI" w:hAnsi="Segoe UI" w:cs="Segoe UI"/>
          <w:sz w:val="20"/>
          <w:szCs w:val="20"/>
        </w:rPr>
        <w:t xml:space="preserve"> </w:t>
      </w:r>
      <w:r w:rsidR="00FC2CDB" w:rsidRPr="003334D0">
        <w:rPr>
          <w:rFonts w:ascii="Segoe UI" w:hAnsi="Segoe UI" w:cs="Segoe UI"/>
          <w:b/>
          <w:sz w:val="20"/>
          <w:szCs w:val="20"/>
        </w:rPr>
        <w:t xml:space="preserve">mais de 99% dos ataques </w:t>
      </w:r>
      <w:r w:rsidR="00FC2CDB" w:rsidRPr="00FC2CDB">
        <w:rPr>
          <w:rFonts w:ascii="Segoe UI" w:hAnsi="Segoe UI" w:cs="Segoe UI"/>
          <w:sz w:val="20"/>
          <w:szCs w:val="20"/>
        </w:rPr>
        <w:t xml:space="preserve">a que assistimos. </w:t>
      </w:r>
    </w:p>
    <w:p w14:paraId="3F5A5759" w14:textId="77777777" w:rsidR="009F2E84" w:rsidRPr="00FC2CDB" w:rsidRDefault="009F2E84" w:rsidP="00FC2CDB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5BC2A641" w14:textId="3095AEC8" w:rsidR="00F562A9" w:rsidRDefault="009F2E84" w:rsidP="00FC2CDB">
      <w:pPr>
        <w:pStyle w:val="paragraph"/>
        <w:spacing w:line="312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="00FC2CDB" w:rsidRPr="00FC2CDB">
        <w:rPr>
          <w:rFonts w:ascii="Segoe UI" w:hAnsi="Segoe UI" w:cs="Segoe UI"/>
          <w:sz w:val="20"/>
          <w:szCs w:val="20"/>
        </w:rPr>
        <w:t xml:space="preserve">os últimos 18 meses, </w:t>
      </w:r>
      <w:r w:rsidR="00C61F71">
        <w:rPr>
          <w:rFonts w:ascii="Segoe UI" w:hAnsi="Segoe UI" w:cs="Segoe UI"/>
          <w:sz w:val="20"/>
          <w:szCs w:val="20"/>
        </w:rPr>
        <w:t>assistimos</w:t>
      </w:r>
      <w:r>
        <w:rPr>
          <w:rFonts w:ascii="Segoe UI" w:hAnsi="Segoe UI" w:cs="Segoe UI"/>
          <w:sz w:val="20"/>
          <w:szCs w:val="20"/>
        </w:rPr>
        <w:t xml:space="preserve"> a</w:t>
      </w:r>
      <w:r w:rsidR="00FC2CDB" w:rsidRPr="00FC2CDB">
        <w:rPr>
          <w:rFonts w:ascii="Segoe UI" w:hAnsi="Segoe UI" w:cs="Segoe UI"/>
          <w:sz w:val="20"/>
          <w:szCs w:val="20"/>
        </w:rPr>
        <w:t xml:space="preserve"> um </w:t>
      </w:r>
      <w:r w:rsidR="00FC2CDB" w:rsidRPr="003334D0">
        <w:rPr>
          <w:rFonts w:ascii="Segoe UI" w:hAnsi="Segoe UI" w:cs="Segoe UI"/>
          <w:b/>
          <w:sz w:val="20"/>
          <w:szCs w:val="20"/>
        </w:rPr>
        <w:t>aumento de 220%</w:t>
      </w:r>
      <w:r w:rsidR="00FC2CDB" w:rsidRPr="00FC2CDB">
        <w:rPr>
          <w:rFonts w:ascii="Segoe UI" w:hAnsi="Segoe UI" w:cs="Segoe UI"/>
          <w:sz w:val="20"/>
          <w:szCs w:val="20"/>
        </w:rPr>
        <w:t xml:space="preserve"> na utilização de autenticação forte, </w:t>
      </w:r>
      <w:r w:rsidR="00F562A9">
        <w:rPr>
          <w:rFonts w:ascii="Segoe UI" w:hAnsi="Segoe UI" w:cs="Segoe UI"/>
          <w:sz w:val="20"/>
          <w:szCs w:val="20"/>
        </w:rPr>
        <w:t>mas ainda</w:t>
      </w:r>
      <w:r w:rsidR="00C61F7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existe </w:t>
      </w:r>
      <w:r w:rsidR="00FC2CDB" w:rsidRPr="00FC2CDB">
        <w:rPr>
          <w:rFonts w:ascii="Segoe UI" w:hAnsi="Segoe UI" w:cs="Segoe UI"/>
          <w:sz w:val="20"/>
          <w:szCs w:val="20"/>
        </w:rPr>
        <w:t>um longo caminho a percorrer</w:t>
      </w:r>
      <w:r w:rsidR="00F562A9">
        <w:rPr>
          <w:rFonts w:ascii="Segoe UI" w:hAnsi="Segoe UI" w:cs="Segoe UI"/>
          <w:sz w:val="20"/>
          <w:szCs w:val="20"/>
        </w:rPr>
        <w:t xml:space="preserve">. </w:t>
      </w:r>
      <w:r w:rsidR="00F562A9" w:rsidRPr="00F562A9">
        <w:rPr>
          <w:rFonts w:ascii="Segoe UI" w:hAnsi="Segoe UI" w:cs="Segoe UI"/>
          <w:sz w:val="20"/>
          <w:szCs w:val="20"/>
        </w:rPr>
        <w:t>Os novos desafios de segurança concentram</w:t>
      </w:r>
      <w:r w:rsidR="00F562A9">
        <w:rPr>
          <w:rFonts w:ascii="Segoe UI" w:hAnsi="Segoe UI" w:cs="Segoe UI"/>
          <w:sz w:val="20"/>
          <w:szCs w:val="20"/>
        </w:rPr>
        <w:t xml:space="preserve">-se na </w:t>
      </w:r>
      <w:r w:rsidR="00F562A9" w:rsidRPr="00F562A9">
        <w:rPr>
          <w:rFonts w:ascii="Segoe UI" w:hAnsi="Segoe UI" w:cs="Segoe UI"/>
          <w:sz w:val="20"/>
          <w:szCs w:val="20"/>
        </w:rPr>
        <w:t xml:space="preserve">infraestrutura, dados e pessoas. A arquitetura VPN, a virtualização e os princípios Zero Trust permitem que as empresas </w:t>
      </w:r>
      <w:r w:rsidR="00F562A9">
        <w:rPr>
          <w:rFonts w:ascii="Segoe UI" w:hAnsi="Segoe UI" w:cs="Segoe UI"/>
          <w:sz w:val="20"/>
          <w:szCs w:val="20"/>
        </w:rPr>
        <w:t>apoiem os colaboradores</w:t>
      </w:r>
      <w:r w:rsidR="00F562A9" w:rsidRPr="00F562A9">
        <w:rPr>
          <w:rFonts w:ascii="Segoe UI" w:hAnsi="Segoe UI" w:cs="Segoe UI"/>
          <w:sz w:val="20"/>
          <w:szCs w:val="20"/>
        </w:rPr>
        <w:t xml:space="preserve"> remotos com segurança</w:t>
      </w:r>
      <w:r w:rsidR="00F562A9">
        <w:rPr>
          <w:rFonts w:ascii="Segoe UI" w:hAnsi="Segoe UI" w:cs="Segoe UI"/>
          <w:sz w:val="20"/>
          <w:szCs w:val="20"/>
        </w:rPr>
        <w:t xml:space="preserve"> e façam a gestão d</w:t>
      </w:r>
      <w:r w:rsidR="00F562A9" w:rsidRPr="00F562A9">
        <w:rPr>
          <w:rFonts w:ascii="Segoe UI" w:hAnsi="Segoe UI" w:cs="Segoe UI"/>
          <w:sz w:val="20"/>
          <w:szCs w:val="20"/>
        </w:rPr>
        <w:t>os direitos de acesso às informações para cumprir as políticas de proteção de informações confidenciais e propriedade intelectual.</w:t>
      </w:r>
    </w:p>
    <w:p w14:paraId="6E560877" w14:textId="77777777" w:rsidR="00415168" w:rsidRDefault="00415168" w:rsidP="00880FEF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1789BABD" w14:textId="087AE955" w:rsidR="00F562A9" w:rsidRDefault="00A3252C" w:rsidP="00880FEF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>
        <w:rPr>
          <w:rFonts w:ascii="Segoe UI" w:hAnsi="Segoe UI" w:cs="Segoe UI"/>
          <w:sz w:val="20"/>
          <w:szCs w:val="20"/>
          <w:lang w:val="pt-PT"/>
        </w:rPr>
        <w:t xml:space="preserve">Aceda </w:t>
      </w:r>
      <w:hyperlink r:id="rId13" w:history="1">
        <w:r w:rsidRPr="00ED1579">
          <w:rPr>
            <w:rStyle w:val="Hiperligao"/>
            <w:rFonts w:ascii="Segoe UI" w:hAnsi="Segoe UI" w:cs="Segoe UI"/>
            <w:sz w:val="20"/>
            <w:szCs w:val="20"/>
            <w:lang w:val="pt-PT"/>
          </w:rPr>
          <w:t>aqui</w:t>
        </w:r>
      </w:hyperlink>
      <w:r>
        <w:rPr>
          <w:rFonts w:ascii="Segoe UI" w:hAnsi="Segoe UI" w:cs="Segoe UI"/>
          <w:sz w:val="20"/>
          <w:szCs w:val="20"/>
          <w:lang w:val="pt-PT"/>
        </w:rPr>
        <w:t xml:space="preserve"> ao </w:t>
      </w:r>
      <w:r w:rsidR="005A2A2B" w:rsidRPr="000F29FC">
        <w:rPr>
          <w:rFonts w:ascii="Segoe UI" w:hAnsi="Segoe UI" w:cs="Segoe UI"/>
          <w:b/>
          <w:bCs/>
          <w:sz w:val="20"/>
          <w:szCs w:val="20"/>
          <w:lang w:val="pt-PT"/>
        </w:rPr>
        <w:t>Relatório de Defesa Digital da Microsoft</w:t>
      </w:r>
      <w:r w:rsidR="000F29FC">
        <w:rPr>
          <w:rFonts w:ascii="Segoe UI" w:hAnsi="Segoe UI" w:cs="Segoe UI"/>
          <w:sz w:val="20"/>
          <w:szCs w:val="20"/>
          <w:lang w:val="pt-PT"/>
        </w:rPr>
        <w:t>.</w:t>
      </w:r>
      <w:r w:rsidR="001F7888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0311E662" w14:textId="77777777" w:rsidR="00F562A9" w:rsidRPr="002E3E9F" w:rsidRDefault="00F562A9" w:rsidP="002E3E9F">
      <w:pPr>
        <w:pStyle w:val="paragraph"/>
        <w:spacing w:line="312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45C5A262" w14:textId="77777777" w:rsidR="000F29FC" w:rsidRDefault="000F29FC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7" w:name="_Hlk55807214"/>
    </w:p>
    <w:p w14:paraId="53EA3E0A" w14:textId="4BF309A3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DCC2542" w:rsidR="00157895" w:rsidRPr="00EE3F08" w:rsidRDefault="007318A2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05BCACF" w:rsidR="00157895" w:rsidRPr="00EE3F08" w:rsidRDefault="00090418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6F720E" w:rsidRPr="00BA126C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090418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5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9E5A5A3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6F720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6F720E">
              <w:rPr>
                <w:bCs/>
                <w:color w:val="000000"/>
                <w:lang w:val="pt-PT"/>
              </w:rPr>
              <w:t>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1B02152C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19FB213B" w:rsidR="00F34E3B" w:rsidRPr="00850F85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  <w:bookmarkEnd w:id="7"/>
    </w:p>
    <w:sectPr w:rsidR="00F34E3B" w:rsidRPr="00850F85" w:rsidSect="00EE3F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E5B3" w14:textId="77777777" w:rsidR="005D0832" w:rsidRDefault="005D0832" w:rsidP="0019397E">
      <w:pPr>
        <w:spacing w:after="0" w:line="240" w:lineRule="auto"/>
      </w:pPr>
      <w:r>
        <w:separator/>
      </w:r>
    </w:p>
  </w:endnote>
  <w:endnote w:type="continuationSeparator" w:id="0">
    <w:p w14:paraId="79000718" w14:textId="77777777" w:rsidR="005D0832" w:rsidRDefault="005D0832" w:rsidP="0019397E">
      <w:pPr>
        <w:spacing w:after="0" w:line="240" w:lineRule="auto"/>
      </w:pPr>
      <w:r>
        <w:continuationSeparator/>
      </w:r>
    </w:p>
  </w:endnote>
  <w:endnote w:type="continuationNotice" w:id="1">
    <w:p w14:paraId="23B6208D" w14:textId="77777777" w:rsidR="005D0832" w:rsidRDefault="005D0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06D" w14:textId="77777777" w:rsidR="00370AA2" w:rsidRDefault="00370A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6A2" w14:textId="77777777" w:rsidR="00370AA2" w:rsidRDefault="0037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6D5" w14:textId="77777777" w:rsidR="00370AA2" w:rsidRDefault="0037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4140" w14:textId="77777777" w:rsidR="005D0832" w:rsidRDefault="005D0832" w:rsidP="0019397E">
      <w:pPr>
        <w:spacing w:after="0" w:line="240" w:lineRule="auto"/>
      </w:pPr>
      <w:r>
        <w:separator/>
      </w:r>
    </w:p>
  </w:footnote>
  <w:footnote w:type="continuationSeparator" w:id="0">
    <w:p w14:paraId="51156071" w14:textId="77777777" w:rsidR="005D0832" w:rsidRDefault="005D0832" w:rsidP="0019397E">
      <w:pPr>
        <w:spacing w:after="0" w:line="240" w:lineRule="auto"/>
      </w:pPr>
      <w:r>
        <w:continuationSeparator/>
      </w:r>
    </w:p>
  </w:footnote>
  <w:footnote w:type="continuationNotice" w:id="1">
    <w:p w14:paraId="7236860D" w14:textId="77777777" w:rsidR="005D0832" w:rsidRDefault="005D0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AC40" w14:textId="77777777" w:rsidR="00370AA2" w:rsidRDefault="00370A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48DFD613" w:rsidP="00B34F95">
    <w:pPr>
      <w:pStyle w:val="Cabealho"/>
    </w:pPr>
    <w:bookmarkStart w:id="8" w:name="_Hlk55806922"/>
    <w:bookmarkStart w:id="9" w:name="_Hlk55806923"/>
    <w:r>
      <w:rPr>
        <w:noProof/>
      </w:rPr>
      <w:drawing>
        <wp:inline distT="0" distB="0" distL="0" distR="0" wp14:anchorId="2C6ED68E" wp14:editId="77577194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355" w14:textId="77777777" w:rsidR="00370AA2" w:rsidRDefault="00370A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57"/>
    <w:multiLevelType w:val="hybridMultilevel"/>
    <w:tmpl w:val="B55E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FB0"/>
    <w:multiLevelType w:val="hybridMultilevel"/>
    <w:tmpl w:val="194E0D8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85A71"/>
    <w:multiLevelType w:val="multilevel"/>
    <w:tmpl w:val="F6D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4B6E"/>
    <w:multiLevelType w:val="hybridMultilevel"/>
    <w:tmpl w:val="DD10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6428E"/>
    <w:multiLevelType w:val="hybridMultilevel"/>
    <w:tmpl w:val="D50EFC0C"/>
    <w:lvl w:ilvl="0" w:tplc="B49AFDB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7"/>
  </w:num>
  <w:num w:numId="5">
    <w:abstractNumId w:val="27"/>
  </w:num>
  <w:num w:numId="6">
    <w:abstractNumId w:val="18"/>
  </w:num>
  <w:num w:numId="7">
    <w:abstractNumId w:val="5"/>
  </w:num>
  <w:num w:numId="8">
    <w:abstractNumId w:val="7"/>
  </w:num>
  <w:num w:numId="9">
    <w:abstractNumId w:val="23"/>
  </w:num>
  <w:num w:numId="10">
    <w:abstractNumId w:val="6"/>
  </w:num>
  <w:num w:numId="11">
    <w:abstractNumId w:val="25"/>
  </w:num>
  <w:num w:numId="12">
    <w:abstractNumId w:val="13"/>
  </w:num>
  <w:num w:numId="13">
    <w:abstractNumId w:val="20"/>
  </w:num>
  <w:num w:numId="14">
    <w:abstractNumId w:val="24"/>
  </w:num>
  <w:num w:numId="15">
    <w:abstractNumId w:val="21"/>
  </w:num>
  <w:num w:numId="16">
    <w:abstractNumId w:val="30"/>
  </w:num>
  <w:num w:numId="17">
    <w:abstractNumId w:val="0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10"/>
  </w:num>
  <w:num w:numId="23">
    <w:abstractNumId w:val="1"/>
  </w:num>
  <w:num w:numId="24">
    <w:abstractNumId w:val="28"/>
  </w:num>
  <w:num w:numId="25">
    <w:abstractNumId w:val="26"/>
  </w:num>
  <w:num w:numId="26">
    <w:abstractNumId w:val="15"/>
  </w:num>
  <w:num w:numId="27">
    <w:abstractNumId w:val="11"/>
  </w:num>
  <w:num w:numId="28">
    <w:abstractNumId w:val="8"/>
  </w:num>
  <w:num w:numId="29">
    <w:abstractNumId w:val="2"/>
  </w:num>
  <w:num w:numId="30">
    <w:abstractNumId w:val="29"/>
  </w:num>
  <w:num w:numId="31">
    <w:abstractNumId w:val="9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3BF2"/>
    <w:rsid w:val="000049E3"/>
    <w:rsid w:val="00004AC0"/>
    <w:rsid w:val="000068BA"/>
    <w:rsid w:val="00006F28"/>
    <w:rsid w:val="0001012C"/>
    <w:rsid w:val="00011016"/>
    <w:rsid w:val="00011363"/>
    <w:rsid w:val="00011D64"/>
    <w:rsid w:val="00012694"/>
    <w:rsid w:val="00016143"/>
    <w:rsid w:val="00016905"/>
    <w:rsid w:val="00016984"/>
    <w:rsid w:val="00020956"/>
    <w:rsid w:val="00021054"/>
    <w:rsid w:val="0002139F"/>
    <w:rsid w:val="000219F4"/>
    <w:rsid w:val="000229EC"/>
    <w:rsid w:val="00022C49"/>
    <w:rsid w:val="0002335A"/>
    <w:rsid w:val="000235C8"/>
    <w:rsid w:val="00025540"/>
    <w:rsid w:val="0003145E"/>
    <w:rsid w:val="00033737"/>
    <w:rsid w:val="0003503A"/>
    <w:rsid w:val="00035EAC"/>
    <w:rsid w:val="00035F00"/>
    <w:rsid w:val="00037FD8"/>
    <w:rsid w:val="00041054"/>
    <w:rsid w:val="0004494C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6349A"/>
    <w:rsid w:val="00063A81"/>
    <w:rsid w:val="00064273"/>
    <w:rsid w:val="000643D9"/>
    <w:rsid w:val="00064F9B"/>
    <w:rsid w:val="0006504F"/>
    <w:rsid w:val="0007135F"/>
    <w:rsid w:val="00072D87"/>
    <w:rsid w:val="000758D9"/>
    <w:rsid w:val="00075A66"/>
    <w:rsid w:val="0007603C"/>
    <w:rsid w:val="000761E2"/>
    <w:rsid w:val="000766AC"/>
    <w:rsid w:val="000779EC"/>
    <w:rsid w:val="00080090"/>
    <w:rsid w:val="00081EF1"/>
    <w:rsid w:val="0008277F"/>
    <w:rsid w:val="00087704"/>
    <w:rsid w:val="0009014A"/>
    <w:rsid w:val="00090418"/>
    <w:rsid w:val="00091F3C"/>
    <w:rsid w:val="00093AF0"/>
    <w:rsid w:val="00093DEB"/>
    <w:rsid w:val="00094AD6"/>
    <w:rsid w:val="00095430"/>
    <w:rsid w:val="00096039"/>
    <w:rsid w:val="000A1925"/>
    <w:rsid w:val="000A1F96"/>
    <w:rsid w:val="000A216B"/>
    <w:rsid w:val="000A2BC7"/>
    <w:rsid w:val="000A4DA5"/>
    <w:rsid w:val="000A4EA4"/>
    <w:rsid w:val="000A5C07"/>
    <w:rsid w:val="000A7D79"/>
    <w:rsid w:val="000B27E5"/>
    <w:rsid w:val="000B468E"/>
    <w:rsid w:val="000B607A"/>
    <w:rsid w:val="000C0861"/>
    <w:rsid w:val="000C1339"/>
    <w:rsid w:val="000C2099"/>
    <w:rsid w:val="000C23C5"/>
    <w:rsid w:val="000C3B55"/>
    <w:rsid w:val="000C42D4"/>
    <w:rsid w:val="000C4E9D"/>
    <w:rsid w:val="000C5B75"/>
    <w:rsid w:val="000C6BC7"/>
    <w:rsid w:val="000C7CBD"/>
    <w:rsid w:val="000D15E0"/>
    <w:rsid w:val="000D3AC9"/>
    <w:rsid w:val="000D67E7"/>
    <w:rsid w:val="000E02F0"/>
    <w:rsid w:val="000E0E46"/>
    <w:rsid w:val="000E10C8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29FC"/>
    <w:rsid w:val="000F3533"/>
    <w:rsid w:val="000F46A0"/>
    <w:rsid w:val="000F47D1"/>
    <w:rsid w:val="000F47FB"/>
    <w:rsid w:val="000F4E8F"/>
    <w:rsid w:val="000F5A20"/>
    <w:rsid w:val="000F72D8"/>
    <w:rsid w:val="001008C5"/>
    <w:rsid w:val="00101D21"/>
    <w:rsid w:val="00102B5A"/>
    <w:rsid w:val="00103283"/>
    <w:rsid w:val="001034DE"/>
    <w:rsid w:val="00103D56"/>
    <w:rsid w:val="00107106"/>
    <w:rsid w:val="001102F1"/>
    <w:rsid w:val="00111D53"/>
    <w:rsid w:val="0011251A"/>
    <w:rsid w:val="00112B6E"/>
    <w:rsid w:val="00115664"/>
    <w:rsid w:val="001158A6"/>
    <w:rsid w:val="001159AC"/>
    <w:rsid w:val="0011782B"/>
    <w:rsid w:val="0011798F"/>
    <w:rsid w:val="00121787"/>
    <w:rsid w:val="001220B2"/>
    <w:rsid w:val="00123E2B"/>
    <w:rsid w:val="001248C6"/>
    <w:rsid w:val="00125952"/>
    <w:rsid w:val="00125DCC"/>
    <w:rsid w:val="001267AD"/>
    <w:rsid w:val="00130013"/>
    <w:rsid w:val="00131592"/>
    <w:rsid w:val="0013287D"/>
    <w:rsid w:val="00133242"/>
    <w:rsid w:val="001343E1"/>
    <w:rsid w:val="00136A99"/>
    <w:rsid w:val="001403CE"/>
    <w:rsid w:val="00140FC1"/>
    <w:rsid w:val="001411D1"/>
    <w:rsid w:val="001412FF"/>
    <w:rsid w:val="00143399"/>
    <w:rsid w:val="00143628"/>
    <w:rsid w:val="001438A7"/>
    <w:rsid w:val="001445B4"/>
    <w:rsid w:val="00144788"/>
    <w:rsid w:val="00144D97"/>
    <w:rsid w:val="001457AA"/>
    <w:rsid w:val="00147CA2"/>
    <w:rsid w:val="00150B26"/>
    <w:rsid w:val="00150D55"/>
    <w:rsid w:val="00151C90"/>
    <w:rsid w:val="00151F0B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2E92"/>
    <w:rsid w:val="00163B11"/>
    <w:rsid w:val="0016472D"/>
    <w:rsid w:val="001664CF"/>
    <w:rsid w:val="00166C2B"/>
    <w:rsid w:val="00167721"/>
    <w:rsid w:val="0017278D"/>
    <w:rsid w:val="00175583"/>
    <w:rsid w:val="00175807"/>
    <w:rsid w:val="001758E9"/>
    <w:rsid w:val="00176A02"/>
    <w:rsid w:val="00182E37"/>
    <w:rsid w:val="00183AB9"/>
    <w:rsid w:val="00184216"/>
    <w:rsid w:val="00184624"/>
    <w:rsid w:val="001862DA"/>
    <w:rsid w:val="0018658B"/>
    <w:rsid w:val="00191AC3"/>
    <w:rsid w:val="00192C5A"/>
    <w:rsid w:val="00193176"/>
    <w:rsid w:val="0019397E"/>
    <w:rsid w:val="001A10FD"/>
    <w:rsid w:val="001A1E63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D2"/>
    <w:rsid w:val="001C0EBE"/>
    <w:rsid w:val="001C1226"/>
    <w:rsid w:val="001C3A9A"/>
    <w:rsid w:val="001C498D"/>
    <w:rsid w:val="001C4C80"/>
    <w:rsid w:val="001C52A8"/>
    <w:rsid w:val="001C5EEA"/>
    <w:rsid w:val="001C7D34"/>
    <w:rsid w:val="001D0308"/>
    <w:rsid w:val="001D2613"/>
    <w:rsid w:val="001D3DB1"/>
    <w:rsid w:val="001D785C"/>
    <w:rsid w:val="001D7995"/>
    <w:rsid w:val="001E015A"/>
    <w:rsid w:val="001E205F"/>
    <w:rsid w:val="001E2ABE"/>
    <w:rsid w:val="001E4CCD"/>
    <w:rsid w:val="001E653D"/>
    <w:rsid w:val="001E6BC6"/>
    <w:rsid w:val="001E6D78"/>
    <w:rsid w:val="001E7E7D"/>
    <w:rsid w:val="001F1777"/>
    <w:rsid w:val="001F2200"/>
    <w:rsid w:val="001F3A76"/>
    <w:rsid w:val="001F51B7"/>
    <w:rsid w:val="001F614B"/>
    <w:rsid w:val="001F7888"/>
    <w:rsid w:val="002008E8"/>
    <w:rsid w:val="00201A3F"/>
    <w:rsid w:val="00201F98"/>
    <w:rsid w:val="00202707"/>
    <w:rsid w:val="0020540B"/>
    <w:rsid w:val="00206146"/>
    <w:rsid w:val="002071C6"/>
    <w:rsid w:val="00207BF1"/>
    <w:rsid w:val="00210B58"/>
    <w:rsid w:val="00210D9D"/>
    <w:rsid w:val="0021208D"/>
    <w:rsid w:val="0021284B"/>
    <w:rsid w:val="00214EFD"/>
    <w:rsid w:val="00220BD9"/>
    <w:rsid w:val="00221381"/>
    <w:rsid w:val="00222168"/>
    <w:rsid w:val="00226AF7"/>
    <w:rsid w:val="00227844"/>
    <w:rsid w:val="00231B87"/>
    <w:rsid w:val="00232987"/>
    <w:rsid w:val="00235A96"/>
    <w:rsid w:val="00240277"/>
    <w:rsid w:val="00240278"/>
    <w:rsid w:val="00241E71"/>
    <w:rsid w:val="002428E5"/>
    <w:rsid w:val="00242C31"/>
    <w:rsid w:val="00244138"/>
    <w:rsid w:val="0024742E"/>
    <w:rsid w:val="00247E30"/>
    <w:rsid w:val="002522B3"/>
    <w:rsid w:val="002535F5"/>
    <w:rsid w:val="00254BD1"/>
    <w:rsid w:val="0025501E"/>
    <w:rsid w:val="002551F0"/>
    <w:rsid w:val="002618A5"/>
    <w:rsid w:val="00261E4C"/>
    <w:rsid w:val="00262B63"/>
    <w:rsid w:val="00263781"/>
    <w:rsid w:val="0026534B"/>
    <w:rsid w:val="002659E7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22FA"/>
    <w:rsid w:val="00286250"/>
    <w:rsid w:val="00290978"/>
    <w:rsid w:val="00290EE1"/>
    <w:rsid w:val="00292D84"/>
    <w:rsid w:val="002943EA"/>
    <w:rsid w:val="00294582"/>
    <w:rsid w:val="0029512B"/>
    <w:rsid w:val="002A03BB"/>
    <w:rsid w:val="002A04BB"/>
    <w:rsid w:val="002A1750"/>
    <w:rsid w:val="002A3C92"/>
    <w:rsid w:val="002A3D98"/>
    <w:rsid w:val="002A593F"/>
    <w:rsid w:val="002A7B93"/>
    <w:rsid w:val="002B1B71"/>
    <w:rsid w:val="002B2F7C"/>
    <w:rsid w:val="002C01E5"/>
    <w:rsid w:val="002C09FF"/>
    <w:rsid w:val="002C15E7"/>
    <w:rsid w:val="002C1892"/>
    <w:rsid w:val="002C1EBA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3E9F"/>
    <w:rsid w:val="002E5249"/>
    <w:rsid w:val="002E718B"/>
    <w:rsid w:val="002E71B2"/>
    <w:rsid w:val="002E760F"/>
    <w:rsid w:val="002F2723"/>
    <w:rsid w:val="002F3082"/>
    <w:rsid w:val="002F3693"/>
    <w:rsid w:val="002F693B"/>
    <w:rsid w:val="002F6FAA"/>
    <w:rsid w:val="002F7515"/>
    <w:rsid w:val="00301015"/>
    <w:rsid w:val="0030203C"/>
    <w:rsid w:val="0030375D"/>
    <w:rsid w:val="003042F3"/>
    <w:rsid w:val="0030687C"/>
    <w:rsid w:val="00306E93"/>
    <w:rsid w:val="0031050B"/>
    <w:rsid w:val="00314161"/>
    <w:rsid w:val="00322F0D"/>
    <w:rsid w:val="003253E4"/>
    <w:rsid w:val="0033226B"/>
    <w:rsid w:val="0033228B"/>
    <w:rsid w:val="003334D0"/>
    <w:rsid w:val="00340889"/>
    <w:rsid w:val="00341409"/>
    <w:rsid w:val="00345DC9"/>
    <w:rsid w:val="00346DB2"/>
    <w:rsid w:val="003479D1"/>
    <w:rsid w:val="00351ECC"/>
    <w:rsid w:val="00355598"/>
    <w:rsid w:val="003561FD"/>
    <w:rsid w:val="00357632"/>
    <w:rsid w:val="00357B40"/>
    <w:rsid w:val="00360E4F"/>
    <w:rsid w:val="00361497"/>
    <w:rsid w:val="003636A3"/>
    <w:rsid w:val="0036695A"/>
    <w:rsid w:val="00370AA2"/>
    <w:rsid w:val="003711A2"/>
    <w:rsid w:val="00372A9F"/>
    <w:rsid w:val="00372E6E"/>
    <w:rsid w:val="00373EC6"/>
    <w:rsid w:val="00374297"/>
    <w:rsid w:val="00374D53"/>
    <w:rsid w:val="0038013B"/>
    <w:rsid w:val="003812C0"/>
    <w:rsid w:val="00381406"/>
    <w:rsid w:val="003838CB"/>
    <w:rsid w:val="00384C17"/>
    <w:rsid w:val="003856F7"/>
    <w:rsid w:val="00391210"/>
    <w:rsid w:val="00391C7A"/>
    <w:rsid w:val="0039322D"/>
    <w:rsid w:val="00394FD0"/>
    <w:rsid w:val="00395AFD"/>
    <w:rsid w:val="00396A22"/>
    <w:rsid w:val="0039733D"/>
    <w:rsid w:val="003A088A"/>
    <w:rsid w:val="003A1BC2"/>
    <w:rsid w:val="003A2198"/>
    <w:rsid w:val="003A246C"/>
    <w:rsid w:val="003B022D"/>
    <w:rsid w:val="003B2B0A"/>
    <w:rsid w:val="003B2B76"/>
    <w:rsid w:val="003B6028"/>
    <w:rsid w:val="003C0081"/>
    <w:rsid w:val="003C01EE"/>
    <w:rsid w:val="003C07DC"/>
    <w:rsid w:val="003C12F6"/>
    <w:rsid w:val="003C1AEE"/>
    <w:rsid w:val="003C55D0"/>
    <w:rsid w:val="003C71A3"/>
    <w:rsid w:val="003D1137"/>
    <w:rsid w:val="003D2488"/>
    <w:rsid w:val="003D3B42"/>
    <w:rsid w:val="003D438A"/>
    <w:rsid w:val="003D4DFF"/>
    <w:rsid w:val="003D52B5"/>
    <w:rsid w:val="003D688D"/>
    <w:rsid w:val="003D6D3D"/>
    <w:rsid w:val="003D7145"/>
    <w:rsid w:val="003E0755"/>
    <w:rsid w:val="003E0E9E"/>
    <w:rsid w:val="003E3849"/>
    <w:rsid w:val="003E53C0"/>
    <w:rsid w:val="003E5E10"/>
    <w:rsid w:val="003E7142"/>
    <w:rsid w:val="003F2955"/>
    <w:rsid w:val="003F2CDE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15168"/>
    <w:rsid w:val="00420943"/>
    <w:rsid w:val="0042340E"/>
    <w:rsid w:val="004235E7"/>
    <w:rsid w:val="00424DE2"/>
    <w:rsid w:val="00427736"/>
    <w:rsid w:val="0042796C"/>
    <w:rsid w:val="00432469"/>
    <w:rsid w:val="00433CEB"/>
    <w:rsid w:val="00435816"/>
    <w:rsid w:val="00436AC6"/>
    <w:rsid w:val="004373C6"/>
    <w:rsid w:val="00437414"/>
    <w:rsid w:val="004375B5"/>
    <w:rsid w:val="004377E5"/>
    <w:rsid w:val="00440032"/>
    <w:rsid w:val="00440726"/>
    <w:rsid w:val="00444040"/>
    <w:rsid w:val="00444230"/>
    <w:rsid w:val="00444D16"/>
    <w:rsid w:val="004451C3"/>
    <w:rsid w:val="004460DA"/>
    <w:rsid w:val="00452BB2"/>
    <w:rsid w:val="00453865"/>
    <w:rsid w:val="00456307"/>
    <w:rsid w:val="004569E3"/>
    <w:rsid w:val="0045764B"/>
    <w:rsid w:val="00457E6D"/>
    <w:rsid w:val="00467DF0"/>
    <w:rsid w:val="00470073"/>
    <w:rsid w:val="0047098B"/>
    <w:rsid w:val="00470C8E"/>
    <w:rsid w:val="00470E31"/>
    <w:rsid w:val="004714C3"/>
    <w:rsid w:val="00471DD5"/>
    <w:rsid w:val="00473B7D"/>
    <w:rsid w:val="00474D9A"/>
    <w:rsid w:val="004831EB"/>
    <w:rsid w:val="00485EB7"/>
    <w:rsid w:val="00486A49"/>
    <w:rsid w:val="00487227"/>
    <w:rsid w:val="0049592C"/>
    <w:rsid w:val="00496C3A"/>
    <w:rsid w:val="004A2C44"/>
    <w:rsid w:val="004B0C9C"/>
    <w:rsid w:val="004B1090"/>
    <w:rsid w:val="004B1A4B"/>
    <w:rsid w:val="004B30CF"/>
    <w:rsid w:val="004B650F"/>
    <w:rsid w:val="004C0939"/>
    <w:rsid w:val="004C0B5B"/>
    <w:rsid w:val="004C15D0"/>
    <w:rsid w:val="004C2356"/>
    <w:rsid w:val="004C2A5C"/>
    <w:rsid w:val="004C2EB6"/>
    <w:rsid w:val="004C33E5"/>
    <w:rsid w:val="004C4413"/>
    <w:rsid w:val="004C4791"/>
    <w:rsid w:val="004C4FE8"/>
    <w:rsid w:val="004C7672"/>
    <w:rsid w:val="004C7EDE"/>
    <w:rsid w:val="004D188A"/>
    <w:rsid w:val="004D226D"/>
    <w:rsid w:val="004D3E4D"/>
    <w:rsid w:val="004D66CD"/>
    <w:rsid w:val="004D7453"/>
    <w:rsid w:val="004D7D36"/>
    <w:rsid w:val="004E2F40"/>
    <w:rsid w:val="004E3B72"/>
    <w:rsid w:val="004E7F1D"/>
    <w:rsid w:val="004F0BF5"/>
    <w:rsid w:val="004F1536"/>
    <w:rsid w:val="004F2C92"/>
    <w:rsid w:val="004F429D"/>
    <w:rsid w:val="004F55A5"/>
    <w:rsid w:val="004F67C6"/>
    <w:rsid w:val="00501619"/>
    <w:rsid w:val="005018A4"/>
    <w:rsid w:val="00503F39"/>
    <w:rsid w:val="00504611"/>
    <w:rsid w:val="005100F2"/>
    <w:rsid w:val="00513769"/>
    <w:rsid w:val="00513989"/>
    <w:rsid w:val="00521158"/>
    <w:rsid w:val="00522A28"/>
    <w:rsid w:val="00522ADA"/>
    <w:rsid w:val="005252DE"/>
    <w:rsid w:val="00527466"/>
    <w:rsid w:val="00530C9E"/>
    <w:rsid w:val="00531B2D"/>
    <w:rsid w:val="00531F19"/>
    <w:rsid w:val="00532BE0"/>
    <w:rsid w:val="00532F35"/>
    <w:rsid w:val="00532FF4"/>
    <w:rsid w:val="0053405D"/>
    <w:rsid w:val="005350EC"/>
    <w:rsid w:val="005351AC"/>
    <w:rsid w:val="005355F1"/>
    <w:rsid w:val="0053567E"/>
    <w:rsid w:val="00543158"/>
    <w:rsid w:val="00544DCD"/>
    <w:rsid w:val="005468A8"/>
    <w:rsid w:val="00547366"/>
    <w:rsid w:val="00547F36"/>
    <w:rsid w:val="00554ABA"/>
    <w:rsid w:val="00554D73"/>
    <w:rsid w:val="00555470"/>
    <w:rsid w:val="00555847"/>
    <w:rsid w:val="0055643E"/>
    <w:rsid w:val="00560073"/>
    <w:rsid w:val="00562725"/>
    <w:rsid w:val="00563A5F"/>
    <w:rsid w:val="00563E22"/>
    <w:rsid w:val="00564A1B"/>
    <w:rsid w:val="00564B07"/>
    <w:rsid w:val="00565DD0"/>
    <w:rsid w:val="005709D0"/>
    <w:rsid w:val="00572FE5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A0E18"/>
    <w:rsid w:val="005A2A2B"/>
    <w:rsid w:val="005A37C7"/>
    <w:rsid w:val="005A4C0D"/>
    <w:rsid w:val="005A4EDC"/>
    <w:rsid w:val="005A5339"/>
    <w:rsid w:val="005A5C67"/>
    <w:rsid w:val="005A62AA"/>
    <w:rsid w:val="005B1BFE"/>
    <w:rsid w:val="005B1E1A"/>
    <w:rsid w:val="005B2654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0832"/>
    <w:rsid w:val="005D3055"/>
    <w:rsid w:val="005D7268"/>
    <w:rsid w:val="005E1094"/>
    <w:rsid w:val="005E144D"/>
    <w:rsid w:val="005E291C"/>
    <w:rsid w:val="005E3023"/>
    <w:rsid w:val="005E39D3"/>
    <w:rsid w:val="005E5E7A"/>
    <w:rsid w:val="005E68EF"/>
    <w:rsid w:val="005F0CCD"/>
    <w:rsid w:val="005F14F4"/>
    <w:rsid w:val="005F19BF"/>
    <w:rsid w:val="005F2463"/>
    <w:rsid w:val="005F2830"/>
    <w:rsid w:val="005F65EC"/>
    <w:rsid w:val="005F7FDD"/>
    <w:rsid w:val="00602B85"/>
    <w:rsid w:val="00603EA6"/>
    <w:rsid w:val="00606CC6"/>
    <w:rsid w:val="00612941"/>
    <w:rsid w:val="006140D3"/>
    <w:rsid w:val="0061415C"/>
    <w:rsid w:val="006143EE"/>
    <w:rsid w:val="00614D12"/>
    <w:rsid w:val="00615D59"/>
    <w:rsid w:val="00620B6F"/>
    <w:rsid w:val="00621914"/>
    <w:rsid w:val="0062256B"/>
    <w:rsid w:val="0062531B"/>
    <w:rsid w:val="006257B9"/>
    <w:rsid w:val="00625D35"/>
    <w:rsid w:val="00630707"/>
    <w:rsid w:val="00630ACF"/>
    <w:rsid w:val="0063361C"/>
    <w:rsid w:val="00634577"/>
    <w:rsid w:val="006348C7"/>
    <w:rsid w:val="006400FC"/>
    <w:rsid w:val="0064296E"/>
    <w:rsid w:val="00643332"/>
    <w:rsid w:val="00644232"/>
    <w:rsid w:val="0064553D"/>
    <w:rsid w:val="0065159D"/>
    <w:rsid w:val="00654D20"/>
    <w:rsid w:val="00657E0E"/>
    <w:rsid w:val="0066076C"/>
    <w:rsid w:val="006607F0"/>
    <w:rsid w:val="006615C6"/>
    <w:rsid w:val="0066397C"/>
    <w:rsid w:val="00673090"/>
    <w:rsid w:val="00673DBC"/>
    <w:rsid w:val="00676052"/>
    <w:rsid w:val="00676A86"/>
    <w:rsid w:val="006773A3"/>
    <w:rsid w:val="00677818"/>
    <w:rsid w:val="00680AC9"/>
    <w:rsid w:val="00681C57"/>
    <w:rsid w:val="00682690"/>
    <w:rsid w:val="00683206"/>
    <w:rsid w:val="00685131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4BAB"/>
    <w:rsid w:val="00696B30"/>
    <w:rsid w:val="00697E8E"/>
    <w:rsid w:val="00697F4D"/>
    <w:rsid w:val="006A064D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B7B59"/>
    <w:rsid w:val="006C28B2"/>
    <w:rsid w:val="006C2FE9"/>
    <w:rsid w:val="006D0A1A"/>
    <w:rsid w:val="006D0B94"/>
    <w:rsid w:val="006E4EA5"/>
    <w:rsid w:val="006E733C"/>
    <w:rsid w:val="006F14DA"/>
    <w:rsid w:val="006F1D7D"/>
    <w:rsid w:val="006F2732"/>
    <w:rsid w:val="006F3A55"/>
    <w:rsid w:val="006F458B"/>
    <w:rsid w:val="006F4C6A"/>
    <w:rsid w:val="006F6438"/>
    <w:rsid w:val="006F720E"/>
    <w:rsid w:val="006F7843"/>
    <w:rsid w:val="007015A4"/>
    <w:rsid w:val="00701DCF"/>
    <w:rsid w:val="00703E91"/>
    <w:rsid w:val="0070435A"/>
    <w:rsid w:val="007074CE"/>
    <w:rsid w:val="00710990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18A2"/>
    <w:rsid w:val="00731C73"/>
    <w:rsid w:val="0073224B"/>
    <w:rsid w:val="007348BF"/>
    <w:rsid w:val="00736284"/>
    <w:rsid w:val="00736987"/>
    <w:rsid w:val="00736E2A"/>
    <w:rsid w:val="00740206"/>
    <w:rsid w:val="0074390B"/>
    <w:rsid w:val="0074400B"/>
    <w:rsid w:val="007458DA"/>
    <w:rsid w:val="00745A5D"/>
    <w:rsid w:val="007479EB"/>
    <w:rsid w:val="00751933"/>
    <w:rsid w:val="00755B83"/>
    <w:rsid w:val="00756DD3"/>
    <w:rsid w:val="00763D18"/>
    <w:rsid w:val="007657AC"/>
    <w:rsid w:val="00767A18"/>
    <w:rsid w:val="00770422"/>
    <w:rsid w:val="0077049F"/>
    <w:rsid w:val="00772774"/>
    <w:rsid w:val="00773569"/>
    <w:rsid w:val="007748DA"/>
    <w:rsid w:val="007763EB"/>
    <w:rsid w:val="0078027E"/>
    <w:rsid w:val="00781475"/>
    <w:rsid w:val="00784A58"/>
    <w:rsid w:val="00784D09"/>
    <w:rsid w:val="0078681E"/>
    <w:rsid w:val="00790333"/>
    <w:rsid w:val="0079228B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4E1A"/>
    <w:rsid w:val="007E52C0"/>
    <w:rsid w:val="007E5921"/>
    <w:rsid w:val="007E7564"/>
    <w:rsid w:val="007F37AA"/>
    <w:rsid w:val="007F3839"/>
    <w:rsid w:val="007F3A07"/>
    <w:rsid w:val="007F5CE0"/>
    <w:rsid w:val="007F731C"/>
    <w:rsid w:val="007F7471"/>
    <w:rsid w:val="008007E3"/>
    <w:rsid w:val="00800C6E"/>
    <w:rsid w:val="00801B01"/>
    <w:rsid w:val="00801DAA"/>
    <w:rsid w:val="008020F1"/>
    <w:rsid w:val="00802E92"/>
    <w:rsid w:val="00803C05"/>
    <w:rsid w:val="00807C1A"/>
    <w:rsid w:val="0081134A"/>
    <w:rsid w:val="008115D5"/>
    <w:rsid w:val="008121F5"/>
    <w:rsid w:val="00814135"/>
    <w:rsid w:val="00815EB6"/>
    <w:rsid w:val="00817B03"/>
    <w:rsid w:val="008207F8"/>
    <w:rsid w:val="00820F37"/>
    <w:rsid w:val="00825D05"/>
    <w:rsid w:val="00826758"/>
    <w:rsid w:val="0082713D"/>
    <w:rsid w:val="00827614"/>
    <w:rsid w:val="00831A90"/>
    <w:rsid w:val="0083240B"/>
    <w:rsid w:val="00833061"/>
    <w:rsid w:val="00834741"/>
    <w:rsid w:val="008405A5"/>
    <w:rsid w:val="00841A6A"/>
    <w:rsid w:val="00847083"/>
    <w:rsid w:val="008502CA"/>
    <w:rsid w:val="00850F85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0FEF"/>
    <w:rsid w:val="00881029"/>
    <w:rsid w:val="008831F2"/>
    <w:rsid w:val="00883207"/>
    <w:rsid w:val="00884EC1"/>
    <w:rsid w:val="0088523C"/>
    <w:rsid w:val="0088685F"/>
    <w:rsid w:val="00890E15"/>
    <w:rsid w:val="008910B0"/>
    <w:rsid w:val="00891918"/>
    <w:rsid w:val="00893422"/>
    <w:rsid w:val="0089383A"/>
    <w:rsid w:val="00893A53"/>
    <w:rsid w:val="00896D57"/>
    <w:rsid w:val="008A271D"/>
    <w:rsid w:val="008A4C60"/>
    <w:rsid w:val="008A547A"/>
    <w:rsid w:val="008A61A2"/>
    <w:rsid w:val="008A68CA"/>
    <w:rsid w:val="008A6F95"/>
    <w:rsid w:val="008B06E9"/>
    <w:rsid w:val="008B304B"/>
    <w:rsid w:val="008B3AE5"/>
    <w:rsid w:val="008B508E"/>
    <w:rsid w:val="008B5ABA"/>
    <w:rsid w:val="008B5BA7"/>
    <w:rsid w:val="008B7A4B"/>
    <w:rsid w:val="008C015E"/>
    <w:rsid w:val="008C72FD"/>
    <w:rsid w:val="008D1ECE"/>
    <w:rsid w:val="008D3EF8"/>
    <w:rsid w:val="008D7622"/>
    <w:rsid w:val="008D7823"/>
    <w:rsid w:val="008D78FC"/>
    <w:rsid w:val="008E075B"/>
    <w:rsid w:val="008E0ACF"/>
    <w:rsid w:val="008E13CA"/>
    <w:rsid w:val="008E1544"/>
    <w:rsid w:val="008E2206"/>
    <w:rsid w:val="008E65B8"/>
    <w:rsid w:val="008E7344"/>
    <w:rsid w:val="008F23DD"/>
    <w:rsid w:val="008F34B0"/>
    <w:rsid w:val="008F3C09"/>
    <w:rsid w:val="008F42A2"/>
    <w:rsid w:val="008F4679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2739"/>
    <w:rsid w:val="00913085"/>
    <w:rsid w:val="009167AD"/>
    <w:rsid w:val="00916F97"/>
    <w:rsid w:val="00920C85"/>
    <w:rsid w:val="00920FBD"/>
    <w:rsid w:val="009210B9"/>
    <w:rsid w:val="0092178B"/>
    <w:rsid w:val="00921E57"/>
    <w:rsid w:val="00922A82"/>
    <w:rsid w:val="00923033"/>
    <w:rsid w:val="0092698D"/>
    <w:rsid w:val="00927722"/>
    <w:rsid w:val="00930B6B"/>
    <w:rsid w:val="009346F1"/>
    <w:rsid w:val="00935C16"/>
    <w:rsid w:val="00936B83"/>
    <w:rsid w:val="00941FC3"/>
    <w:rsid w:val="00942877"/>
    <w:rsid w:val="00943B81"/>
    <w:rsid w:val="00944503"/>
    <w:rsid w:val="00946070"/>
    <w:rsid w:val="00947127"/>
    <w:rsid w:val="0094779E"/>
    <w:rsid w:val="00947F11"/>
    <w:rsid w:val="00951894"/>
    <w:rsid w:val="00955552"/>
    <w:rsid w:val="009555C0"/>
    <w:rsid w:val="0095579B"/>
    <w:rsid w:val="00956BD7"/>
    <w:rsid w:val="0095768B"/>
    <w:rsid w:val="00960E9F"/>
    <w:rsid w:val="0096101C"/>
    <w:rsid w:val="00961096"/>
    <w:rsid w:val="009643C5"/>
    <w:rsid w:val="00965918"/>
    <w:rsid w:val="00970900"/>
    <w:rsid w:val="009713BB"/>
    <w:rsid w:val="0097494A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6A41"/>
    <w:rsid w:val="0098746E"/>
    <w:rsid w:val="0099326D"/>
    <w:rsid w:val="00994EA0"/>
    <w:rsid w:val="00995783"/>
    <w:rsid w:val="009963FA"/>
    <w:rsid w:val="009A17EF"/>
    <w:rsid w:val="009A21A1"/>
    <w:rsid w:val="009A358F"/>
    <w:rsid w:val="009A5A4E"/>
    <w:rsid w:val="009A6B1D"/>
    <w:rsid w:val="009B15F5"/>
    <w:rsid w:val="009B1E70"/>
    <w:rsid w:val="009B2239"/>
    <w:rsid w:val="009B27D0"/>
    <w:rsid w:val="009B4299"/>
    <w:rsid w:val="009B649C"/>
    <w:rsid w:val="009B6A09"/>
    <w:rsid w:val="009B6B10"/>
    <w:rsid w:val="009B6D48"/>
    <w:rsid w:val="009C0A96"/>
    <w:rsid w:val="009C2814"/>
    <w:rsid w:val="009C2E37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7AB"/>
    <w:rsid w:val="009E7BB2"/>
    <w:rsid w:val="009E7C5F"/>
    <w:rsid w:val="009F23D0"/>
    <w:rsid w:val="009F2611"/>
    <w:rsid w:val="009F2ABB"/>
    <w:rsid w:val="009F2E84"/>
    <w:rsid w:val="009F4C86"/>
    <w:rsid w:val="009F6901"/>
    <w:rsid w:val="009F6C82"/>
    <w:rsid w:val="009F737B"/>
    <w:rsid w:val="00A04169"/>
    <w:rsid w:val="00A10EEB"/>
    <w:rsid w:val="00A1235C"/>
    <w:rsid w:val="00A13A0E"/>
    <w:rsid w:val="00A153D4"/>
    <w:rsid w:val="00A169AB"/>
    <w:rsid w:val="00A17BB5"/>
    <w:rsid w:val="00A17CC0"/>
    <w:rsid w:val="00A206A7"/>
    <w:rsid w:val="00A21CC7"/>
    <w:rsid w:val="00A24F90"/>
    <w:rsid w:val="00A270A6"/>
    <w:rsid w:val="00A27E84"/>
    <w:rsid w:val="00A30577"/>
    <w:rsid w:val="00A31A16"/>
    <w:rsid w:val="00A3252C"/>
    <w:rsid w:val="00A33E95"/>
    <w:rsid w:val="00A346F6"/>
    <w:rsid w:val="00A348D3"/>
    <w:rsid w:val="00A36161"/>
    <w:rsid w:val="00A361A1"/>
    <w:rsid w:val="00A369D2"/>
    <w:rsid w:val="00A36E9D"/>
    <w:rsid w:val="00A3798F"/>
    <w:rsid w:val="00A426B3"/>
    <w:rsid w:val="00A4611C"/>
    <w:rsid w:val="00A50090"/>
    <w:rsid w:val="00A506ED"/>
    <w:rsid w:val="00A50AA1"/>
    <w:rsid w:val="00A50D44"/>
    <w:rsid w:val="00A5150C"/>
    <w:rsid w:val="00A5288F"/>
    <w:rsid w:val="00A555E5"/>
    <w:rsid w:val="00A5724A"/>
    <w:rsid w:val="00A617FC"/>
    <w:rsid w:val="00A6277E"/>
    <w:rsid w:val="00A63477"/>
    <w:rsid w:val="00A64B0D"/>
    <w:rsid w:val="00A65F9F"/>
    <w:rsid w:val="00A67C76"/>
    <w:rsid w:val="00A70DB5"/>
    <w:rsid w:val="00A71B9C"/>
    <w:rsid w:val="00A7569E"/>
    <w:rsid w:val="00A777A6"/>
    <w:rsid w:val="00A81164"/>
    <w:rsid w:val="00A82AEB"/>
    <w:rsid w:val="00A82C6A"/>
    <w:rsid w:val="00A8395C"/>
    <w:rsid w:val="00A84932"/>
    <w:rsid w:val="00A84F90"/>
    <w:rsid w:val="00A86D2B"/>
    <w:rsid w:val="00A9033E"/>
    <w:rsid w:val="00A925FD"/>
    <w:rsid w:val="00A94891"/>
    <w:rsid w:val="00A9595A"/>
    <w:rsid w:val="00A965D5"/>
    <w:rsid w:val="00A97F57"/>
    <w:rsid w:val="00AA1CDD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D5E51"/>
    <w:rsid w:val="00AE5C5B"/>
    <w:rsid w:val="00AE6814"/>
    <w:rsid w:val="00AF1433"/>
    <w:rsid w:val="00AF1B6F"/>
    <w:rsid w:val="00AF39F3"/>
    <w:rsid w:val="00AF4274"/>
    <w:rsid w:val="00AF7697"/>
    <w:rsid w:val="00B00F53"/>
    <w:rsid w:val="00B01EAA"/>
    <w:rsid w:val="00B02736"/>
    <w:rsid w:val="00B03FFD"/>
    <w:rsid w:val="00B07395"/>
    <w:rsid w:val="00B114C9"/>
    <w:rsid w:val="00B12D4D"/>
    <w:rsid w:val="00B13397"/>
    <w:rsid w:val="00B147AC"/>
    <w:rsid w:val="00B15277"/>
    <w:rsid w:val="00B15626"/>
    <w:rsid w:val="00B1697E"/>
    <w:rsid w:val="00B248E4"/>
    <w:rsid w:val="00B25CBB"/>
    <w:rsid w:val="00B260F3"/>
    <w:rsid w:val="00B30036"/>
    <w:rsid w:val="00B34ED6"/>
    <w:rsid w:val="00B34F95"/>
    <w:rsid w:val="00B40061"/>
    <w:rsid w:val="00B42593"/>
    <w:rsid w:val="00B42E03"/>
    <w:rsid w:val="00B43AE9"/>
    <w:rsid w:val="00B45B9A"/>
    <w:rsid w:val="00B467C4"/>
    <w:rsid w:val="00B46BCA"/>
    <w:rsid w:val="00B504FD"/>
    <w:rsid w:val="00B53BEA"/>
    <w:rsid w:val="00B54731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16D"/>
    <w:rsid w:val="00B77B3D"/>
    <w:rsid w:val="00B77FDF"/>
    <w:rsid w:val="00B833AF"/>
    <w:rsid w:val="00B84178"/>
    <w:rsid w:val="00B86960"/>
    <w:rsid w:val="00B91776"/>
    <w:rsid w:val="00B95B06"/>
    <w:rsid w:val="00B95E39"/>
    <w:rsid w:val="00B96E6A"/>
    <w:rsid w:val="00BA095C"/>
    <w:rsid w:val="00BA4B70"/>
    <w:rsid w:val="00BA5126"/>
    <w:rsid w:val="00BA65AE"/>
    <w:rsid w:val="00BB35B8"/>
    <w:rsid w:val="00BB6156"/>
    <w:rsid w:val="00BB6EB8"/>
    <w:rsid w:val="00BB78CD"/>
    <w:rsid w:val="00BB7951"/>
    <w:rsid w:val="00BC02A5"/>
    <w:rsid w:val="00BC47A7"/>
    <w:rsid w:val="00BC5D6B"/>
    <w:rsid w:val="00BC5DF3"/>
    <w:rsid w:val="00BC6570"/>
    <w:rsid w:val="00BD047A"/>
    <w:rsid w:val="00BD0942"/>
    <w:rsid w:val="00BD31E3"/>
    <w:rsid w:val="00BD42D1"/>
    <w:rsid w:val="00BD4F04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E7C05"/>
    <w:rsid w:val="00BF234B"/>
    <w:rsid w:val="00BF2D35"/>
    <w:rsid w:val="00BF323E"/>
    <w:rsid w:val="00BF37B3"/>
    <w:rsid w:val="00BF4EB5"/>
    <w:rsid w:val="00BF64EC"/>
    <w:rsid w:val="00BF7809"/>
    <w:rsid w:val="00C001CB"/>
    <w:rsid w:val="00C005DD"/>
    <w:rsid w:val="00C0179F"/>
    <w:rsid w:val="00C01D60"/>
    <w:rsid w:val="00C029CD"/>
    <w:rsid w:val="00C02C4B"/>
    <w:rsid w:val="00C03109"/>
    <w:rsid w:val="00C05170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5111F"/>
    <w:rsid w:val="00C577E9"/>
    <w:rsid w:val="00C61F71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31C"/>
    <w:rsid w:val="00C8536D"/>
    <w:rsid w:val="00C85CB7"/>
    <w:rsid w:val="00C85F4B"/>
    <w:rsid w:val="00C9035C"/>
    <w:rsid w:val="00C93994"/>
    <w:rsid w:val="00C94A57"/>
    <w:rsid w:val="00C95C9C"/>
    <w:rsid w:val="00CA1ABC"/>
    <w:rsid w:val="00CA352D"/>
    <w:rsid w:val="00CA4252"/>
    <w:rsid w:val="00CA4866"/>
    <w:rsid w:val="00CA4A9C"/>
    <w:rsid w:val="00CA5708"/>
    <w:rsid w:val="00CA6791"/>
    <w:rsid w:val="00CA686F"/>
    <w:rsid w:val="00CA7467"/>
    <w:rsid w:val="00CA7FF8"/>
    <w:rsid w:val="00CB212C"/>
    <w:rsid w:val="00CB2750"/>
    <w:rsid w:val="00CB35CF"/>
    <w:rsid w:val="00CB36E1"/>
    <w:rsid w:val="00CB4D31"/>
    <w:rsid w:val="00CB4F24"/>
    <w:rsid w:val="00CB7065"/>
    <w:rsid w:val="00CB7E22"/>
    <w:rsid w:val="00CC0F0E"/>
    <w:rsid w:val="00CC3341"/>
    <w:rsid w:val="00CC4138"/>
    <w:rsid w:val="00CC46E3"/>
    <w:rsid w:val="00CD22A0"/>
    <w:rsid w:val="00CD2BF9"/>
    <w:rsid w:val="00CD6ECB"/>
    <w:rsid w:val="00CD7186"/>
    <w:rsid w:val="00CD7A0C"/>
    <w:rsid w:val="00CE1FB8"/>
    <w:rsid w:val="00CE356E"/>
    <w:rsid w:val="00CE4311"/>
    <w:rsid w:val="00CE47A6"/>
    <w:rsid w:val="00CE540E"/>
    <w:rsid w:val="00CE5766"/>
    <w:rsid w:val="00CE771A"/>
    <w:rsid w:val="00CE7AA5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4193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36DD4"/>
    <w:rsid w:val="00D40C0B"/>
    <w:rsid w:val="00D41D84"/>
    <w:rsid w:val="00D41E82"/>
    <w:rsid w:val="00D42B62"/>
    <w:rsid w:val="00D43E0C"/>
    <w:rsid w:val="00D441EE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535E"/>
    <w:rsid w:val="00D67B22"/>
    <w:rsid w:val="00D71E4F"/>
    <w:rsid w:val="00D73639"/>
    <w:rsid w:val="00D7571A"/>
    <w:rsid w:val="00D75767"/>
    <w:rsid w:val="00D76188"/>
    <w:rsid w:val="00D762F2"/>
    <w:rsid w:val="00D766D5"/>
    <w:rsid w:val="00D77ED2"/>
    <w:rsid w:val="00D80797"/>
    <w:rsid w:val="00D80BBB"/>
    <w:rsid w:val="00D80C0D"/>
    <w:rsid w:val="00D80D2D"/>
    <w:rsid w:val="00D816AD"/>
    <w:rsid w:val="00D81D52"/>
    <w:rsid w:val="00D8224C"/>
    <w:rsid w:val="00D82718"/>
    <w:rsid w:val="00D82C0A"/>
    <w:rsid w:val="00D86096"/>
    <w:rsid w:val="00D86AEE"/>
    <w:rsid w:val="00D91753"/>
    <w:rsid w:val="00D92C3F"/>
    <w:rsid w:val="00D95498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4F0"/>
    <w:rsid w:val="00DA5A7B"/>
    <w:rsid w:val="00DA6279"/>
    <w:rsid w:val="00DA68BE"/>
    <w:rsid w:val="00DA68E2"/>
    <w:rsid w:val="00DA7C99"/>
    <w:rsid w:val="00DB27F9"/>
    <w:rsid w:val="00DB4201"/>
    <w:rsid w:val="00DC2351"/>
    <w:rsid w:val="00DC449E"/>
    <w:rsid w:val="00DC568A"/>
    <w:rsid w:val="00DC56D3"/>
    <w:rsid w:val="00DC6AB9"/>
    <w:rsid w:val="00DC6F61"/>
    <w:rsid w:val="00DD0281"/>
    <w:rsid w:val="00DD4B7B"/>
    <w:rsid w:val="00DD5526"/>
    <w:rsid w:val="00DD74DF"/>
    <w:rsid w:val="00DE05BB"/>
    <w:rsid w:val="00DE096E"/>
    <w:rsid w:val="00DE42E0"/>
    <w:rsid w:val="00DF0CED"/>
    <w:rsid w:val="00DF3C8C"/>
    <w:rsid w:val="00DF3DFA"/>
    <w:rsid w:val="00DF6C7E"/>
    <w:rsid w:val="00E007C9"/>
    <w:rsid w:val="00E00833"/>
    <w:rsid w:val="00E00987"/>
    <w:rsid w:val="00E01008"/>
    <w:rsid w:val="00E02B82"/>
    <w:rsid w:val="00E0401B"/>
    <w:rsid w:val="00E04C15"/>
    <w:rsid w:val="00E1151E"/>
    <w:rsid w:val="00E13558"/>
    <w:rsid w:val="00E13656"/>
    <w:rsid w:val="00E14039"/>
    <w:rsid w:val="00E17308"/>
    <w:rsid w:val="00E20DAD"/>
    <w:rsid w:val="00E2206A"/>
    <w:rsid w:val="00E24085"/>
    <w:rsid w:val="00E30ADE"/>
    <w:rsid w:val="00E326CC"/>
    <w:rsid w:val="00E3395B"/>
    <w:rsid w:val="00E33AC1"/>
    <w:rsid w:val="00E33F2D"/>
    <w:rsid w:val="00E348FA"/>
    <w:rsid w:val="00E36806"/>
    <w:rsid w:val="00E40494"/>
    <w:rsid w:val="00E44465"/>
    <w:rsid w:val="00E444EB"/>
    <w:rsid w:val="00E4511B"/>
    <w:rsid w:val="00E456A5"/>
    <w:rsid w:val="00E47A49"/>
    <w:rsid w:val="00E50BA9"/>
    <w:rsid w:val="00E52618"/>
    <w:rsid w:val="00E56964"/>
    <w:rsid w:val="00E56D62"/>
    <w:rsid w:val="00E571F1"/>
    <w:rsid w:val="00E63DF2"/>
    <w:rsid w:val="00E6431E"/>
    <w:rsid w:val="00E65B9F"/>
    <w:rsid w:val="00E66389"/>
    <w:rsid w:val="00E717C7"/>
    <w:rsid w:val="00E7418F"/>
    <w:rsid w:val="00E7759A"/>
    <w:rsid w:val="00E807AA"/>
    <w:rsid w:val="00E8466D"/>
    <w:rsid w:val="00E847EB"/>
    <w:rsid w:val="00E84A42"/>
    <w:rsid w:val="00E84B2E"/>
    <w:rsid w:val="00E86958"/>
    <w:rsid w:val="00E87EE0"/>
    <w:rsid w:val="00E909DF"/>
    <w:rsid w:val="00E91149"/>
    <w:rsid w:val="00E91831"/>
    <w:rsid w:val="00E93E8F"/>
    <w:rsid w:val="00E966EF"/>
    <w:rsid w:val="00E97168"/>
    <w:rsid w:val="00E9746D"/>
    <w:rsid w:val="00EA256D"/>
    <w:rsid w:val="00EA2EDA"/>
    <w:rsid w:val="00EA30CC"/>
    <w:rsid w:val="00EA45A8"/>
    <w:rsid w:val="00EA4CA6"/>
    <w:rsid w:val="00EA54C9"/>
    <w:rsid w:val="00EA7C4F"/>
    <w:rsid w:val="00EA7CAD"/>
    <w:rsid w:val="00EB16F2"/>
    <w:rsid w:val="00EB1FA1"/>
    <w:rsid w:val="00EB21CF"/>
    <w:rsid w:val="00EB2CFD"/>
    <w:rsid w:val="00EB31DC"/>
    <w:rsid w:val="00EB3931"/>
    <w:rsid w:val="00EB3A3C"/>
    <w:rsid w:val="00EB3A78"/>
    <w:rsid w:val="00EB3F96"/>
    <w:rsid w:val="00EB5650"/>
    <w:rsid w:val="00EB56B6"/>
    <w:rsid w:val="00EB62DC"/>
    <w:rsid w:val="00EB6482"/>
    <w:rsid w:val="00EB65ED"/>
    <w:rsid w:val="00EC0411"/>
    <w:rsid w:val="00EC11BD"/>
    <w:rsid w:val="00EC183E"/>
    <w:rsid w:val="00EC3459"/>
    <w:rsid w:val="00EC6DA0"/>
    <w:rsid w:val="00EC7268"/>
    <w:rsid w:val="00EC7DA9"/>
    <w:rsid w:val="00ED1579"/>
    <w:rsid w:val="00ED3080"/>
    <w:rsid w:val="00ED4C24"/>
    <w:rsid w:val="00ED6A8F"/>
    <w:rsid w:val="00ED7238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473B"/>
    <w:rsid w:val="00EF6A67"/>
    <w:rsid w:val="00EF6CA3"/>
    <w:rsid w:val="00EF7638"/>
    <w:rsid w:val="00F001CD"/>
    <w:rsid w:val="00F077A4"/>
    <w:rsid w:val="00F12F38"/>
    <w:rsid w:val="00F15D9A"/>
    <w:rsid w:val="00F16629"/>
    <w:rsid w:val="00F17675"/>
    <w:rsid w:val="00F212F6"/>
    <w:rsid w:val="00F21B7F"/>
    <w:rsid w:val="00F2266C"/>
    <w:rsid w:val="00F234BB"/>
    <w:rsid w:val="00F338D3"/>
    <w:rsid w:val="00F346D5"/>
    <w:rsid w:val="00F34E3B"/>
    <w:rsid w:val="00F35A00"/>
    <w:rsid w:val="00F369A5"/>
    <w:rsid w:val="00F36E9F"/>
    <w:rsid w:val="00F4224F"/>
    <w:rsid w:val="00F42998"/>
    <w:rsid w:val="00F45E41"/>
    <w:rsid w:val="00F50C11"/>
    <w:rsid w:val="00F513C1"/>
    <w:rsid w:val="00F532E7"/>
    <w:rsid w:val="00F53F3B"/>
    <w:rsid w:val="00F562A9"/>
    <w:rsid w:val="00F62A38"/>
    <w:rsid w:val="00F6389D"/>
    <w:rsid w:val="00F66834"/>
    <w:rsid w:val="00F668E2"/>
    <w:rsid w:val="00F67410"/>
    <w:rsid w:val="00F715DF"/>
    <w:rsid w:val="00F715E4"/>
    <w:rsid w:val="00F72EA6"/>
    <w:rsid w:val="00F74B6A"/>
    <w:rsid w:val="00F75BD6"/>
    <w:rsid w:val="00F75F81"/>
    <w:rsid w:val="00F76C43"/>
    <w:rsid w:val="00F771E0"/>
    <w:rsid w:val="00F80C1E"/>
    <w:rsid w:val="00F842DC"/>
    <w:rsid w:val="00F846F1"/>
    <w:rsid w:val="00F85EBE"/>
    <w:rsid w:val="00F863E6"/>
    <w:rsid w:val="00F94183"/>
    <w:rsid w:val="00F95565"/>
    <w:rsid w:val="00F962E9"/>
    <w:rsid w:val="00FA0351"/>
    <w:rsid w:val="00FA1816"/>
    <w:rsid w:val="00FA1C64"/>
    <w:rsid w:val="00FA2E44"/>
    <w:rsid w:val="00FA41E8"/>
    <w:rsid w:val="00FA41EB"/>
    <w:rsid w:val="00FA4995"/>
    <w:rsid w:val="00FA52D2"/>
    <w:rsid w:val="00FA617D"/>
    <w:rsid w:val="00FA6DB3"/>
    <w:rsid w:val="00FA7002"/>
    <w:rsid w:val="00FA7B80"/>
    <w:rsid w:val="00FB08BA"/>
    <w:rsid w:val="00FB32BA"/>
    <w:rsid w:val="00FB4020"/>
    <w:rsid w:val="00FB5411"/>
    <w:rsid w:val="00FB5A17"/>
    <w:rsid w:val="00FB6C21"/>
    <w:rsid w:val="00FC0717"/>
    <w:rsid w:val="00FC07DA"/>
    <w:rsid w:val="00FC2CDB"/>
    <w:rsid w:val="00FC52E4"/>
    <w:rsid w:val="00FD13E0"/>
    <w:rsid w:val="00FD15FF"/>
    <w:rsid w:val="00FD3514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A7494A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3069CDD"/>
    <w:rsid w:val="3652F5EE"/>
    <w:rsid w:val="3A495CB0"/>
    <w:rsid w:val="3DF5A1E1"/>
    <w:rsid w:val="41E261AB"/>
    <w:rsid w:val="48DFD613"/>
    <w:rsid w:val="4A21B069"/>
    <w:rsid w:val="4D28327C"/>
    <w:rsid w:val="505EFDBF"/>
    <w:rsid w:val="51A7C25D"/>
    <w:rsid w:val="5265676D"/>
    <w:rsid w:val="52C63501"/>
    <w:rsid w:val="53669419"/>
    <w:rsid w:val="5A76F758"/>
    <w:rsid w:val="5B4EA9EB"/>
    <w:rsid w:val="634131F8"/>
    <w:rsid w:val="6455FD6D"/>
    <w:rsid w:val="64BF1ABA"/>
    <w:rsid w:val="66BF3A32"/>
    <w:rsid w:val="675A661E"/>
    <w:rsid w:val="68156657"/>
    <w:rsid w:val="6EA1ED8D"/>
    <w:rsid w:val="7851973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E2B1D161-DED9-464F-8ABA-8E30D3C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customStyle="1" w:styleId="y2iqfc">
    <w:name w:val="y2iqfc"/>
    <w:basedOn w:val="Tipodeletrapredefinidodopargrafo"/>
    <w:rsid w:val="00012694"/>
  </w:style>
  <w:style w:type="character" w:customStyle="1" w:styleId="normaltextrun">
    <w:name w:val="normaltextrun"/>
    <w:basedOn w:val="Tipodeletrapredefinidodopargrafo"/>
    <w:rsid w:val="0096101C"/>
  </w:style>
  <w:style w:type="character" w:customStyle="1" w:styleId="eop">
    <w:name w:val="eop"/>
    <w:basedOn w:val="Tipodeletrapredefinidodopargrafo"/>
    <w:rsid w:val="009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38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security/business/microsoft-digital-defense-report?rtc=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security/business/microsoft-digital-defense-report?rtc=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en-us/security/business/microsoft-digital-defense-report?rtc=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fia.lareiro@lift.com.p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a.pereira@lift.com.p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1" ma:contentTypeDescription="Create a new document." ma:contentTypeScope="" ma:versionID="a3c0aa5543ecd926a0b3ef2c51e81138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22f41ed7df95a3f419ebf77a37e56fdf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B955E-199B-42E8-99D0-0C1BBF27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3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458784</vt:i4>
      </vt:variant>
      <vt:variant>
        <vt:i4>9</vt:i4>
      </vt:variant>
      <vt:variant>
        <vt:i4>0</vt:i4>
      </vt:variant>
      <vt:variant>
        <vt:i4>5</vt:i4>
      </vt:variant>
      <vt:variant>
        <vt:lpwstr>mailto:marta.pereira@lift.com.pt</vt:lpwstr>
      </vt:variant>
      <vt:variant>
        <vt:lpwstr/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https://www.microsoft.com/en-us/security/business/microsoft-digital-defense-report?rtc=1</vt:lpwstr>
      </vt:variant>
      <vt:variant>
        <vt:lpwstr/>
      </vt:variant>
      <vt:variant>
        <vt:i4>5242962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https://www.microsoft.com/en-us/security/business/microsoft-digital-defense-report?rtc=1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https://www.microsoft.com/en-us/security/business/microsoft-digital-defense-report?rtc=1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2021-10-11T10:35:00Z</dcterms:created>
  <dcterms:modified xsi:type="dcterms:W3CDTF">2021-10-11T10:35:00Z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