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0B4C9" w14:textId="77777777" w:rsidR="009A233D" w:rsidRDefault="009A233D" w:rsidP="009A233D">
      <w:pPr>
        <w:spacing w:before="240" w:after="240"/>
        <w:rPr>
          <w:rFonts w:eastAsia="Times New Roman" w:cs="Calibri"/>
          <w:b/>
          <w:bCs/>
          <w:color w:val="000000"/>
          <w:sz w:val="32"/>
          <w:szCs w:val="32"/>
          <w:lang w:eastAsia="pl-PL"/>
        </w:rPr>
        <w:sectPr w:rsidR="009A233D" w:rsidSect="00F15856">
          <w:headerReference w:type="even" r:id="rId7"/>
          <w:headerReference w:type="default" r:id="rId8"/>
          <w:headerReference w:type="first" r:id="rId9"/>
          <w:pgSz w:w="11906" w:h="16838"/>
          <w:pgMar w:top="993" w:right="1134" w:bottom="1701" w:left="1134" w:header="709" w:footer="709" w:gutter="0"/>
          <w:cols w:space="708"/>
          <w:titlePg/>
          <w:docGrid w:linePitch="360"/>
        </w:sectPr>
      </w:pPr>
      <w:bookmarkStart w:id="0" w:name="_Hlk73018783"/>
      <w:r>
        <w:rPr>
          <w:rFonts w:eastAsia="Times New Roman" w:cs="Calibri"/>
          <w:b/>
          <w:noProof/>
          <w:color w:val="000000"/>
          <w:sz w:val="32"/>
          <w:szCs w:val="32"/>
          <w:lang w:val="en-US" w:eastAsia="pl-PL"/>
        </w:rPr>
        <w:drawing>
          <wp:inline distT="0" distB="0" distL="0" distR="0" wp14:anchorId="6D807E8B" wp14:editId="75839886">
            <wp:extent cx="6121400" cy="609600"/>
            <wp:effectExtent l="0" t="0" r="0" b="0"/>
            <wp:docPr id="1" name="Obraz 31" descr="Logo PARP Grupa P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Logo PARP Grupa PF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0" cy="609600"/>
                    </a:xfrm>
                    <a:prstGeom prst="rect">
                      <a:avLst/>
                    </a:prstGeom>
                    <a:noFill/>
                    <a:ln>
                      <a:noFill/>
                    </a:ln>
                  </pic:spPr>
                </pic:pic>
              </a:graphicData>
            </a:graphic>
          </wp:inline>
        </w:drawing>
      </w:r>
    </w:p>
    <w:p w14:paraId="7A644447" w14:textId="77777777" w:rsidR="009A233D" w:rsidRPr="0058076F" w:rsidRDefault="009A233D" w:rsidP="009A233D">
      <w:pPr>
        <w:spacing w:after="0" w:line="276" w:lineRule="auto"/>
        <w:rPr>
          <w:rFonts w:cs="Calibri"/>
          <w:sz w:val="24"/>
          <w:szCs w:val="24"/>
        </w:rPr>
      </w:pPr>
    </w:p>
    <w:bookmarkEnd w:id="0"/>
    <w:p w14:paraId="739C6003" w14:textId="77777777" w:rsidR="009A233D" w:rsidRDefault="009A233D" w:rsidP="009A233D">
      <w:pPr>
        <w:spacing w:after="0" w:line="276" w:lineRule="auto"/>
        <w:rPr>
          <w:rFonts w:cs="Calibri"/>
          <w:sz w:val="24"/>
          <w:szCs w:val="24"/>
        </w:rPr>
      </w:pPr>
      <w:r>
        <w:rPr>
          <w:rFonts w:cs="Calibri"/>
          <w:sz w:val="24"/>
          <w:szCs w:val="24"/>
        </w:rPr>
        <w:t>Kontakt dla mediów:</w:t>
      </w:r>
    </w:p>
    <w:p w14:paraId="511C359F" w14:textId="2EFD080D" w:rsidR="009A233D" w:rsidRPr="00906693" w:rsidRDefault="00E14005" w:rsidP="009A233D">
      <w:pPr>
        <w:spacing w:after="0" w:line="276" w:lineRule="auto"/>
        <w:rPr>
          <w:rFonts w:eastAsia="Times New Roman" w:cs="Calibri"/>
          <w:b/>
          <w:bCs/>
          <w:color w:val="000000"/>
          <w:sz w:val="24"/>
          <w:szCs w:val="24"/>
          <w:lang w:eastAsia="pl-PL"/>
        </w:rPr>
      </w:pPr>
      <w:r>
        <w:rPr>
          <w:rFonts w:cs="Calibri"/>
          <w:sz w:val="24"/>
          <w:szCs w:val="24"/>
        </w:rPr>
        <w:t>Luiza Sosnowska</w:t>
      </w:r>
      <w:r w:rsidR="009A233D" w:rsidRPr="00906693">
        <w:rPr>
          <w:rFonts w:cs="Calibri"/>
          <w:sz w:val="24"/>
          <w:szCs w:val="24"/>
        </w:rPr>
        <w:t>, PARP</w:t>
      </w:r>
    </w:p>
    <w:p w14:paraId="4241E935" w14:textId="20E4E3FA" w:rsidR="009A233D" w:rsidRPr="00E14005" w:rsidRDefault="009A233D" w:rsidP="009A233D">
      <w:pPr>
        <w:spacing w:after="0" w:line="276" w:lineRule="auto"/>
        <w:rPr>
          <w:rFonts w:cs="Calibri"/>
          <w:sz w:val="24"/>
          <w:szCs w:val="24"/>
          <w:lang w:val="en-US"/>
        </w:rPr>
      </w:pPr>
      <w:r w:rsidRPr="00E14005">
        <w:rPr>
          <w:rFonts w:cs="Calibri"/>
          <w:sz w:val="24"/>
          <w:szCs w:val="24"/>
          <w:lang w:val="en-US"/>
        </w:rPr>
        <w:t xml:space="preserve">e-mail: </w:t>
      </w:r>
      <w:hyperlink r:id="rId11" w:history="1">
        <w:r w:rsidR="00E14005" w:rsidRPr="00E14005">
          <w:rPr>
            <w:rStyle w:val="Hipercze"/>
            <w:sz w:val="24"/>
            <w:szCs w:val="24"/>
            <w:lang w:val="en-US"/>
          </w:rPr>
          <w:t>luiza_sosnowska@parp.gov.pl</w:t>
        </w:r>
      </w:hyperlink>
      <w:r w:rsidR="00E14005" w:rsidRPr="00E14005">
        <w:rPr>
          <w:sz w:val="24"/>
          <w:szCs w:val="24"/>
          <w:lang w:val="en-US"/>
        </w:rPr>
        <w:t xml:space="preserve"> </w:t>
      </w:r>
    </w:p>
    <w:p w14:paraId="0BD8CDAA" w14:textId="77777777" w:rsidR="009A233D" w:rsidRPr="00343AAD" w:rsidRDefault="009A233D" w:rsidP="009A233D">
      <w:pPr>
        <w:spacing w:after="0" w:line="276" w:lineRule="auto"/>
        <w:rPr>
          <w:rFonts w:cs="Calibri"/>
          <w:sz w:val="24"/>
          <w:szCs w:val="24"/>
        </w:rPr>
      </w:pPr>
    </w:p>
    <w:p w14:paraId="1756A616" w14:textId="77777777" w:rsidR="009A233D" w:rsidRPr="008614C9" w:rsidRDefault="009A233D" w:rsidP="009A233D">
      <w:pPr>
        <w:spacing w:after="0" w:line="276" w:lineRule="auto"/>
        <w:jc w:val="right"/>
        <w:rPr>
          <w:rFonts w:cs="Calibri"/>
          <w:sz w:val="24"/>
          <w:szCs w:val="24"/>
        </w:rPr>
      </w:pPr>
      <w:r w:rsidRPr="008614C9">
        <w:rPr>
          <w:rFonts w:cs="Calibri"/>
          <w:sz w:val="24"/>
          <w:szCs w:val="24"/>
        </w:rPr>
        <w:t>Informacja prasowa</w:t>
      </w:r>
    </w:p>
    <w:p w14:paraId="722E5DBA" w14:textId="0F058277" w:rsidR="009A233D" w:rsidRPr="008614C9" w:rsidRDefault="009A233D" w:rsidP="009A233D">
      <w:pPr>
        <w:spacing w:after="0" w:line="276" w:lineRule="auto"/>
        <w:jc w:val="right"/>
        <w:rPr>
          <w:rFonts w:cs="Calibri"/>
          <w:sz w:val="24"/>
          <w:szCs w:val="24"/>
        </w:rPr>
      </w:pPr>
      <w:r w:rsidRPr="008614C9">
        <w:rPr>
          <w:rFonts w:cs="Calibri"/>
          <w:sz w:val="24"/>
          <w:szCs w:val="24"/>
        </w:rPr>
        <w:t xml:space="preserve">Warszawa, </w:t>
      </w:r>
      <w:r w:rsidR="00D13A41">
        <w:rPr>
          <w:rFonts w:cs="Calibri"/>
          <w:sz w:val="24"/>
          <w:szCs w:val="24"/>
        </w:rPr>
        <w:t>22</w:t>
      </w:r>
      <w:r w:rsidRPr="008614C9">
        <w:rPr>
          <w:rFonts w:cs="Calibri"/>
          <w:sz w:val="24"/>
          <w:szCs w:val="24"/>
        </w:rPr>
        <w:t>.</w:t>
      </w:r>
      <w:r w:rsidR="00343AAD">
        <w:rPr>
          <w:rFonts w:cs="Calibri"/>
          <w:sz w:val="24"/>
          <w:szCs w:val="24"/>
        </w:rPr>
        <w:t>11</w:t>
      </w:r>
      <w:r w:rsidRPr="008614C9">
        <w:rPr>
          <w:rFonts w:cs="Calibri"/>
          <w:sz w:val="24"/>
          <w:szCs w:val="24"/>
        </w:rPr>
        <w:t>.2021 r.</w:t>
      </w:r>
    </w:p>
    <w:p w14:paraId="4998BA71" w14:textId="77777777" w:rsidR="009A233D" w:rsidRDefault="009A233D" w:rsidP="009A233D">
      <w:pPr>
        <w:spacing w:line="276" w:lineRule="auto"/>
        <w:rPr>
          <w:b/>
          <w:sz w:val="34"/>
          <w:szCs w:val="34"/>
        </w:rPr>
        <w:sectPr w:rsidR="009A233D" w:rsidSect="00EE5BCB">
          <w:type w:val="continuous"/>
          <w:pgSz w:w="11906" w:h="16838"/>
          <w:pgMar w:top="1701" w:right="1134" w:bottom="1701" w:left="1134" w:header="709" w:footer="709" w:gutter="0"/>
          <w:cols w:num="2" w:space="708"/>
          <w:docGrid w:linePitch="360"/>
        </w:sectPr>
      </w:pPr>
    </w:p>
    <w:p w14:paraId="1F9008F2" w14:textId="229F2B19" w:rsidR="005B0F7D" w:rsidRPr="00906693" w:rsidRDefault="005B0F7D" w:rsidP="005B0F7D">
      <w:pPr>
        <w:spacing w:after="0" w:line="276" w:lineRule="auto"/>
        <w:rPr>
          <w:rFonts w:cs="Calibri"/>
          <w:sz w:val="24"/>
          <w:szCs w:val="24"/>
        </w:rPr>
      </w:pPr>
      <w:r w:rsidRPr="00906693">
        <w:rPr>
          <w:rFonts w:cs="Calibri"/>
          <w:sz w:val="24"/>
          <w:szCs w:val="24"/>
        </w:rPr>
        <w:t xml:space="preserve">tel.: </w:t>
      </w:r>
      <w:r>
        <w:rPr>
          <w:rFonts w:cs="Calibri"/>
          <w:sz w:val="24"/>
          <w:szCs w:val="24"/>
        </w:rPr>
        <w:t>880 524</w:t>
      </w:r>
      <w:r>
        <w:rPr>
          <w:rFonts w:cs="Calibri"/>
          <w:sz w:val="24"/>
          <w:szCs w:val="24"/>
        </w:rPr>
        <w:t> </w:t>
      </w:r>
      <w:r>
        <w:rPr>
          <w:rFonts w:cs="Calibri"/>
          <w:sz w:val="24"/>
          <w:szCs w:val="24"/>
        </w:rPr>
        <w:t>959</w:t>
      </w:r>
    </w:p>
    <w:p w14:paraId="03355AE5" w14:textId="77777777" w:rsidR="009A233D" w:rsidRDefault="009A233D" w:rsidP="00E14005">
      <w:pPr>
        <w:pStyle w:val="NormalnyWeb"/>
        <w:shd w:val="clear" w:color="auto" w:fill="FFFFFF"/>
        <w:spacing w:before="0" w:beforeAutospacing="0" w:after="240" w:afterAutospacing="0"/>
        <w:rPr>
          <w:rFonts w:ascii="Calibri" w:hAnsi="Calibri" w:cs="Calibri"/>
          <w:color w:val="000000"/>
        </w:rPr>
      </w:pPr>
    </w:p>
    <w:p w14:paraId="0A656FE4" w14:textId="77777777" w:rsidR="00D13A41" w:rsidRPr="00346BC1" w:rsidRDefault="00D13A41" w:rsidP="00D13A41">
      <w:pPr>
        <w:jc w:val="center"/>
        <w:rPr>
          <w:rFonts w:cstheme="minorHAnsi"/>
          <w:b/>
          <w:sz w:val="32"/>
          <w:szCs w:val="32"/>
        </w:rPr>
      </w:pPr>
      <w:r w:rsidRPr="00346BC1">
        <w:rPr>
          <w:rFonts w:cstheme="minorHAnsi"/>
          <w:b/>
          <w:sz w:val="32"/>
          <w:szCs w:val="32"/>
        </w:rPr>
        <w:t>Znamy zwycięzców konkursu „Najlepsze programy rozwoju inicjatyw pracowniczych”</w:t>
      </w:r>
    </w:p>
    <w:p w14:paraId="70823340" w14:textId="77777777" w:rsidR="00D13A41" w:rsidRPr="008D1D48" w:rsidRDefault="00D13A41" w:rsidP="00D13A41">
      <w:pPr>
        <w:pStyle w:val="Tekstkomentarza"/>
        <w:spacing w:before="360" w:after="240" w:line="276" w:lineRule="auto"/>
        <w:rPr>
          <w:rFonts w:cstheme="minorHAnsi"/>
          <w:b/>
          <w:bCs/>
          <w:sz w:val="24"/>
          <w:szCs w:val="24"/>
        </w:rPr>
      </w:pPr>
      <w:r w:rsidRPr="008D1D48">
        <w:rPr>
          <w:rFonts w:cstheme="minorHAnsi"/>
          <w:b/>
          <w:bCs/>
          <w:sz w:val="24"/>
          <w:szCs w:val="24"/>
        </w:rPr>
        <w:t xml:space="preserve">W nowym konkursie, organizowanym przez Polską Agencję Rozwoju Przedsiębiorczości, wyłoniono aż 29 laureatów. Są to </w:t>
      </w:r>
      <w:r w:rsidRPr="00FD10F0">
        <w:rPr>
          <w:rFonts w:cstheme="minorHAnsi"/>
          <w:b/>
          <w:bCs/>
          <w:sz w:val="24"/>
          <w:szCs w:val="24"/>
        </w:rPr>
        <w:t>najlepsze</w:t>
      </w:r>
      <w:r w:rsidRPr="008D1D48">
        <w:rPr>
          <w:rFonts w:cstheme="minorHAnsi"/>
          <w:b/>
          <w:bCs/>
          <w:sz w:val="24"/>
          <w:szCs w:val="24"/>
        </w:rPr>
        <w:t xml:space="preserve"> programy inicjatyw pracowniczych oraz gotowe narzędzia informatyczne</w:t>
      </w:r>
      <w:r>
        <w:rPr>
          <w:rFonts w:cstheme="minorHAnsi"/>
          <w:b/>
          <w:bCs/>
          <w:sz w:val="24"/>
          <w:szCs w:val="24"/>
        </w:rPr>
        <w:t xml:space="preserve">, </w:t>
      </w:r>
      <w:r w:rsidRPr="008D1D48">
        <w:rPr>
          <w:rFonts w:cstheme="minorHAnsi"/>
          <w:b/>
          <w:sz w:val="24"/>
          <w:szCs w:val="24"/>
        </w:rPr>
        <w:t>dzięki którym pracownicy mogą zgłaszać pomysły na usprawnienia w swoich przedsiębiorstwach</w:t>
      </w:r>
      <w:r w:rsidRPr="008D1D48">
        <w:rPr>
          <w:rFonts w:cstheme="minorHAnsi"/>
          <w:b/>
          <w:bCs/>
          <w:sz w:val="24"/>
          <w:szCs w:val="24"/>
        </w:rPr>
        <w:t xml:space="preserve">. </w:t>
      </w:r>
    </w:p>
    <w:p w14:paraId="4DF50BA5" w14:textId="25C3D977" w:rsidR="00D13A41" w:rsidRPr="006B5A19" w:rsidRDefault="00D13A41" w:rsidP="00D13A41">
      <w:pPr>
        <w:pStyle w:val="Tekstkomentarza"/>
        <w:spacing w:before="360" w:after="240" w:line="276" w:lineRule="auto"/>
        <w:rPr>
          <w:rFonts w:cstheme="minorHAnsi"/>
          <w:sz w:val="24"/>
          <w:szCs w:val="24"/>
        </w:rPr>
      </w:pPr>
      <w:r w:rsidRPr="008D1D48">
        <w:rPr>
          <w:rFonts w:cstheme="minorHAnsi"/>
          <w:sz w:val="24"/>
          <w:szCs w:val="24"/>
        </w:rPr>
        <w:t>Konkurs „Najlepsze programy rozwoju inicjatyw pracowniczych”</w:t>
      </w:r>
      <w:r w:rsidR="00076760">
        <w:rPr>
          <w:rFonts w:cstheme="minorHAnsi"/>
          <w:sz w:val="24"/>
          <w:szCs w:val="24"/>
        </w:rPr>
        <w:t xml:space="preserve"> </w:t>
      </w:r>
      <w:r w:rsidRPr="008D1D48">
        <w:rPr>
          <w:rFonts w:cstheme="minorHAnsi"/>
          <w:sz w:val="24"/>
          <w:szCs w:val="24"/>
        </w:rPr>
        <w:t>organizowany był w tym roku po raz pierwszy</w:t>
      </w:r>
      <w:r w:rsidR="005D389E">
        <w:rPr>
          <w:rFonts w:cstheme="minorHAnsi"/>
          <w:sz w:val="24"/>
          <w:szCs w:val="24"/>
        </w:rPr>
        <w:t xml:space="preserve"> w historii PARP</w:t>
      </w:r>
      <w:r w:rsidRPr="008D1D48">
        <w:rPr>
          <w:rFonts w:cstheme="minorHAnsi"/>
          <w:sz w:val="24"/>
          <w:szCs w:val="24"/>
        </w:rPr>
        <w:t xml:space="preserve">. Inicjatywa ta miała </w:t>
      </w:r>
      <w:r w:rsidRPr="006B5A19">
        <w:rPr>
          <w:rFonts w:cstheme="minorHAnsi"/>
          <w:bCs/>
          <w:sz w:val="24"/>
          <w:szCs w:val="24"/>
        </w:rPr>
        <w:t xml:space="preserve">na celu popularyzację w polskich przedsiębiorstwach idei systematycznego włączania pracowników w działania rozwojowe i innowacyjne w firmie. </w:t>
      </w:r>
    </w:p>
    <w:p w14:paraId="4CCC9A46" w14:textId="77777777" w:rsidR="00D13A41" w:rsidRPr="008D1D48" w:rsidRDefault="00D13A41" w:rsidP="00D13A41">
      <w:pPr>
        <w:spacing w:before="360" w:after="240" w:line="276" w:lineRule="auto"/>
        <w:rPr>
          <w:rFonts w:cstheme="minorHAnsi"/>
          <w:sz w:val="24"/>
          <w:szCs w:val="24"/>
        </w:rPr>
      </w:pPr>
      <w:r>
        <w:t>–</w:t>
      </w:r>
      <w:r w:rsidRPr="008D1D48">
        <w:rPr>
          <w:rFonts w:cstheme="minorHAnsi"/>
          <w:sz w:val="24"/>
          <w:szCs w:val="24"/>
        </w:rPr>
        <w:t xml:space="preserve"> Chcieliśmy zachęcić przedsiębiorców do szerszego skorzystania z potencjału zatrudnianych pracowników, do zmian, dzięki którym pracownicy zyskają możliwość zgłaszania swoich pomysłów na usprawnienia bądź innowacje. Działające w firmach programy inicjatyw pracowniczych przyczyniają się bowiem do rozwoju kultury organizacyjnej nastawionej na innowacje i dzielenie się wiedzą. Pozwalają na większe zaangażowanie zespołu w wykonywaną pracę, zwiększenie satysfakcji z pracy, utrzymanie zespołu pracowników</w:t>
      </w:r>
      <w:r>
        <w:rPr>
          <w:rFonts w:cstheme="minorHAnsi"/>
          <w:sz w:val="24"/>
          <w:szCs w:val="24"/>
        </w:rPr>
        <w:t>,</w:t>
      </w:r>
      <w:r w:rsidRPr="008D1D48">
        <w:rPr>
          <w:rFonts w:cstheme="minorHAnsi"/>
          <w:sz w:val="24"/>
          <w:szCs w:val="24"/>
        </w:rPr>
        <w:t xml:space="preserve"> ale też na rozwój firm dzięki wprowadzonym systematycznie udoskonaleniom</w:t>
      </w:r>
      <w:r w:rsidRPr="00346BC1">
        <w:rPr>
          <w:sz w:val="24"/>
          <w:szCs w:val="24"/>
        </w:rPr>
        <w:t xml:space="preserve"> – mówi </w:t>
      </w:r>
      <w:r w:rsidRPr="00346BC1">
        <w:rPr>
          <w:b/>
          <w:sz w:val="24"/>
          <w:szCs w:val="24"/>
        </w:rPr>
        <w:t>Beata Lubos</w:t>
      </w:r>
      <w:r w:rsidRPr="00346BC1">
        <w:rPr>
          <w:sz w:val="24"/>
          <w:szCs w:val="24"/>
        </w:rPr>
        <w:t>, dyrektor Departamentu Innowacji i Polityki Przemysłowej w Ministerstwie Rozwoju i Technologii</w:t>
      </w:r>
      <w:r>
        <w:rPr>
          <w:sz w:val="24"/>
          <w:szCs w:val="24"/>
        </w:rPr>
        <w:t>.</w:t>
      </w:r>
    </w:p>
    <w:p w14:paraId="60474765" w14:textId="77777777" w:rsidR="00D13A41" w:rsidRPr="008D1D48" w:rsidRDefault="00D13A41" w:rsidP="00D13A41">
      <w:pPr>
        <w:spacing w:after="0" w:line="276" w:lineRule="auto"/>
        <w:rPr>
          <w:rFonts w:cstheme="minorHAnsi"/>
          <w:sz w:val="24"/>
          <w:szCs w:val="24"/>
        </w:rPr>
      </w:pPr>
      <w:r w:rsidRPr="008D1D48">
        <w:rPr>
          <w:rFonts w:cstheme="minorHAnsi"/>
          <w:sz w:val="24"/>
          <w:szCs w:val="24"/>
        </w:rPr>
        <w:t>Do konkursu zgłoszonych zostało łącznie 47 wniosków. W kategorii „Program rozwoju inicjatyw pracowniczych” złożono 37 wniosków. W poszczególnych podkategoriach wyglądało to następująco:</w:t>
      </w:r>
    </w:p>
    <w:p w14:paraId="298AD0F9" w14:textId="77777777" w:rsidR="00D13A41" w:rsidRPr="008D1D48" w:rsidRDefault="00D13A41" w:rsidP="00D13A41">
      <w:pPr>
        <w:numPr>
          <w:ilvl w:val="0"/>
          <w:numId w:val="7"/>
        </w:numPr>
        <w:spacing w:after="0" w:line="276" w:lineRule="auto"/>
        <w:rPr>
          <w:rFonts w:cstheme="minorHAnsi"/>
          <w:sz w:val="24"/>
          <w:szCs w:val="24"/>
        </w:rPr>
      </w:pPr>
      <w:r w:rsidRPr="008D1D48">
        <w:rPr>
          <w:rFonts w:cstheme="minorHAnsi"/>
          <w:sz w:val="24"/>
          <w:szCs w:val="24"/>
        </w:rPr>
        <w:t xml:space="preserve">przedsiębiorcy zatrudniający od 250 pracowników </w:t>
      </w:r>
      <w:r>
        <w:t>–</w:t>
      </w:r>
      <w:r w:rsidRPr="008D1D48">
        <w:rPr>
          <w:rFonts w:cstheme="minorHAnsi"/>
          <w:sz w:val="24"/>
          <w:szCs w:val="24"/>
        </w:rPr>
        <w:t xml:space="preserve"> 16 wniosków</w:t>
      </w:r>
      <w:r>
        <w:rPr>
          <w:rFonts w:cstheme="minorHAnsi"/>
          <w:sz w:val="24"/>
          <w:szCs w:val="24"/>
        </w:rPr>
        <w:t>,</w:t>
      </w:r>
    </w:p>
    <w:p w14:paraId="4D7FADC8" w14:textId="77777777" w:rsidR="00D13A41" w:rsidRPr="008D1D48" w:rsidRDefault="00D13A41" w:rsidP="00D13A41">
      <w:pPr>
        <w:numPr>
          <w:ilvl w:val="0"/>
          <w:numId w:val="7"/>
        </w:numPr>
        <w:spacing w:after="0" w:line="276" w:lineRule="auto"/>
        <w:rPr>
          <w:rFonts w:cstheme="minorHAnsi"/>
          <w:sz w:val="24"/>
          <w:szCs w:val="24"/>
        </w:rPr>
      </w:pPr>
      <w:r w:rsidRPr="008D1D48">
        <w:rPr>
          <w:rFonts w:cstheme="minorHAnsi"/>
          <w:sz w:val="24"/>
          <w:szCs w:val="24"/>
        </w:rPr>
        <w:t>przedsiębiorcy zatrudniający od 50 ale mniej niż 250 pracowników – 8 wniosków,</w:t>
      </w:r>
    </w:p>
    <w:p w14:paraId="363ABCE1" w14:textId="77777777" w:rsidR="00D13A41" w:rsidRPr="008D1D48" w:rsidRDefault="00D13A41" w:rsidP="00D13A41">
      <w:pPr>
        <w:numPr>
          <w:ilvl w:val="0"/>
          <w:numId w:val="7"/>
        </w:numPr>
        <w:spacing w:after="0" w:line="276" w:lineRule="auto"/>
        <w:rPr>
          <w:rFonts w:cstheme="minorHAnsi"/>
          <w:sz w:val="24"/>
          <w:szCs w:val="24"/>
        </w:rPr>
      </w:pPr>
      <w:r w:rsidRPr="008D1D48">
        <w:rPr>
          <w:rFonts w:cstheme="minorHAnsi"/>
          <w:sz w:val="24"/>
          <w:szCs w:val="24"/>
        </w:rPr>
        <w:t xml:space="preserve">przedsiębiorcy zatrudniający mniej niż 50 pracowników </w:t>
      </w:r>
      <w:r>
        <w:t>–</w:t>
      </w:r>
      <w:r w:rsidRPr="008D1D48">
        <w:rPr>
          <w:rFonts w:cstheme="minorHAnsi"/>
          <w:sz w:val="24"/>
          <w:szCs w:val="24"/>
        </w:rPr>
        <w:t xml:space="preserve"> 13 wniosków,</w:t>
      </w:r>
    </w:p>
    <w:p w14:paraId="066CDACF" w14:textId="77777777" w:rsidR="00D13A41" w:rsidRPr="008D1D48" w:rsidRDefault="00D13A41" w:rsidP="00D13A41">
      <w:pPr>
        <w:spacing w:after="0" w:line="276" w:lineRule="auto"/>
        <w:rPr>
          <w:rFonts w:cstheme="minorHAnsi"/>
          <w:sz w:val="24"/>
          <w:szCs w:val="24"/>
        </w:rPr>
      </w:pPr>
      <w:r w:rsidRPr="008D1D48">
        <w:rPr>
          <w:rFonts w:cstheme="minorHAnsi"/>
          <w:sz w:val="24"/>
          <w:szCs w:val="24"/>
        </w:rPr>
        <w:t>W kategorii „Rozwiązanie ICT” złożono 10 wniosków, w tym:</w:t>
      </w:r>
    </w:p>
    <w:p w14:paraId="1912ED3A" w14:textId="77777777" w:rsidR="00D13A41" w:rsidRPr="008D1D48" w:rsidRDefault="00D13A41" w:rsidP="00D13A41">
      <w:pPr>
        <w:numPr>
          <w:ilvl w:val="0"/>
          <w:numId w:val="8"/>
        </w:numPr>
        <w:spacing w:after="0" w:line="276" w:lineRule="auto"/>
        <w:rPr>
          <w:rFonts w:cstheme="minorHAnsi"/>
          <w:sz w:val="24"/>
          <w:szCs w:val="24"/>
        </w:rPr>
      </w:pPr>
      <w:r w:rsidRPr="008D1D48">
        <w:rPr>
          <w:rFonts w:cstheme="minorHAnsi"/>
          <w:sz w:val="24"/>
          <w:szCs w:val="24"/>
        </w:rPr>
        <w:t xml:space="preserve">przedsiębiorcy funkcjonujący na rynku nie dłużej niż 3 lata </w:t>
      </w:r>
      <w:r>
        <w:t>–</w:t>
      </w:r>
      <w:r w:rsidRPr="008D1D48">
        <w:rPr>
          <w:rFonts w:cstheme="minorHAnsi"/>
          <w:sz w:val="24"/>
          <w:szCs w:val="24"/>
        </w:rPr>
        <w:t xml:space="preserve"> 6 wniosków,</w:t>
      </w:r>
    </w:p>
    <w:p w14:paraId="06237C20" w14:textId="77777777" w:rsidR="00D13A41" w:rsidRPr="008D1D48" w:rsidRDefault="00D13A41" w:rsidP="00D13A41">
      <w:pPr>
        <w:numPr>
          <w:ilvl w:val="0"/>
          <w:numId w:val="8"/>
        </w:numPr>
        <w:spacing w:after="0" w:line="276" w:lineRule="auto"/>
        <w:rPr>
          <w:rFonts w:cstheme="minorHAnsi"/>
          <w:sz w:val="24"/>
          <w:szCs w:val="24"/>
        </w:rPr>
      </w:pPr>
      <w:r w:rsidRPr="008D1D48">
        <w:rPr>
          <w:rFonts w:cstheme="minorHAnsi"/>
          <w:sz w:val="24"/>
          <w:szCs w:val="24"/>
        </w:rPr>
        <w:lastRenderedPageBreak/>
        <w:t xml:space="preserve">przedsiębiorcy funkcjonujący na rynku dłużej niż 3 lata </w:t>
      </w:r>
      <w:r>
        <w:t>–</w:t>
      </w:r>
      <w:r w:rsidRPr="008D1D48">
        <w:rPr>
          <w:rFonts w:cstheme="minorHAnsi"/>
          <w:sz w:val="24"/>
          <w:szCs w:val="24"/>
        </w:rPr>
        <w:t xml:space="preserve"> 4 wnioski.</w:t>
      </w:r>
    </w:p>
    <w:p w14:paraId="1A5D97FE" w14:textId="77777777" w:rsidR="00D13A41" w:rsidRPr="008D1D48" w:rsidRDefault="00D13A41" w:rsidP="00D13A41">
      <w:pPr>
        <w:spacing w:before="360" w:after="240" w:line="276" w:lineRule="auto"/>
        <w:rPr>
          <w:rFonts w:cstheme="minorHAnsi"/>
          <w:sz w:val="24"/>
          <w:szCs w:val="24"/>
        </w:rPr>
      </w:pPr>
      <w:r w:rsidRPr="005837D6">
        <w:rPr>
          <w:rFonts w:cstheme="minorHAnsi"/>
          <w:bCs/>
          <w:sz w:val="24"/>
          <w:szCs w:val="24"/>
        </w:rPr>
        <w:t>Wyłonione w konkursie najlepsze przedsięwzięcia i narzędzia otrzym</w:t>
      </w:r>
      <w:r>
        <w:rPr>
          <w:rFonts w:cstheme="minorHAnsi"/>
          <w:bCs/>
          <w:sz w:val="24"/>
          <w:szCs w:val="24"/>
        </w:rPr>
        <w:t>a</w:t>
      </w:r>
      <w:r w:rsidRPr="005837D6">
        <w:rPr>
          <w:rFonts w:cstheme="minorHAnsi"/>
          <w:bCs/>
          <w:sz w:val="24"/>
          <w:szCs w:val="24"/>
        </w:rPr>
        <w:t>ją nagrody finansowe i promocję</w:t>
      </w:r>
      <w:r w:rsidRPr="008D1D48">
        <w:rPr>
          <w:rFonts w:cstheme="minorHAnsi"/>
          <w:b/>
          <w:bCs/>
          <w:sz w:val="24"/>
          <w:szCs w:val="24"/>
        </w:rPr>
        <w:t xml:space="preserve">. </w:t>
      </w:r>
      <w:r w:rsidRPr="008D1D48">
        <w:rPr>
          <w:rFonts w:cstheme="minorHAnsi"/>
          <w:sz w:val="24"/>
          <w:szCs w:val="24"/>
        </w:rPr>
        <w:t xml:space="preserve">Nagrodę finansową o wartości 20 tys. zł otrzymuje każdy z 5 laureatów nagrody głównej. 24 wyróżnionych </w:t>
      </w:r>
      <w:r w:rsidRPr="00346BC1">
        <w:rPr>
          <w:sz w:val="24"/>
          <w:szCs w:val="24"/>
        </w:rPr>
        <w:t>–</w:t>
      </w:r>
      <w:r w:rsidRPr="008D1D48">
        <w:rPr>
          <w:rFonts w:cstheme="minorHAnsi"/>
          <w:sz w:val="24"/>
          <w:szCs w:val="24"/>
        </w:rPr>
        <w:t xml:space="preserve"> nagrody finansowe o wartości 10 tys. zł. Pełna lista laureatów dostępna jest na </w:t>
      </w:r>
      <w:hyperlink r:id="rId12" w:history="1">
        <w:r w:rsidRPr="00DD7432">
          <w:rPr>
            <w:rStyle w:val="Hipercze"/>
            <w:rFonts w:cstheme="minorHAnsi"/>
            <w:sz w:val="24"/>
            <w:szCs w:val="24"/>
          </w:rPr>
          <w:t>stronie konkursu</w:t>
        </w:r>
      </w:hyperlink>
      <w:r w:rsidRPr="008D1D48">
        <w:rPr>
          <w:rFonts w:cstheme="minorHAnsi"/>
          <w:sz w:val="24"/>
          <w:szCs w:val="24"/>
        </w:rPr>
        <w:t xml:space="preserve">. </w:t>
      </w:r>
    </w:p>
    <w:p w14:paraId="139C9FE0" w14:textId="77777777" w:rsidR="00D13A41" w:rsidRPr="008D1D48" w:rsidRDefault="00D13A41" w:rsidP="00D13A41">
      <w:pPr>
        <w:spacing w:before="240" w:after="0" w:line="276" w:lineRule="auto"/>
        <w:rPr>
          <w:rFonts w:cstheme="minorHAnsi"/>
          <w:spacing w:val="-4"/>
          <w:sz w:val="24"/>
          <w:szCs w:val="24"/>
        </w:rPr>
      </w:pPr>
      <w:r>
        <w:rPr>
          <w:rFonts w:cstheme="minorHAnsi"/>
          <w:spacing w:val="-4"/>
          <w:sz w:val="24"/>
          <w:szCs w:val="24"/>
        </w:rPr>
        <w:t xml:space="preserve">–  </w:t>
      </w:r>
      <w:r w:rsidRPr="008D1D48">
        <w:rPr>
          <w:rFonts w:cstheme="minorHAnsi"/>
          <w:sz w:val="24"/>
          <w:szCs w:val="24"/>
        </w:rPr>
        <w:t>Nagrodzone i wyróżnione programy to przedsięwzięcia kierowane zwykle do wszystkich pracowników firmy, opracowane i działające w sposób kompleksowy, w których jasno określony został sposób wyboru inicjatyw/pomysłów do wdrożenia. Programy te zapewniają rozwój zgłoszonych pomysłów i wsparcie zespołu projektowego</w:t>
      </w:r>
      <w:r>
        <w:rPr>
          <w:rFonts w:cstheme="minorHAnsi"/>
          <w:sz w:val="24"/>
          <w:szCs w:val="24"/>
        </w:rPr>
        <w:t xml:space="preserve">, </w:t>
      </w:r>
      <w:r w:rsidRPr="008D1D48">
        <w:rPr>
          <w:rFonts w:cstheme="minorHAnsi"/>
          <w:sz w:val="24"/>
          <w:szCs w:val="24"/>
        </w:rPr>
        <w:t xml:space="preserve">grupy roboczej </w:t>
      </w:r>
      <w:r>
        <w:rPr>
          <w:rFonts w:cstheme="minorHAnsi"/>
          <w:sz w:val="24"/>
          <w:szCs w:val="24"/>
        </w:rPr>
        <w:t>lub</w:t>
      </w:r>
      <w:r w:rsidRPr="008D1D48">
        <w:rPr>
          <w:rFonts w:cstheme="minorHAnsi"/>
          <w:sz w:val="24"/>
          <w:szCs w:val="24"/>
        </w:rPr>
        <w:t xml:space="preserve"> specjalistów w danej dziedzinie,</w:t>
      </w:r>
      <w:r>
        <w:rPr>
          <w:rFonts w:cstheme="minorHAnsi"/>
          <w:sz w:val="24"/>
          <w:szCs w:val="24"/>
        </w:rPr>
        <w:t xml:space="preserve"> ponadto</w:t>
      </w:r>
      <w:r w:rsidRPr="008D1D48">
        <w:rPr>
          <w:rFonts w:cstheme="minorHAnsi"/>
          <w:sz w:val="24"/>
          <w:szCs w:val="24"/>
        </w:rPr>
        <w:t xml:space="preserve"> kładą nacisk na komunikację z pracownikami w procesie i włączanie ich we wdrażanie projektów. Uwzględniają także finansowanie wdrożeń pomysłów przez pracodawcę oraz monitorowanie przebiegu realizacji całego procesu. Niemniej istotne jest także motywowanie pracowników do udziału w programach inicjatyw pracowniczych. </w:t>
      </w:r>
      <w:r w:rsidRPr="008D1D48">
        <w:rPr>
          <w:rFonts w:cstheme="minorHAnsi"/>
          <w:spacing w:val="-4"/>
          <w:sz w:val="24"/>
          <w:szCs w:val="24"/>
        </w:rPr>
        <w:t>Motywacja materialna obejmuje najczęściej nagrody, premie uznaniowe, nagrody rzeczowe. Oferowana jest też możliwość rozwoju, udział w szkoleniach, możliwość awansu</w:t>
      </w:r>
      <w:r>
        <w:rPr>
          <w:rFonts w:cstheme="minorHAnsi"/>
          <w:spacing w:val="-4"/>
          <w:sz w:val="24"/>
          <w:szCs w:val="24"/>
        </w:rPr>
        <w:t xml:space="preserve"> – komentuje </w:t>
      </w:r>
      <w:r w:rsidRPr="009A4292">
        <w:rPr>
          <w:rFonts w:cstheme="minorHAnsi"/>
          <w:b/>
          <w:spacing w:val="-4"/>
          <w:sz w:val="24"/>
          <w:szCs w:val="24"/>
        </w:rPr>
        <w:t>Izabela Banaś</w:t>
      </w:r>
      <w:r>
        <w:rPr>
          <w:rFonts w:cstheme="minorHAnsi"/>
          <w:spacing w:val="-4"/>
          <w:sz w:val="24"/>
          <w:szCs w:val="24"/>
        </w:rPr>
        <w:t>, zastępca dyrektora Departamentu Analiz i Strategii, PARP.</w:t>
      </w:r>
      <w:r w:rsidRPr="008D1D48">
        <w:rPr>
          <w:rFonts w:cstheme="minorHAnsi"/>
          <w:spacing w:val="-4"/>
          <w:sz w:val="24"/>
          <w:szCs w:val="24"/>
        </w:rPr>
        <w:t xml:space="preserve"> </w:t>
      </w:r>
    </w:p>
    <w:p w14:paraId="7AAE1B7B" w14:textId="77777777" w:rsidR="00D13A41" w:rsidRPr="008D1D48" w:rsidRDefault="00D13A41" w:rsidP="00D13A41">
      <w:pPr>
        <w:spacing w:before="240" w:after="0" w:line="276" w:lineRule="auto"/>
        <w:rPr>
          <w:rFonts w:cstheme="minorHAnsi"/>
          <w:spacing w:val="-4"/>
          <w:sz w:val="24"/>
          <w:szCs w:val="24"/>
        </w:rPr>
      </w:pPr>
      <w:r w:rsidRPr="008D1D48">
        <w:rPr>
          <w:rFonts w:cstheme="minorHAnsi"/>
          <w:spacing w:val="-4"/>
          <w:sz w:val="24"/>
          <w:szCs w:val="24"/>
        </w:rPr>
        <w:t>Wdrażanie programu wspomagane jest zwykle komunikacją wewnętrzną m.in. w formie ulotek, pla</w:t>
      </w:r>
      <w:r>
        <w:rPr>
          <w:rFonts w:cstheme="minorHAnsi"/>
          <w:spacing w:val="-4"/>
          <w:sz w:val="24"/>
          <w:szCs w:val="24"/>
        </w:rPr>
        <w:t>ka</w:t>
      </w:r>
      <w:r w:rsidRPr="008D1D48">
        <w:rPr>
          <w:rFonts w:cstheme="minorHAnsi"/>
          <w:spacing w:val="-4"/>
          <w:sz w:val="24"/>
          <w:szCs w:val="24"/>
        </w:rPr>
        <w:t>tów, akcji informacyjnych w intranecie firmy i mediach społecznościowych oraz w ramach szkoleń dla pracowników. Informacje o wdrażanych pomysłach, ich autorach</w:t>
      </w:r>
      <w:r>
        <w:rPr>
          <w:rFonts w:cstheme="minorHAnsi"/>
          <w:spacing w:val="-4"/>
          <w:sz w:val="24"/>
          <w:szCs w:val="24"/>
        </w:rPr>
        <w:t>,</w:t>
      </w:r>
      <w:r w:rsidRPr="008D1D48">
        <w:rPr>
          <w:rFonts w:cstheme="minorHAnsi"/>
          <w:spacing w:val="-4"/>
          <w:sz w:val="24"/>
          <w:szCs w:val="24"/>
        </w:rPr>
        <w:t xml:space="preserve"> a także efektach publikowane są w wewnętrznych materiałach informacyjnych.</w:t>
      </w:r>
    </w:p>
    <w:p w14:paraId="046125FD" w14:textId="77777777" w:rsidR="00D13A41" w:rsidRDefault="00D13A41" w:rsidP="00D13A41">
      <w:pPr>
        <w:spacing w:before="360" w:after="240" w:line="276" w:lineRule="auto"/>
        <w:rPr>
          <w:rFonts w:cstheme="minorHAnsi"/>
          <w:sz w:val="24"/>
          <w:szCs w:val="24"/>
        </w:rPr>
      </w:pPr>
      <w:r>
        <w:t xml:space="preserve">– </w:t>
      </w:r>
      <w:r w:rsidRPr="008D1D48">
        <w:rPr>
          <w:rFonts w:cstheme="minorHAnsi"/>
          <w:bCs/>
          <w:color w:val="000000"/>
          <w:sz w:val="24"/>
          <w:szCs w:val="24"/>
        </w:rPr>
        <w:t xml:space="preserve">Wprowadzone w firmach programy wsparcia inicjatyw pracowniczych przyczyniają się do aktywizacji pracowników, wzrostu zaangażowania i satysfakcji z wykonywanej pracy, wzmacniają odpowiedzialność wśród pracowników. </w:t>
      </w:r>
      <w:r w:rsidRPr="008D1D48">
        <w:rPr>
          <w:rFonts w:cstheme="minorHAnsi"/>
          <w:sz w:val="24"/>
          <w:szCs w:val="24"/>
        </w:rPr>
        <w:t>Pracownicy chętnie angażują się w działania związane z programem</w:t>
      </w:r>
      <w:r>
        <w:rPr>
          <w:rFonts w:cstheme="minorHAnsi"/>
          <w:sz w:val="24"/>
          <w:szCs w:val="24"/>
        </w:rPr>
        <w:t>,</w:t>
      </w:r>
      <w:r w:rsidRPr="008D1D48">
        <w:rPr>
          <w:rFonts w:cstheme="minorHAnsi"/>
          <w:sz w:val="24"/>
          <w:szCs w:val="24"/>
        </w:rPr>
        <w:t xml:space="preserve"> ponieważ widzą realne przełożenie ich pomysłów na działanie firmy.</w:t>
      </w:r>
      <w:r>
        <w:rPr>
          <w:rFonts w:cstheme="minorHAnsi"/>
          <w:sz w:val="24"/>
          <w:szCs w:val="24"/>
        </w:rPr>
        <w:t xml:space="preserve"> Realizowane programy poprzez wprowadzanie usprawnień i nowych rozwiązań oraz poprawę efektywności pracy, wpływają też na wzmocnienie działalności przedsiębiorstw w czasie pandemii COVID-19 oraz przyczyniają się do zwiększenia ich odporności na inne kryzysy w przyszłości – podkreśla </w:t>
      </w:r>
      <w:r w:rsidRPr="009A4292">
        <w:rPr>
          <w:rFonts w:cstheme="minorHAnsi"/>
          <w:b/>
          <w:sz w:val="24"/>
          <w:szCs w:val="24"/>
        </w:rPr>
        <w:t>Mikołaj Różycki</w:t>
      </w:r>
      <w:r>
        <w:rPr>
          <w:rFonts w:cstheme="minorHAnsi"/>
          <w:sz w:val="24"/>
          <w:szCs w:val="24"/>
        </w:rPr>
        <w:t xml:space="preserve">, p. o. prezesa Polskiej Agencji Rozwoju Przedsiębiorczości. </w:t>
      </w:r>
    </w:p>
    <w:p w14:paraId="1DFB0865" w14:textId="77777777" w:rsidR="00D13A41" w:rsidRPr="009A4292" w:rsidRDefault="00D13A41" w:rsidP="00D13A41">
      <w:pPr>
        <w:spacing w:before="360" w:after="240" w:line="276" w:lineRule="auto"/>
        <w:rPr>
          <w:rFonts w:cstheme="minorHAnsi"/>
          <w:b/>
          <w:sz w:val="24"/>
          <w:szCs w:val="24"/>
        </w:rPr>
      </w:pPr>
      <w:r w:rsidRPr="009A4292">
        <w:rPr>
          <w:rFonts w:cstheme="minorHAnsi"/>
          <w:b/>
          <w:sz w:val="24"/>
          <w:szCs w:val="24"/>
        </w:rPr>
        <w:t>Wyłonieni laureaci</w:t>
      </w:r>
    </w:p>
    <w:p w14:paraId="427DC7FC" w14:textId="77777777" w:rsidR="00D13A41" w:rsidRPr="008D1D48" w:rsidRDefault="00D13A41" w:rsidP="00D13A41">
      <w:pPr>
        <w:spacing w:before="360" w:after="240" w:line="276" w:lineRule="auto"/>
        <w:rPr>
          <w:rFonts w:cstheme="minorHAnsi"/>
          <w:color w:val="000000"/>
          <w:sz w:val="24"/>
          <w:szCs w:val="24"/>
        </w:rPr>
      </w:pPr>
      <w:r w:rsidRPr="008D1D48">
        <w:rPr>
          <w:rFonts w:cstheme="minorHAnsi"/>
          <w:sz w:val="24"/>
          <w:szCs w:val="24"/>
        </w:rPr>
        <w:t xml:space="preserve">Za </w:t>
      </w:r>
      <w:r w:rsidRPr="005837D6">
        <w:rPr>
          <w:rFonts w:cstheme="minorHAnsi"/>
          <w:sz w:val="24"/>
          <w:szCs w:val="24"/>
        </w:rPr>
        <w:t>najlepszy</w:t>
      </w:r>
      <w:r w:rsidRPr="008D1D48">
        <w:rPr>
          <w:rFonts w:cstheme="minorHAnsi"/>
          <w:sz w:val="24"/>
          <w:szCs w:val="24"/>
        </w:rPr>
        <w:t xml:space="preserve"> program rozwoju inicjatyw pracowniczych w podkategorii „Przedsiębiorcy zatrudniający od 250 pracowników” uznano program </w:t>
      </w:r>
      <w:r w:rsidRPr="005837D6">
        <w:rPr>
          <w:rFonts w:cstheme="minorHAnsi"/>
          <w:b/>
          <w:sz w:val="24"/>
          <w:szCs w:val="24"/>
        </w:rPr>
        <w:t>„Mój Pomysł</w:t>
      </w:r>
      <w:r>
        <w:rPr>
          <w:rFonts w:cstheme="minorHAnsi"/>
          <w:b/>
          <w:color w:val="000000"/>
          <w:sz w:val="24"/>
          <w:szCs w:val="24"/>
        </w:rPr>
        <w:t>”</w:t>
      </w:r>
      <w:r w:rsidRPr="005837D6">
        <w:rPr>
          <w:rFonts w:cstheme="minorHAnsi"/>
          <w:b/>
          <w:color w:val="000000"/>
          <w:sz w:val="24"/>
          <w:szCs w:val="24"/>
        </w:rPr>
        <w:t xml:space="preserve"> wdrożony w Werner </w:t>
      </w:r>
      <w:proofErr w:type="spellStart"/>
      <w:r w:rsidRPr="005837D6">
        <w:rPr>
          <w:rFonts w:cstheme="minorHAnsi"/>
          <w:b/>
          <w:color w:val="000000"/>
          <w:sz w:val="24"/>
          <w:szCs w:val="24"/>
        </w:rPr>
        <w:t>Kenkel</w:t>
      </w:r>
      <w:proofErr w:type="spellEnd"/>
      <w:r w:rsidRPr="005837D6">
        <w:rPr>
          <w:rFonts w:cstheme="minorHAnsi"/>
          <w:b/>
          <w:color w:val="000000"/>
          <w:sz w:val="24"/>
          <w:szCs w:val="24"/>
        </w:rPr>
        <w:t xml:space="preserve"> Sp. z o.o.</w:t>
      </w:r>
      <w:r w:rsidRPr="008D1D48">
        <w:rPr>
          <w:rFonts w:cstheme="minorHAnsi"/>
          <w:color w:val="000000"/>
          <w:sz w:val="24"/>
          <w:szCs w:val="24"/>
        </w:rPr>
        <w:t xml:space="preserve"> Założeniem programu jest aktywizacja pracowników </w:t>
      </w:r>
      <w:r>
        <w:rPr>
          <w:rFonts w:cstheme="minorHAnsi"/>
          <w:color w:val="000000"/>
          <w:sz w:val="24"/>
          <w:szCs w:val="24"/>
        </w:rPr>
        <w:t xml:space="preserve">w </w:t>
      </w:r>
      <w:r w:rsidRPr="008D1D48">
        <w:rPr>
          <w:rFonts w:cstheme="minorHAnsi"/>
          <w:color w:val="000000"/>
          <w:sz w:val="24"/>
          <w:szCs w:val="24"/>
        </w:rPr>
        <w:t>zakresie udoskonalania procesów w firmie</w:t>
      </w:r>
      <w:r>
        <w:rPr>
          <w:rFonts w:cstheme="minorHAnsi"/>
          <w:color w:val="000000"/>
          <w:sz w:val="24"/>
          <w:szCs w:val="24"/>
        </w:rPr>
        <w:t xml:space="preserve"> specjalizującej się </w:t>
      </w:r>
      <w:r w:rsidRPr="008D1D48">
        <w:rPr>
          <w:rFonts w:cstheme="minorHAnsi"/>
          <w:color w:val="000000"/>
          <w:sz w:val="24"/>
          <w:szCs w:val="24"/>
        </w:rPr>
        <w:t xml:space="preserve">w </w:t>
      </w:r>
      <w:r>
        <w:rPr>
          <w:rFonts w:cstheme="minorHAnsi"/>
          <w:color w:val="000000"/>
          <w:sz w:val="24"/>
          <w:szCs w:val="24"/>
        </w:rPr>
        <w:t>produkcji opakowań z tektury falistej</w:t>
      </w:r>
      <w:r w:rsidRPr="008D1D48">
        <w:rPr>
          <w:rFonts w:cstheme="minorHAnsi"/>
          <w:color w:val="000000"/>
          <w:sz w:val="24"/>
          <w:szCs w:val="24"/>
        </w:rPr>
        <w:t xml:space="preserve">. Każdy pracownik może zgłosić w dowolnej chwili inicjatywę usprawniającą funkcjonowanie danego obszaru, a nawet całego </w:t>
      </w:r>
      <w:r w:rsidRPr="008D1D48">
        <w:rPr>
          <w:rFonts w:cstheme="minorHAnsi"/>
          <w:color w:val="000000"/>
          <w:sz w:val="24"/>
          <w:szCs w:val="24"/>
        </w:rPr>
        <w:lastRenderedPageBreak/>
        <w:t>przedsiębiorstwa. Do programu, który działa od 2017 r., zgłoszon</w:t>
      </w:r>
      <w:r>
        <w:rPr>
          <w:rFonts w:cstheme="minorHAnsi"/>
          <w:color w:val="000000"/>
          <w:sz w:val="24"/>
          <w:szCs w:val="24"/>
        </w:rPr>
        <w:t>ych</w:t>
      </w:r>
      <w:r w:rsidRPr="008D1D48">
        <w:rPr>
          <w:rFonts w:cstheme="minorHAnsi"/>
          <w:color w:val="000000"/>
          <w:sz w:val="24"/>
          <w:szCs w:val="24"/>
        </w:rPr>
        <w:t xml:space="preserve"> został</w:t>
      </w:r>
      <w:r>
        <w:rPr>
          <w:rFonts w:cstheme="minorHAnsi"/>
          <w:color w:val="000000"/>
          <w:sz w:val="24"/>
          <w:szCs w:val="24"/>
        </w:rPr>
        <w:t>o</w:t>
      </w:r>
      <w:r w:rsidRPr="008D1D48">
        <w:rPr>
          <w:rFonts w:cstheme="minorHAnsi"/>
          <w:color w:val="000000"/>
          <w:sz w:val="24"/>
          <w:szCs w:val="24"/>
        </w:rPr>
        <w:t xml:space="preserve"> </w:t>
      </w:r>
      <w:r>
        <w:rPr>
          <w:rFonts w:cstheme="minorHAnsi"/>
          <w:color w:val="000000"/>
          <w:sz w:val="24"/>
          <w:szCs w:val="24"/>
        </w:rPr>
        <w:t>prawie</w:t>
      </w:r>
      <w:r w:rsidRPr="008D1D48">
        <w:rPr>
          <w:rFonts w:cstheme="minorHAnsi"/>
          <w:color w:val="000000"/>
          <w:sz w:val="24"/>
          <w:szCs w:val="24"/>
        </w:rPr>
        <w:t xml:space="preserve"> </w:t>
      </w:r>
      <w:r>
        <w:rPr>
          <w:rFonts w:cstheme="minorHAnsi"/>
          <w:color w:val="000000"/>
          <w:sz w:val="24"/>
          <w:szCs w:val="24"/>
        </w:rPr>
        <w:t>300</w:t>
      </w:r>
      <w:r w:rsidRPr="008D1D48">
        <w:rPr>
          <w:rFonts w:cstheme="minorHAnsi"/>
          <w:color w:val="000000"/>
          <w:sz w:val="24"/>
          <w:szCs w:val="24"/>
        </w:rPr>
        <w:t xml:space="preserve"> pomysł</w:t>
      </w:r>
      <w:r>
        <w:rPr>
          <w:rFonts w:cstheme="minorHAnsi"/>
          <w:color w:val="000000"/>
          <w:sz w:val="24"/>
          <w:szCs w:val="24"/>
        </w:rPr>
        <w:t>ów</w:t>
      </w:r>
      <w:r w:rsidRPr="008D1D48">
        <w:rPr>
          <w:rFonts w:cstheme="minorHAnsi"/>
          <w:color w:val="000000"/>
          <w:sz w:val="24"/>
          <w:szCs w:val="24"/>
        </w:rPr>
        <w:t xml:space="preserve">, z czego </w:t>
      </w:r>
      <w:r>
        <w:rPr>
          <w:rFonts w:cstheme="minorHAnsi"/>
          <w:color w:val="000000"/>
          <w:sz w:val="24"/>
          <w:szCs w:val="24"/>
        </w:rPr>
        <w:t xml:space="preserve">ponad </w:t>
      </w:r>
      <w:r w:rsidRPr="008D1D48">
        <w:rPr>
          <w:rFonts w:cstheme="minorHAnsi"/>
          <w:color w:val="000000"/>
          <w:sz w:val="24"/>
          <w:szCs w:val="24"/>
        </w:rPr>
        <w:t>10</w:t>
      </w:r>
      <w:r>
        <w:rPr>
          <w:rFonts w:cstheme="minorHAnsi"/>
          <w:color w:val="000000"/>
          <w:sz w:val="24"/>
          <w:szCs w:val="24"/>
        </w:rPr>
        <w:t>0</w:t>
      </w:r>
      <w:r w:rsidRPr="008D1D48">
        <w:rPr>
          <w:rFonts w:cstheme="minorHAnsi"/>
          <w:color w:val="000000"/>
          <w:sz w:val="24"/>
          <w:szCs w:val="24"/>
        </w:rPr>
        <w:t xml:space="preserve"> zostało wdrożonych i nagrodzonych. </w:t>
      </w:r>
      <w:r>
        <w:rPr>
          <w:rFonts w:cstheme="minorHAnsi"/>
          <w:color w:val="000000"/>
          <w:sz w:val="24"/>
          <w:szCs w:val="24"/>
        </w:rPr>
        <w:t>P</w:t>
      </w:r>
      <w:r w:rsidRPr="008D1D48">
        <w:rPr>
          <w:rFonts w:cstheme="minorHAnsi"/>
          <w:color w:val="000000"/>
          <w:sz w:val="24"/>
          <w:szCs w:val="24"/>
        </w:rPr>
        <w:t xml:space="preserve">omysły weryfikowane są </w:t>
      </w:r>
      <w:r>
        <w:rPr>
          <w:rFonts w:cstheme="minorHAnsi"/>
          <w:color w:val="000000"/>
          <w:sz w:val="24"/>
          <w:szCs w:val="24"/>
        </w:rPr>
        <w:t xml:space="preserve">m.in. </w:t>
      </w:r>
      <w:r w:rsidRPr="008D1D48">
        <w:rPr>
          <w:rFonts w:cstheme="minorHAnsi"/>
          <w:color w:val="000000"/>
          <w:sz w:val="24"/>
          <w:szCs w:val="24"/>
        </w:rPr>
        <w:t>pod kątem ich pozytywnego wpływu na koszty, pracochłonność</w:t>
      </w:r>
      <w:r>
        <w:rPr>
          <w:rFonts w:cstheme="minorHAnsi"/>
          <w:color w:val="000000"/>
          <w:sz w:val="24"/>
          <w:szCs w:val="24"/>
        </w:rPr>
        <w:t>,</w:t>
      </w:r>
      <w:r w:rsidRPr="008D1D48">
        <w:rPr>
          <w:rFonts w:cstheme="minorHAnsi"/>
          <w:color w:val="000000"/>
          <w:sz w:val="24"/>
          <w:szCs w:val="24"/>
        </w:rPr>
        <w:t xml:space="preserve"> jakość p</w:t>
      </w:r>
      <w:r>
        <w:rPr>
          <w:rFonts w:cstheme="minorHAnsi"/>
          <w:color w:val="000000"/>
          <w:sz w:val="24"/>
          <w:szCs w:val="24"/>
        </w:rPr>
        <w:t xml:space="preserve">roduktów i </w:t>
      </w:r>
      <w:r w:rsidRPr="008D1D48">
        <w:rPr>
          <w:rFonts w:cstheme="minorHAnsi"/>
          <w:color w:val="000000"/>
          <w:sz w:val="24"/>
          <w:szCs w:val="24"/>
        </w:rPr>
        <w:t>bezpieczeństwo. Co ciekawe, szczególnie dużą aktywność pracowników w zakresie</w:t>
      </w:r>
      <w:r>
        <w:rPr>
          <w:rFonts w:cstheme="minorHAnsi"/>
          <w:color w:val="000000"/>
          <w:sz w:val="24"/>
          <w:szCs w:val="24"/>
        </w:rPr>
        <w:t xml:space="preserve"> zgłaszania pomysłów</w:t>
      </w:r>
      <w:r w:rsidRPr="008D1D48">
        <w:rPr>
          <w:rFonts w:cstheme="minorHAnsi"/>
          <w:color w:val="000000"/>
          <w:sz w:val="24"/>
          <w:szCs w:val="24"/>
        </w:rPr>
        <w:t xml:space="preserve"> obserwuje się w obszarach produkcyjnych firmy. Wdrożone pomysły </w:t>
      </w:r>
      <w:r>
        <w:rPr>
          <w:rFonts w:cstheme="minorHAnsi"/>
          <w:color w:val="000000"/>
          <w:sz w:val="24"/>
          <w:szCs w:val="24"/>
        </w:rPr>
        <w:t>m</w:t>
      </w:r>
      <w:r w:rsidRPr="008D1D48">
        <w:rPr>
          <w:rFonts w:cstheme="minorHAnsi"/>
          <w:color w:val="000000"/>
          <w:sz w:val="24"/>
          <w:szCs w:val="24"/>
        </w:rPr>
        <w:t>ają wpływ na przyspieszenie procesu produkcyjnego, obniżenie kosztów wytworzenia wyrobu gotowego oraz awaryjności maszyn</w:t>
      </w:r>
      <w:r>
        <w:rPr>
          <w:rFonts w:cstheme="minorHAnsi"/>
          <w:color w:val="000000"/>
          <w:sz w:val="24"/>
          <w:szCs w:val="24"/>
        </w:rPr>
        <w:t>, przyczyniają się też do znacznych oszczędności</w:t>
      </w:r>
      <w:r w:rsidRPr="008D1D48">
        <w:rPr>
          <w:rFonts w:cstheme="minorHAnsi"/>
          <w:color w:val="000000"/>
          <w:sz w:val="24"/>
          <w:szCs w:val="24"/>
        </w:rPr>
        <w:t xml:space="preserve">. Istotną korzyścią jest </w:t>
      </w:r>
      <w:r>
        <w:rPr>
          <w:rFonts w:cstheme="minorHAnsi"/>
          <w:color w:val="000000"/>
          <w:sz w:val="24"/>
          <w:szCs w:val="24"/>
        </w:rPr>
        <w:t>równi</w:t>
      </w:r>
      <w:r w:rsidRPr="008D1D48">
        <w:rPr>
          <w:rFonts w:cstheme="minorHAnsi"/>
          <w:color w:val="000000"/>
          <w:sz w:val="24"/>
          <w:szCs w:val="24"/>
        </w:rPr>
        <w:t xml:space="preserve">eż poprawa warunków pracy na poszczególnych stanowiskach. </w:t>
      </w:r>
    </w:p>
    <w:p w14:paraId="6E6DD859" w14:textId="77777777" w:rsidR="00D13A41" w:rsidRPr="008D1D48" w:rsidRDefault="00D13A41" w:rsidP="00D13A41">
      <w:pPr>
        <w:spacing w:after="120" w:line="276" w:lineRule="auto"/>
        <w:rPr>
          <w:rFonts w:cstheme="minorHAnsi"/>
          <w:bCs/>
          <w:color w:val="000000"/>
          <w:sz w:val="24"/>
          <w:szCs w:val="24"/>
        </w:rPr>
      </w:pPr>
      <w:r w:rsidRPr="008D1D48">
        <w:rPr>
          <w:rFonts w:cstheme="minorHAnsi"/>
          <w:sz w:val="24"/>
          <w:szCs w:val="24"/>
        </w:rPr>
        <w:t xml:space="preserve">W podkategorii „Przedsiębiorcy zatrudniający od 50 ale mniej niż 250 pracowników” za najlepszy uznano </w:t>
      </w:r>
      <w:r w:rsidRPr="005837D6">
        <w:rPr>
          <w:rFonts w:cstheme="minorHAnsi"/>
          <w:b/>
          <w:sz w:val="24"/>
          <w:szCs w:val="24"/>
        </w:rPr>
        <w:t>„</w:t>
      </w:r>
      <w:r w:rsidRPr="005837D6">
        <w:rPr>
          <w:rFonts w:cstheme="minorHAnsi"/>
          <w:b/>
          <w:color w:val="000000"/>
          <w:sz w:val="24"/>
          <w:szCs w:val="24"/>
        </w:rPr>
        <w:t xml:space="preserve">Program wsparcia inicjatyw pracowniczych TSL Silesia Sp. z o.o. </w:t>
      </w:r>
      <w:r w:rsidRPr="00DD7432">
        <w:rPr>
          <w:rFonts w:cstheme="minorHAnsi"/>
          <w:b/>
          <w:spacing w:val="-4"/>
          <w:sz w:val="24"/>
          <w:szCs w:val="24"/>
        </w:rPr>
        <w:t>–</w:t>
      </w:r>
      <w:r w:rsidRPr="005837D6">
        <w:rPr>
          <w:rFonts w:cstheme="minorHAnsi"/>
          <w:b/>
          <w:color w:val="000000"/>
          <w:sz w:val="24"/>
          <w:szCs w:val="24"/>
        </w:rPr>
        <w:t xml:space="preserve"> Krok naprzód</w:t>
      </w:r>
      <w:r>
        <w:rPr>
          <w:rFonts w:cstheme="minorHAnsi"/>
          <w:b/>
          <w:color w:val="000000"/>
          <w:sz w:val="24"/>
          <w:szCs w:val="24"/>
        </w:rPr>
        <w:t>”</w:t>
      </w:r>
      <w:r w:rsidRPr="005837D6">
        <w:rPr>
          <w:rFonts w:cstheme="minorHAnsi"/>
          <w:b/>
          <w:color w:val="000000"/>
          <w:sz w:val="24"/>
          <w:szCs w:val="24"/>
        </w:rPr>
        <w:t xml:space="preserve"> wdrożony w TSL Silesia Sp. z o.o.</w:t>
      </w:r>
      <w:r w:rsidRPr="008D1D48">
        <w:rPr>
          <w:rFonts w:cstheme="minorHAnsi"/>
          <w:color w:val="000000"/>
          <w:sz w:val="24"/>
          <w:szCs w:val="24"/>
        </w:rPr>
        <w:t xml:space="preserve"> </w:t>
      </w:r>
      <w:r>
        <w:rPr>
          <w:rFonts w:cstheme="minorHAnsi"/>
          <w:color w:val="000000"/>
          <w:sz w:val="24"/>
          <w:szCs w:val="24"/>
        </w:rPr>
        <w:t xml:space="preserve">działającej na rynku usług spedycyjno-celnych. </w:t>
      </w:r>
      <w:r w:rsidRPr="008D1D48">
        <w:rPr>
          <w:rFonts w:cstheme="minorHAnsi"/>
          <w:color w:val="000000"/>
          <w:sz w:val="24"/>
          <w:szCs w:val="24"/>
        </w:rPr>
        <w:t>W wyniku programu do oferty przedsiębiorstwa wprowadzone zostały nowe usługi szkoleniowo-doradcze w wersji off-</w:t>
      </w:r>
      <w:proofErr w:type="spellStart"/>
      <w:r w:rsidRPr="008D1D48">
        <w:rPr>
          <w:rFonts w:cstheme="minorHAnsi"/>
          <w:color w:val="000000"/>
          <w:sz w:val="24"/>
          <w:szCs w:val="24"/>
        </w:rPr>
        <w:t>line</w:t>
      </w:r>
      <w:proofErr w:type="spellEnd"/>
      <w:r w:rsidRPr="008D1D48">
        <w:rPr>
          <w:rFonts w:cstheme="minorHAnsi"/>
          <w:color w:val="000000"/>
          <w:sz w:val="24"/>
          <w:szCs w:val="24"/>
        </w:rPr>
        <w:t xml:space="preserve"> i on-line, wprowadzono </w:t>
      </w:r>
      <w:r w:rsidRPr="008D1D48">
        <w:rPr>
          <w:rFonts w:cstheme="minorHAnsi"/>
          <w:bCs/>
          <w:color w:val="000000"/>
          <w:sz w:val="24"/>
          <w:szCs w:val="24"/>
        </w:rPr>
        <w:t>elektroniczny obieg dokumentów, system kodów kres</w:t>
      </w:r>
      <w:r>
        <w:rPr>
          <w:rFonts w:cstheme="minorHAnsi"/>
          <w:bCs/>
          <w:color w:val="000000"/>
          <w:sz w:val="24"/>
          <w:szCs w:val="24"/>
        </w:rPr>
        <w:t>k</w:t>
      </w:r>
      <w:r w:rsidRPr="008D1D48">
        <w:rPr>
          <w:rFonts w:cstheme="minorHAnsi"/>
          <w:bCs/>
          <w:color w:val="000000"/>
          <w:sz w:val="24"/>
          <w:szCs w:val="24"/>
        </w:rPr>
        <w:t>owych w magazynie, zorganizowano mobilne biuro firmy oraz działania promocyjne. Wdrożenie tych pomysłów przyczyniło się do automatyzacji pracy, eliminacji błędów, usprawnienia działalności, skrócenia czasu wykonywania poszczególnych czynności, umożliwiło pracę zdalną podczas pandemii, przyczyniło się do oszczędności i pozyskania nowych klientów. Zwiększyła się efektywność pracy. Poszerzono pole działalności firmy o nowy kierunek</w:t>
      </w:r>
      <w:r>
        <w:rPr>
          <w:rFonts w:cstheme="minorHAnsi"/>
          <w:bCs/>
          <w:color w:val="000000"/>
          <w:sz w:val="24"/>
          <w:szCs w:val="24"/>
        </w:rPr>
        <w:t>,</w:t>
      </w:r>
      <w:r w:rsidRPr="008D1D48">
        <w:rPr>
          <w:rFonts w:cstheme="minorHAnsi"/>
          <w:bCs/>
          <w:color w:val="000000"/>
          <w:sz w:val="24"/>
          <w:szCs w:val="24"/>
        </w:rPr>
        <w:t xml:space="preserve"> tzn. usługi szkoleniowe, który wspiera główną działalność spedycyjno-celną firmy. </w:t>
      </w:r>
      <w:r w:rsidRPr="008D1D48">
        <w:rPr>
          <w:rFonts w:cstheme="minorHAnsi"/>
          <w:sz w:val="24"/>
          <w:szCs w:val="24"/>
        </w:rPr>
        <w:t xml:space="preserve">Program istotnie wpływa na całokształt działalności </w:t>
      </w:r>
      <w:r w:rsidRPr="008D1D48">
        <w:rPr>
          <w:rFonts w:cstheme="minorHAnsi"/>
          <w:bCs/>
          <w:color w:val="000000"/>
          <w:sz w:val="24"/>
          <w:szCs w:val="24"/>
        </w:rPr>
        <w:t>przedsiębiorstwa,</w:t>
      </w:r>
      <w:r w:rsidRPr="008D1D48">
        <w:rPr>
          <w:rFonts w:cstheme="minorHAnsi"/>
          <w:sz w:val="24"/>
          <w:szCs w:val="24"/>
        </w:rPr>
        <w:t xml:space="preserve"> zarówno na jego ofertę</w:t>
      </w:r>
      <w:r>
        <w:rPr>
          <w:rFonts w:cstheme="minorHAnsi"/>
          <w:sz w:val="24"/>
          <w:szCs w:val="24"/>
        </w:rPr>
        <w:t>,</w:t>
      </w:r>
      <w:r w:rsidRPr="008D1D48">
        <w:rPr>
          <w:rFonts w:cstheme="minorHAnsi"/>
          <w:sz w:val="24"/>
          <w:szCs w:val="24"/>
        </w:rPr>
        <w:t xml:space="preserve"> jak i procesy wewnątrz firmy </w:t>
      </w:r>
      <w:r>
        <w:rPr>
          <w:rFonts w:cstheme="minorHAnsi"/>
          <w:sz w:val="24"/>
          <w:szCs w:val="24"/>
        </w:rPr>
        <w:t>oraz</w:t>
      </w:r>
      <w:r w:rsidRPr="008D1D48">
        <w:rPr>
          <w:rFonts w:cstheme="minorHAnsi"/>
          <w:sz w:val="24"/>
          <w:szCs w:val="24"/>
        </w:rPr>
        <w:t xml:space="preserve"> przyczynia się do jej rozwoju.</w:t>
      </w:r>
    </w:p>
    <w:p w14:paraId="0711CB51" w14:textId="77777777" w:rsidR="00D13A41" w:rsidRPr="005837D6" w:rsidRDefault="00D13A41" w:rsidP="00D13A41">
      <w:pPr>
        <w:spacing w:before="240" w:after="0" w:line="276" w:lineRule="auto"/>
        <w:rPr>
          <w:rFonts w:cstheme="minorHAnsi"/>
          <w:color w:val="000000"/>
          <w:sz w:val="24"/>
          <w:szCs w:val="24"/>
        </w:rPr>
      </w:pPr>
      <w:r w:rsidRPr="008D1D48">
        <w:rPr>
          <w:rFonts w:cstheme="minorHAnsi"/>
          <w:sz w:val="24"/>
          <w:szCs w:val="24"/>
        </w:rPr>
        <w:t xml:space="preserve">W podkategorii „Przedsiębiorcy zatrudniający do 50 pracowników” za najlepszy uznano </w:t>
      </w:r>
      <w:r w:rsidRPr="005837D6">
        <w:rPr>
          <w:rFonts w:cstheme="minorHAnsi"/>
          <w:b/>
          <w:sz w:val="24"/>
          <w:szCs w:val="24"/>
        </w:rPr>
        <w:t>„</w:t>
      </w:r>
      <w:r w:rsidRPr="005837D6">
        <w:rPr>
          <w:rFonts w:cstheme="minorHAnsi"/>
          <w:b/>
          <w:color w:val="000000"/>
          <w:sz w:val="24"/>
          <w:szCs w:val="24"/>
        </w:rPr>
        <w:t>Program Inicjatyw Pracowniczych Wymyśl-Ugotuj-Wygraj</w:t>
      </w:r>
      <w:r>
        <w:rPr>
          <w:rFonts w:cstheme="minorHAnsi"/>
          <w:b/>
          <w:color w:val="000000"/>
          <w:sz w:val="24"/>
          <w:szCs w:val="24"/>
        </w:rPr>
        <w:t>”</w:t>
      </w:r>
      <w:r w:rsidRPr="005837D6">
        <w:rPr>
          <w:rFonts w:cstheme="minorHAnsi"/>
          <w:b/>
          <w:color w:val="000000"/>
          <w:sz w:val="24"/>
          <w:szCs w:val="24"/>
        </w:rPr>
        <w:t xml:space="preserve"> wdrożony w firmie Kucharski Sp. z o.o.</w:t>
      </w:r>
      <w:r w:rsidRPr="008D1D48">
        <w:rPr>
          <w:rFonts w:cstheme="minorHAnsi"/>
          <w:color w:val="000000"/>
          <w:sz w:val="24"/>
          <w:szCs w:val="24"/>
        </w:rPr>
        <w:t xml:space="preserve"> </w:t>
      </w:r>
      <w:r>
        <w:rPr>
          <w:rFonts w:cstheme="minorHAnsi"/>
          <w:color w:val="000000"/>
          <w:sz w:val="24"/>
          <w:szCs w:val="24"/>
        </w:rPr>
        <w:t xml:space="preserve"> działającej w obszarze gastronomii i produkcji wyrobów garmażeryjnych.</w:t>
      </w:r>
      <w:r w:rsidRPr="008D1D48">
        <w:rPr>
          <w:rFonts w:cstheme="minorHAnsi"/>
          <w:color w:val="000000"/>
          <w:sz w:val="24"/>
          <w:szCs w:val="24"/>
        </w:rPr>
        <w:t xml:space="preserve"> </w:t>
      </w:r>
      <w:r w:rsidRPr="005837D6">
        <w:rPr>
          <w:rFonts w:cstheme="minorHAnsi"/>
          <w:color w:val="000000"/>
          <w:sz w:val="24"/>
          <w:szCs w:val="24"/>
        </w:rPr>
        <w:t xml:space="preserve">Program powstał podczas pandemii </w:t>
      </w:r>
      <w:r>
        <w:rPr>
          <w:rFonts w:cstheme="minorHAnsi"/>
          <w:color w:val="000000"/>
          <w:sz w:val="24"/>
          <w:szCs w:val="24"/>
        </w:rPr>
        <w:t>COVID-19</w:t>
      </w:r>
      <w:r w:rsidRPr="005837D6">
        <w:rPr>
          <w:rFonts w:cstheme="minorHAnsi"/>
          <w:color w:val="000000"/>
          <w:sz w:val="24"/>
          <w:szCs w:val="24"/>
        </w:rPr>
        <w:t>, celem dywersyfikacji oferowanych produktów i</w:t>
      </w:r>
    </w:p>
    <w:p w14:paraId="203E08E2" w14:textId="61CA58D6" w:rsidR="003E606E" w:rsidRPr="008D1D48" w:rsidRDefault="00D13A41" w:rsidP="00D13A41">
      <w:pPr>
        <w:spacing w:after="0" w:line="276" w:lineRule="auto"/>
        <w:rPr>
          <w:rFonts w:cstheme="minorHAnsi"/>
          <w:color w:val="000000"/>
          <w:sz w:val="24"/>
          <w:szCs w:val="24"/>
        </w:rPr>
      </w:pPr>
      <w:r w:rsidRPr="005837D6">
        <w:rPr>
          <w:rFonts w:cstheme="minorHAnsi"/>
          <w:color w:val="000000"/>
          <w:sz w:val="24"/>
          <w:szCs w:val="24"/>
        </w:rPr>
        <w:t>niwelowani</w:t>
      </w:r>
      <w:r>
        <w:rPr>
          <w:rFonts w:cstheme="minorHAnsi"/>
          <w:color w:val="000000"/>
          <w:sz w:val="24"/>
          <w:szCs w:val="24"/>
        </w:rPr>
        <w:t>a</w:t>
      </w:r>
      <w:r w:rsidRPr="005837D6">
        <w:rPr>
          <w:rFonts w:cstheme="minorHAnsi"/>
          <w:color w:val="000000"/>
          <w:sz w:val="24"/>
          <w:szCs w:val="24"/>
        </w:rPr>
        <w:t xml:space="preserve"> dużych spadków przychodów ze sprzedaży</w:t>
      </w:r>
      <w:r>
        <w:rPr>
          <w:rFonts w:cstheme="minorHAnsi"/>
          <w:color w:val="000000"/>
          <w:sz w:val="24"/>
          <w:szCs w:val="24"/>
        </w:rPr>
        <w:t>.</w:t>
      </w:r>
      <w:r w:rsidRPr="005837D6">
        <w:rPr>
          <w:rFonts w:cstheme="minorHAnsi"/>
          <w:color w:val="000000"/>
          <w:sz w:val="24"/>
          <w:szCs w:val="24"/>
        </w:rPr>
        <w:t xml:space="preserve"> </w:t>
      </w:r>
      <w:r w:rsidRPr="00474E69">
        <w:rPr>
          <w:rFonts w:cstheme="minorHAnsi"/>
          <w:color w:val="000000"/>
          <w:sz w:val="24"/>
          <w:szCs w:val="24"/>
        </w:rPr>
        <w:t>Założeniem programu była inicjatywa</w:t>
      </w:r>
      <w:r>
        <w:rPr>
          <w:rFonts w:cstheme="minorHAnsi"/>
          <w:color w:val="000000"/>
          <w:sz w:val="24"/>
          <w:szCs w:val="24"/>
        </w:rPr>
        <w:t xml:space="preserve"> </w:t>
      </w:r>
      <w:r w:rsidRPr="00474E69">
        <w:rPr>
          <w:rFonts w:cstheme="minorHAnsi"/>
          <w:color w:val="000000"/>
          <w:sz w:val="24"/>
          <w:szCs w:val="24"/>
        </w:rPr>
        <w:t xml:space="preserve">pracowników w celu tworzenia nowych dań i receptur w jak najkrótszym czasie, </w:t>
      </w:r>
      <w:r>
        <w:rPr>
          <w:rFonts w:cstheme="minorHAnsi"/>
          <w:color w:val="000000"/>
          <w:sz w:val="24"/>
          <w:szCs w:val="24"/>
        </w:rPr>
        <w:t>aby</w:t>
      </w:r>
      <w:r w:rsidRPr="00474E69">
        <w:rPr>
          <w:rFonts w:cstheme="minorHAnsi"/>
          <w:color w:val="000000"/>
          <w:sz w:val="24"/>
          <w:szCs w:val="24"/>
        </w:rPr>
        <w:t xml:space="preserve"> mogły być</w:t>
      </w:r>
      <w:r>
        <w:rPr>
          <w:rFonts w:cstheme="minorHAnsi"/>
          <w:color w:val="000000"/>
          <w:sz w:val="24"/>
          <w:szCs w:val="24"/>
        </w:rPr>
        <w:t xml:space="preserve"> </w:t>
      </w:r>
      <w:r w:rsidRPr="00474E69">
        <w:rPr>
          <w:rFonts w:cstheme="minorHAnsi"/>
          <w:color w:val="000000"/>
          <w:sz w:val="24"/>
          <w:szCs w:val="24"/>
        </w:rPr>
        <w:t xml:space="preserve">wprowadzone do procesu produkcyjnego. </w:t>
      </w:r>
      <w:r>
        <w:rPr>
          <w:rFonts w:cstheme="minorHAnsi"/>
          <w:color w:val="000000"/>
          <w:sz w:val="24"/>
          <w:szCs w:val="24"/>
        </w:rPr>
        <w:t>P</w:t>
      </w:r>
      <w:r w:rsidRPr="00474E69">
        <w:rPr>
          <w:rFonts w:cstheme="minorHAnsi"/>
          <w:color w:val="000000"/>
          <w:sz w:val="24"/>
          <w:szCs w:val="24"/>
        </w:rPr>
        <w:t>racowni</w:t>
      </w:r>
      <w:r>
        <w:rPr>
          <w:rFonts w:cstheme="minorHAnsi"/>
          <w:color w:val="000000"/>
          <w:sz w:val="24"/>
          <w:szCs w:val="24"/>
        </w:rPr>
        <w:t>cy</w:t>
      </w:r>
      <w:r w:rsidRPr="00474E69">
        <w:rPr>
          <w:rFonts w:cstheme="minorHAnsi"/>
          <w:color w:val="000000"/>
          <w:sz w:val="24"/>
          <w:szCs w:val="24"/>
        </w:rPr>
        <w:t xml:space="preserve"> produkcyjn</w:t>
      </w:r>
      <w:r>
        <w:rPr>
          <w:rFonts w:cstheme="minorHAnsi"/>
          <w:color w:val="000000"/>
          <w:sz w:val="24"/>
          <w:szCs w:val="24"/>
        </w:rPr>
        <w:t>i zostali włączeni w proces</w:t>
      </w:r>
      <w:r w:rsidRPr="00474E69">
        <w:rPr>
          <w:rFonts w:cstheme="minorHAnsi"/>
          <w:color w:val="000000"/>
          <w:sz w:val="24"/>
          <w:szCs w:val="24"/>
        </w:rPr>
        <w:t xml:space="preserve"> wymyślani</w:t>
      </w:r>
      <w:r>
        <w:rPr>
          <w:rFonts w:cstheme="minorHAnsi"/>
          <w:color w:val="000000"/>
          <w:sz w:val="24"/>
          <w:szCs w:val="24"/>
        </w:rPr>
        <w:t>a</w:t>
      </w:r>
      <w:r w:rsidRPr="00474E69">
        <w:rPr>
          <w:rFonts w:cstheme="minorHAnsi"/>
          <w:color w:val="000000"/>
          <w:sz w:val="24"/>
          <w:szCs w:val="24"/>
        </w:rPr>
        <w:t xml:space="preserve"> nowego</w:t>
      </w:r>
      <w:r>
        <w:rPr>
          <w:rFonts w:cstheme="minorHAnsi"/>
          <w:color w:val="000000"/>
          <w:sz w:val="24"/>
          <w:szCs w:val="24"/>
        </w:rPr>
        <w:t xml:space="preserve"> </w:t>
      </w:r>
      <w:r w:rsidRPr="00474E69">
        <w:rPr>
          <w:rFonts w:cstheme="minorHAnsi"/>
          <w:color w:val="000000"/>
          <w:sz w:val="24"/>
          <w:szCs w:val="24"/>
        </w:rPr>
        <w:t>asortymentu</w:t>
      </w:r>
      <w:r>
        <w:rPr>
          <w:rFonts w:cstheme="minorHAnsi"/>
          <w:color w:val="000000"/>
          <w:sz w:val="24"/>
          <w:szCs w:val="24"/>
        </w:rPr>
        <w:t>,</w:t>
      </w:r>
      <w:r w:rsidRPr="00474E69">
        <w:rPr>
          <w:rFonts w:cstheme="minorHAnsi"/>
          <w:color w:val="000000"/>
          <w:sz w:val="24"/>
          <w:szCs w:val="24"/>
        </w:rPr>
        <w:t xml:space="preserve"> ale też tworzeni</w:t>
      </w:r>
      <w:r>
        <w:rPr>
          <w:rFonts w:cstheme="minorHAnsi"/>
          <w:color w:val="000000"/>
          <w:sz w:val="24"/>
          <w:szCs w:val="24"/>
        </w:rPr>
        <w:t>a</w:t>
      </w:r>
      <w:r w:rsidRPr="00474E69">
        <w:rPr>
          <w:rFonts w:cstheme="minorHAnsi"/>
          <w:color w:val="000000"/>
          <w:sz w:val="24"/>
          <w:szCs w:val="24"/>
        </w:rPr>
        <w:t xml:space="preserve"> receptur przez nich samych przy</w:t>
      </w:r>
      <w:r>
        <w:rPr>
          <w:rFonts w:cstheme="minorHAnsi"/>
          <w:color w:val="000000"/>
          <w:sz w:val="24"/>
          <w:szCs w:val="24"/>
        </w:rPr>
        <w:t xml:space="preserve"> </w:t>
      </w:r>
      <w:r w:rsidRPr="00474E69">
        <w:rPr>
          <w:rFonts w:cstheme="minorHAnsi"/>
          <w:color w:val="000000"/>
          <w:sz w:val="24"/>
          <w:szCs w:val="24"/>
        </w:rPr>
        <w:t>współpracy i pomocy technologa.</w:t>
      </w:r>
      <w:r>
        <w:rPr>
          <w:rFonts w:cstheme="minorHAnsi"/>
          <w:color w:val="000000"/>
          <w:sz w:val="24"/>
          <w:szCs w:val="24"/>
        </w:rPr>
        <w:t xml:space="preserve"> </w:t>
      </w:r>
      <w:r w:rsidRPr="008D1D48">
        <w:rPr>
          <w:rFonts w:cstheme="minorHAnsi"/>
          <w:color w:val="000000"/>
          <w:sz w:val="24"/>
          <w:szCs w:val="24"/>
        </w:rPr>
        <w:t>Dzięki programowi do produkcji wprowadzono 24 nowe dania. W początkowej fazie w programie uczestniczyli tylko pracownicy produkcyjni</w:t>
      </w:r>
      <w:r>
        <w:rPr>
          <w:rFonts w:cstheme="minorHAnsi"/>
          <w:color w:val="000000"/>
          <w:sz w:val="24"/>
          <w:szCs w:val="24"/>
        </w:rPr>
        <w:t xml:space="preserve">, </w:t>
      </w:r>
      <w:r w:rsidRPr="008D1D48">
        <w:rPr>
          <w:rFonts w:cstheme="minorHAnsi"/>
          <w:color w:val="000000"/>
          <w:sz w:val="24"/>
          <w:szCs w:val="24"/>
        </w:rPr>
        <w:t>z czasem włączono również pozostałe działy (sprzedaży czy marketingu) ze względu na zgłaszaną przez nich chęć uczestnictwa.</w:t>
      </w:r>
    </w:p>
    <w:p w14:paraId="47AE1224" w14:textId="77777777" w:rsidR="00D13A41" w:rsidRPr="008D1D48" w:rsidRDefault="00D13A41" w:rsidP="00D13A41">
      <w:pPr>
        <w:spacing w:after="240" w:line="276" w:lineRule="auto"/>
        <w:rPr>
          <w:rFonts w:cstheme="minorHAnsi"/>
          <w:color w:val="000000"/>
          <w:sz w:val="24"/>
          <w:szCs w:val="24"/>
        </w:rPr>
      </w:pPr>
      <w:r w:rsidRPr="008D1D48">
        <w:rPr>
          <w:rFonts w:cstheme="minorHAnsi"/>
          <w:color w:val="000000"/>
          <w:sz w:val="24"/>
          <w:szCs w:val="24"/>
        </w:rPr>
        <w:t xml:space="preserve">Program przyczynił się do usprawnienia sposobu wprowadzania nowych produktów, optymalizacji funkcjonowania działu produkcyjnego i wzrostu wydajności. Analiza sprzedaży dań wprowadzonych podczas programu wykazała, że dania z nowego asortymentu stanowią ponad 20% wszystkich sprzedawanych produktów. Ta wartość nadal systematycznie rośnie. Wprowadzenie nowych produktów do oferty przyczyniło się również do wejścia na nowe rynki </w:t>
      </w:r>
      <w:r w:rsidRPr="008D1D48">
        <w:rPr>
          <w:rFonts w:cstheme="minorHAnsi"/>
          <w:color w:val="000000"/>
          <w:sz w:val="24"/>
          <w:szCs w:val="24"/>
        </w:rPr>
        <w:lastRenderedPageBreak/>
        <w:t>zbytu (m.in. restauracje). Program istotnie wpłynął na wzmocnienie działalności i utrzymanie przedsiębiorstwa w czasie pandemii COVID-19. W sytuacji</w:t>
      </w:r>
      <w:r>
        <w:rPr>
          <w:rFonts w:cstheme="minorHAnsi"/>
          <w:color w:val="000000"/>
          <w:sz w:val="24"/>
          <w:szCs w:val="24"/>
        </w:rPr>
        <w:t>,</w:t>
      </w:r>
      <w:r w:rsidRPr="008D1D48">
        <w:rPr>
          <w:rFonts w:cstheme="minorHAnsi"/>
          <w:color w:val="000000"/>
          <w:sz w:val="24"/>
          <w:szCs w:val="24"/>
        </w:rPr>
        <w:t xml:space="preserve"> kiedy tradycyjny asortyment kuchni polskiej w punktach sprzedaży przestał się sprzedawać, to właśnie wprowadzenie dań kuchni zagranicznych, dań restauracyjnych, które były zgłaszane przez pracowników podczas programu, przyczyniło się do zmniejszenia spadków ze sprzedaży.</w:t>
      </w:r>
    </w:p>
    <w:p w14:paraId="7E5A38F2" w14:textId="66478BC8" w:rsidR="003E606E" w:rsidRPr="003E606E" w:rsidRDefault="00D13A41" w:rsidP="00D13A41">
      <w:pPr>
        <w:spacing w:before="360" w:after="0" w:line="276" w:lineRule="auto"/>
        <w:rPr>
          <w:rFonts w:cstheme="minorHAnsi"/>
          <w:color w:val="000000"/>
          <w:sz w:val="24"/>
          <w:szCs w:val="24"/>
        </w:rPr>
      </w:pPr>
      <w:r w:rsidRPr="008D1D48">
        <w:rPr>
          <w:rFonts w:cstheme="minorHAnsi"/>
          <w:sz w:val="24"/>
          <w:szCs w:val="24"/>
        </w:rPr>
        <w:t xml:space="preserve">Za najlepsze rozwiązanie ICT w podkategorii „Przedsiębiorcy funkcjonujący na rynku nie dłużej niż 3 lata” uznano </w:t>
      </w:r>
      <w:r w:rsidRPr="005837D6">
        <w:rPr>
          <w:rFonts w:cstheme="minorHAnsi"/>
          <w:b/>
          <w:sz w:val="24"/>
          <w:szCs w:val="24"/>
        </w:rPr>
        <w:t>„</w:t>
      </w:r>
      <w:r w:rsidRPr="005837D6">
        <w:rPr>
          <w:rFonts w:cstheme="minorHAnsi"/>
          <w:b/>
          <w:color w:val="000000"/>
          <w:sz w:val="24"/>
          <w:szCs w:val="24"/>
        </w:rPr>
        <w:t xml:space="preserve">Hinter.ai </w:t>
      </w:r>
      <w:r w:rsidRPr="00DD7432">
        <w:rPr>
          <w:rFonts w:cstheme="minorHAnsi"/>
          <w:b/>
          <w:spacing w:val="-4"/>
          <w:sz w:val="24"/>
          <w:szCs w:val="24"/>
        </w:rPr>
        <w:t>–</w:t>
      </w:r>
      <w:r w:rsidRPr="005837D6">
        <w:rPr>
          <w:rFonts w:cstheme="minorHAnsi"/>
          <w:b/>
          <w:color w:val="000000"/>
          <w:sz w:val="24"/>
          <w:szCs w:val="24"/>
        </w:rPr>
        <w:t xml:space="preserve"> platformę do rozwijania organizacji (firmy) na podstawie informacji od pracowników</w:t>
      </w:r>
      <w:r>
        <w:rPr>
          <w:rFonts w:cstheme="minorHAnsi"/>
          <w:b/>
          <w:color w:val="000000"/>
          <w:sz w:val="24"/>
          <w:szCs w:val="24"/>
        </w:rPr>
        <w:t>”</w:t>
      </w:r>
      <w:r w:rsidRPr="005837D6">
        <w:rPr>
          <w:rFonts w:cstheme="minorHAnsi"/>
          <w:b/>
          <w:color w:val="000000"/>
          <w:sz w:val="24"/>
          <w:szCs w:val="24"/>
        </w:rPr>
        <w:t xml:space="preserve"> opracowaną przez Hinter.ai Sp. z o.o.</w:t>
      </w:r>
      <w:r>
        <w:rPr>
          <w:rFonts w:cstheme="minorHAnsi"/>
          <w:b/>
          <w:color w:val="000000"/>
          <w:sz w:val="24"/>
          <w:szCs w:val="24"/>
        </w:rPr>
        <w:t xml:space="preserve"> </w:t>
      </w:r>
      <w:r w:rsidRPr="006B5A19">
        <w:rPr>
          <w:rFonts w:cstheme="minorHAnsi"/>
          <w:color w:val="000000"/>
          <w:sz w:val="24"/>
          <w:szCs w:val="24"/>
        </w:rPr>
        <w:t>Jest</w:t>
      </w:r>
      <w:r w:rsidRPr="008D1D48">
        <w:rPr>
          <w:rFonts w:cstheme="minorHAnsi"/>
          <w:color w:val="000000"/>
          <w:sz w:val="24"/>
          <w:szCs w:val="24"/>
        </w:rPr>
        <w:t xml:space="preserve"> to platforma do rozwijania organizacji</w:t>
      </w:r>
      <w:r>
        <w:rPr>
          <w:rFonts w:cstheme="minorHAnsi"/>
          <w:color w:val="000000"/>
          <w:sz w:val="24"/>
          <w:szCs w:val="24"/>
        </w:rPr>
        <w:t>,</w:t>
      </w:r>
      <w:r w:rsidRPr="008D1D48">
        <w:rPr>
          <w:rFonts w:cstheme="minorHAnsi"/>
          <w:color w:val="000000"/>
          <w:sz w:val="24"/>
          <w:szCs w:val="24"/>
        </w:rPr>
        <w:t xml:space="preserve"> dzięki wykorzystaniu zaawansowanej analizy informacji</w:t>
      </w:r>
      <w:r>
        <w:rPr>
          <w:rFonts w:cstheme="minorHAnsi"/>
          <w:color w:val="000000"/>
          <w:sz w:val="24"/>
          <w:szCs w:val="24"/>
        </w:rPr>
        <w:t>,</w:t>
      </w:r>
      <w:r w:rsidRPr="008D1D48">
        <w:rPr>
          <w:rFonts w:cstheme="minorHAnsi"/>
          <w:color w:val="000000"/>
          <w:sz w:val="24"/>
          <w:szCs w:val="24"/>
        </w:rPr>
        <w:t xml:space="preserve"> sugestii</w:t>
      </w:r>
      <w:r>
        <w:rPr>
          <w:rFonts w:cstheme="minorHAnsi"/>
          <w:color w:val="000000"/>
          <w:sz w:val="24"/>
          <w:szCs w:val="24"/>
        </w:rPr>
        <w:t>,</w:t>
      </w:r>
      <w:r w:rsidRPr="008D1D48">
        <w:rPr>
          <w:rFonts w:cstheme="minorHAnsi"/>
          <w:color w:val="000000"/>
          <w:sz w:val="24"/>
          <w:szCs w:val="24"/>
        </w:rPr>
        <w:t xml:space="preserve"> inicjatyw od pracowników. </w:t>
      </w:r>
      <w:r w:rsidRPr="00AB4B9E">
        <w:rPr>
          <w:rFonts w:cstheme="minorHAnsi"/>
          <w:color w:val="000000"/>
          <w:sz w:val="24"/>
          <w:szCs w:val="24"/>
        </w:rPr>
        <w:t>Platforma gromadzi informacje o</w:t>
      </w:r>
      <w:r>
        <w:rPr>
          <w:rFonts w:cstheme="minorHAnsi"/>
          <w:color w:val="000000"/>
          <w:sz w:val="24"/>
          <w:szCs w:val="24"/>
        </w:rPr>
        <w:t xml:space="preserve"> </w:t>
      </w:r>
      <w:r w:rsidRPr="00AB4B9E">
        <w:rPr>
          <w:rFonts w:cstheme="minorHAnsi"/>
          <w:color w:val="000000"/>
          <w:sz w:val="24"/>
          <w:szCs w:val="24"/>
        </w:rPr>
        <w:t>firmie pobrane od pracowników w formie krótkich ankiet, następnie dokonuje ich zaawansowanej analizy</w:t>
      </w:r>
      <w:r>
        <w:rPr>
          <w:rFonts w:cstheme="minorHAnsi"/>
          <w:color w:val="000000"/>
          <w:sz w:val="24"/>
          <w:szCs w:val="24"/>
        </w:rPr>
        <w:t xml:space="preserve"> </w:t>
      </w:r>
      <w:r w:rsidRPr="00AB4B9E">
        <w:rPr>
          <w:rFonts w:cstheme="minorHAnsi"/>
          <w:color w:val="000000"/>
          <w:sz w:val="24"/>
          <w:szCs w:val="24"/>
        </w:rPr>
        <w:t>statystycznej i udostępnia pracodawcy wyniki w formie raportu. Dodatkowo</w:t>
      </w:r>
      <w:r>
        <w:rPr>
          <w:rFonts w:cstheme="minorHAnsi"/>
          <w:color w:val="000000"/>
          <w:sz w:val="24"/>
          <w:szCs w:val="24"/>
        </w:rPr>
        <w:t xml:space="preserve"> </w:t>
      </w:r>
      <w:r w:rsidRPr="00AB4B9E">
        <w:rPr>
          <w:rFonts w:cstheme="minorHAnsi"/>
          <w:color w:val="000000"/>
          <w:sz w:val="24"/>
          <w:szCs w:val="24"/>
        </w:rPr>
        <w:t xml:space="preserve">udostępnia funkcjonalność wspierającą </w:t>
      </w:r>
      <w:r>
        <w:rPr>
          <w:rFonts w:cstheme="minorHAnsi"/>
          <w:color w:val="000000"/>
          <w:sz w:val="24"/>
          <w:szCs w:val="24"/>
        </w:rPr>
        <w:t xml:space="preserve">proces </w:t>
      </w:r>
      <w:r w:rsidRPr="00AB4B9E">
        <w:rPr>
          <w:rFonts w:cstheme="minorHAnsi"/>
          <w:color w:val="000000"/>
          <w:sz w:val="24"/>
          <w:szCs w:val="24"/>
        </w:rPr>
        <w:t>wdrożenia sugestii pracowników do organizacji oraz pomiar</w:t>
      </w:r>
      <w:r>
        <w:rPr>
          <w:rFonts w:cstheme="minorHAnsi"/>
          <w:color w:val="000000"/>
          <w:sz w:val="24"/>
          <w:szCs w:val="24"/>
        </w:rPr>
        <w:t xml:space="preserve"> </w:t>
      </w:r>
      <w:r w:rsidRPr="00AB4B9E">
        <w:rPr>
          <w:rFonts w:cstheme="minorHAnsi"/>
          <w:color w:val="000000"/>
          <w:sz w:val="24"/>
          <w:szCs w:val="24"/>
        </w:rPr>
        <w:t>efektów wdrożonych w firmie działań.</w:t>
      </w:r>
      <w:r>
        <w:rPr>
          <w:rFonts w:cstheme="minorHAnsi"/>
          <w:color w:val="000000"/>
          <w:sz w:val="24"/>
          <w:szCs w:val="24"/>
        </w:rPr>
        <w:t xml:space="preserve"> </w:t>
      </w:r>
      <w:r w:rsidRPr="00AB4B9E">
        <w:rPr>
          <w:rFonts w:cstheme="minorHAnsi"/>
          <w:color w:val="000000"/>
          <w:sz w:val="24"/>
          <w:szCs w:val="24"/>
        </w:rPr>
        <w:t>Pracownicy zgłaszają</w:t>
      </w:r>
      <w:r>
        <w:rPr>
          <w:rFonts w:cstheme="minorHAnsi"/>
          <w:color w:val="000000"/>
          <w:sz w:val="24"/>
          <w:szCs w:val="24"/>
        </w:rPr>
        <w:t>cy</w:t>
      </w:r>
      <w:r w:rsidRPr="00AB4B9E">
        <w:rPr>
          <w:rFonts w:cstheme="minorHAnsi"/>
          <w:color w:val="000000"/>
          <w:sz w:val="24"/>
          <w:szCs w:val="24"/>
        </w:rPr>
        <w:t xml:space="preserve"> inicjatywy</w:t>
      </w:r>
      <w:r>
        <w:rPr>
          <w:rFonts w:cstheme="minorHAnsi"/>
          <w:color w:val="000000"/>
          <w:sz w:val="24"/>
          <w:szCs w:val="24"/>
        </w:rPr>
        <w:t>,</w:t>
      </w:r>
      <w:r w:rsidRPr="00AB4B9E">
        <w:rPr>
          <w:rFonts w:cstheme="minorHAnsi"/>
          <w:color w:val="000000"/>
          <w:sz w:val="24"/>
          <w:szCs w:val="24"/>
        </w:rPr>
        <w:t xml:space="preserve"> pomysły</w:t>
      </w:r>
      <w:r>
        <w:rPr>
          <w:rFonts w:cstheme="minorHAnsi"/>
          <w:color w:val="000000"/>
          <w:sz w:val="24"/>
          <w:szCs w:val="24"/>
        </w:rPr>
        <w:t xml:space="preserve">, </w:t>
      </w:r>
      <w:r w:rsidRPr="00AB4B9E">
        <w:rPr>
          <w:rFonts w:cstheme="minorHAnsi"/>
          <w:color w:val="000000"/>
          <w:sz w:val="24"/>
          <w:szCs w:val="24"/>
        </w:rPr>
        <w:t>sugestie za pośrednictwem systemu Hinter.ai</w:t>
      </w:r>
      <w:r>
        <w:rPr>
          <w:rFonts w:cstheme="minorHAnsi"/>
          <w:color w:val="000000"/>
          <w:sz w:val="24"/>
          <w:szCs w:val="24"/>
        </w:rPr>
        <w:t xml:space="preserve">, mogą to zrobić </w:t>
      </w:r>
      <w:r w:rsidRPr="00AB4B9E">
        <w:rPr>
          <w:rFonts w:cstheme="minorHAnsi"/>
          <w:color w:val="000000"/>
          <w:sz w:val="24"/>
          <w:szCs w:val="24"/>
        </w:rPr>
        <w:t xml:space="preserve">w trybie odpowiedzi na pytania ankietowe </w:t>
      </w:r>
      <w:r>
        <w:rPr>
          <w:rFonts w:cstheme="minorHAnsi"/>
          <w:color w:val="000000"/>
          <w:sz w:val="24"/>
          <w:szCs w:val="24"/>
        </w:rPr>
        <w:t xml:space="preserve">lub </w:t>
      </w:r>
      <w:r w:rsidRPr="00AB4B9E">
        <w:rPr>
          <w:rFonts w:cstheme="minorHAnsi"/>
          <w:color w:val="000000"/>
          <w:sz w:val="24"/>
          <w:szCs w:val="24"/>
        </w:rPr>
        <w:t xml:space="preserve">w postaci zgłoszenia </w:t>
      </w:r>
      <w:r>
        <w:rPr>
          <w:rFonts w:cstheme="minorHAnsi"/>
          <w:spacing w:val="-4"/>
          <w:sz w:val="24"/>
          <w:szCs w:val="24"/>
        </w:rPr>
        <w:t>–</w:t>
      </w:r>
      <w:r w:rsidRPr="00AB4B9E">
        <w:rPr>
          <w:rFonts w:cstheme="minorHAnsi"/>
          <w:color w:val="000000"/>
          <w:sz w:val="24"/>
          <w:szCs w:val="24"/>
        </w:rPr>
        <w:t xml:space="preserve"> opisu pomysłów ich zdaniem potrzebnych do wdrożenia w organizacji.</w:t>
      </w:r>
      <w:r>
        <w:rPr>
          <w:rFonts w:cstheme="minorHAnsi"/>
          <w:color w:val="000000"/>
          <w:sz w:val="24"/>
          <w:szCs w:val="24"/>
        </w:rPr>
        <w:t xml:space="preserve"> A</w:t>
      </w:r>
      <w:r w:rsidRPr="00AB4B9E">
        <w:rPr>
          <w:rFonts w:cstheme="minorHAnsi"/>
          <w:color w:val="000000"/>
          <w:sz w:val="24"/>
          <w:szCs w:val="24"/>
        </w:rPr>
        <w:t xml:space="preserve">nkiety mogą być wypełniane na każdym urządzeniu z dostępem do </w:t>
      </w:r>
      <w:r>
        <w:rPr>
          <w:rFonts w:cstheme="minorHAnsi"/>
          <w:color w:val="000000"/>
          <w:sz w:val="24"/>
          <w:szCs w:val="24"/>
        </w:rPr>
        <w:t>I</w:t>
      </w:r>
      <w:r w:rsidRPr="00AB4B9E">
        <w:rPr>
          <w:rFonts w:cstheme="minorHAnsi"/>
          <w:color w:val="000000"/>
          <w:sz w:val="24"/>
          <w:szCs w:val="24"/>
        </w:rPr>
        <w:t>nternetu.</w:t>
      </w:r>
      <w:r>
        <w:rPr>
          <w:rFonts w:cstheme="minorHAnsi"/>
          <w:color w:val="000000"/>
          <w:sz w:val="24"/>
          <w:szCs w:val="24"/>
        </w:rPr>
        <w:t xml:space="preserve"> D</w:t>
      </w:r>
      <w:r w:rsidRPr="008D1D48">
        <w:rPr>
          <w:rFonts w:cstheme="minorHAnsi"/>
          <w:color w:val="000000"/>
          <w:sz w:val="24"/>
          <w:szCs w:val="24"/>
        </w:rPr>
        <w:t>zięki wykorzystaniu analiz statystycznych badających wzajemne zależności pomiędzy określonymi zmiennymi w organizacji</w:t>
      </w:r>
      <w:r>
        <w:rPr>
          <w:rFonts w:cstheme="minorHAnsi"/>
          <w:color w:val="000000"/>
          <w:sz w:val="24"/>
          <w:szCs w:val="24"/>
        </w:rPr>
        <w:t>,</w:t>
      </w:r>
      <w:r w:rsidRPr="008D1D48">
        <w:rPr>
          <w:rFonts w:cstheme="minorHAnsi"/>
          <w:color w:val="000000"/>
          <w:sz w:val="24"/>
          <w:szCs w:val="24"/>
        </w:rPr>
        <w:t xml:space="preserve"> </w:t>
      </w:r>
      <w:r>
        <w:rPr>
          <w:rFonts w:cstheme="minorHAnsi"/>
          <w:color w:val="000000"/>
          <w:sz w:val="24"/>
          <w:szCs w:val="24"/>
        </w:rPr>
        <w:t>s</w:t>
      </w:r>
      <w:r w:rsidRPr="008D1D48">
        <w:rPr>
          <w:rFonts w:cstheme="minorHAnsi"/>
          <w:color w:val="000000"/>
          <w:sz w:val="24"/>
          <w:szCs w:val="24"/>
        </w:rPr>
        <w:t xml:space="preserve">ystem </w:t>
      </w:r>
      <w:r>
        <w:rPr>
          <w:rFonts w:cstheme="minorHAnsi"/>
          <w:color w:val="000000"/>
          <w:sz w:val="24"/>
          <w:szCs w:val="24"/>
        </w:rPr>
        <w:t xml:space="preserve">potrafi wskazać, które pomysły czy </w:t>
      </w:r>
      <w:r w:rsidRPr="008D1D48">
        <w:rPr>
          <w:rFonts w:cstheme="minorHAnsi"/>
          <w:color w:val="000000"/>
          <w:sz w:val="24"/>
          <w:szCs w:val="24"/>
        </w:rPr>
        <w:t>inicjatywy pracownicze</w:t>
      </w:r>
      <w:r>
        <w:rPr>
          <w:rFonts w:cstheme="minorHAnsi"/>
          <w:color w:val="000000"/>
          <w:sz w:val="24"/>
          <w:szCs w:val="24"/>
        </w:rPr>
        <w:t xml:space="preserve"> </w:t>
      </w:r>
      <w:r w:rsidRPr="008D1D48">
        <w:rPr>
          <w:rFonts w:cstheme="minorHAnsi"/>
          <w:color w:val="000000"/>
          <w:sz w:val="24"/>
          <w:szCs w:val="24"/>
        </w:rPr>
        <w:t xml:space="preserve">są najbardziej pożądane </w:t>
      </w:r>
      <w:r>
        <w:rPr>
          <w:rFonts w:cstheme="minorHAnsi"/>
          <w:color w:val="000000"/>
          <w:sz w:val="24"/>
          <w:szCs w:val="24"/>
        </w:rPr>
        <w:t>i przyniosą realne korzyści dla firmy po ich wdrożeniu</w:t>
      </w:r>
      <w:r w:rsidRPr="008D1D48">
        <w:rPr>
          <w:rFonts w:cstheme="minorHAnsi"/>
          <w:color w:val="000000"/>
          <w:sz w:val="24"/>
          <w:szCs w:val="24"/>
        </w:rPr>
        <w:t xml:space="preserve">. </w:t>
      </w:r>
    </w:p>
    <w:p w14:paraId="6092DEAD" w14:textId="77777777" w:rsidR="00D13A41" w:rsidRPr="008D1D48" w:rsidRDefault="00D13A41" w:rsidP="00D13A41">
      <w:pPr>
        <w:spacing w:after="240" w:line="276" w:lineRule="auto"/>
        <w:rPr>
          <w:rFonts w:cstheme="minorHAnsi"/>
          <w:sz w:val="24"/>
          <w:szCs w:val="24"/>
        </w:rPr>
      </w:pPr>
      <w:r w:rsidRPr="008D1D48">
        <w:rPr>
          <w:rFonts w:cstheme="minorHAnsi"/>
          <w:sz w:val="24"/>
          <w:szCs w:val="24"/>
        </w:rPr>
        <w:t xml:space="preserve">Platforma Hinter.ai funkcjonuje w modelu SaaS </w:t>
      </w:r>
      <w:r w:rsidRPr="008D1D48">
        <w:rPr>
          <w:rFonts w:cstheme="minorHAnsi"/>
          <w:color w:val="000000"/>
          <w:sz w:val="24"/>
          <w:szCs w:val="24"/>
        </w:rPr>
        <w:t>(</w:t>
      </w:r>
      <w:proofErr w:type="spellStart"/>
      <w:r w:rsidRPr="00062A45">
        <w:rPr>
          <w:rFonts w:cstheme="minorHAnsi"/>
          <w:i/>
          <w:color w:val="000000"/>
          <w:sz w:val="24"/>
          <w:szCs w:val="24"/>
        </w:rPr>
        <w:t>Sofware</w:t>
      </w:r>
      <w:proofErr w:type="spellEnd"/>
      <w:r w:rsidRPr="00062A45">
        <w:rPr>
          <w:rFonts w:cstheme="minorHAnsi"/>
          <w:i/>
          <w:color w:val="000000"/>
          <w:sz w:val="24"/>
          <w:szCs w:val="24"/>
        </w:rPr>
        <w:t xml:space="preserve"> as a Service</w:t>
      </w:r>
      <w:r w:rsidRPr="008D1D48">
        <w:rPr>
          <w:rFonts w:cstheme="minorHAnsi"/>
          <w:color w:val="000000"/>
          <w:sz w:val="24"/>
          <w:szCs w:val="24"/>
        </w:rPr>
        <w:t>)</w:t>
      </w:r>
      <w:r w:rsidRPr="008D1D48">
        <w:rPr>
          <w:rFonts w:cstheme="minorHAnsi"/>
          <w:sz w:val="24"/>
          <w:szCs w:val="24"/>
        </w:rPr>
        <w:t xml:space="preserve">, nie wymaga instalacji na serwerach czy komputerach klientów </w:t>
      </w:r>
      <w:r>
        <w:rPr>
          <w:rFonts w:cstheme="minorHAnsi"/>
          <w:sz w:val="24"/>
          <w:szCs w:val="24"/>
        </w:rPr>
        <w:t>(</w:t>
      </w:r>
      <w:r w:rsidRPr="008D1D48">
        <w:rPr>
          <w:rFonts w:cstheme="minorHAnsi"/>
          <w:sz w:val="24"/>
          <w:szCs w:val="24"/>
        </w:rPr>
        <w:t>klienci logują się do systemu przy wykorzystaniu sieci Internet</w:t>
      </w:r>
      <w:r>
        <w:rPr>
          <w:rFonts w:cstheme="minorHAnsi"/>
          <w:sz w:val="24"/>
          <w:szCs w:val="24"/>
        </w:rPr>
        <w:t>)</w:t>
      </w:r>
      <w:r w:rsidRPr="008D1D48">
        <w:rPr>
          <w:rFonts w:cstheme="minorHAnsi"/>
          <w:sz w:val="24"/>
          <w:szCs w:val="24"/>
        </w:rPr>
        <w:t xml:space="preserve">. </w:t>
      </w:r>
      <w:r>
        <w:rPr>
          <w:rFonts w:cstheme="minorHAnsi"/>
          <w:sz w:val="24"/>
          <w:szCs w:val="24"/>
        </w:rPr>
        <w:t>Jest już dostępna na rynku, z</w:t>
      </w:r>
      <w:r w:rsidRPr="008D1D48">
        <w:rPr>
          <w:rFonts w:cstheme="minorHAnsi"/>
          <w:sz w:val="24"/>
          <w:szCs w:val="24"/>
        </w:rPr>
        <w:t xml:space="preserve">ostała wdrożona w </w:t>
      </w:r>
      <w:r>
        <w:rPr>
          <w:rFonts w:cstheme="minorHAnsi"/>
          <w:sz w:val="24"/>
          <w:szCs w:val="24"/>
        </w:rPr>
        <w:t xml:space="preserve">wielu </w:t>
      </w:r>
      <w:r w:rsidRPr="008D1D48">
        <w:rPr>
          <w:rFonts w:cstheme="minorHAnsi"/>
          <w:sz w:val="24"/>
          <w:szCs w:val="24"/>
        </w:rPr>
        <w:t xml:space="preserve"> przedsiębiorstwach i nadal jest udoskonalana, tworzone są nowe moduły i wersje systemu m.in. w oparciu o uczenie maszynowe i sztuczną inteligencję. W ramach wsparcia na etapie wdrożenia rozwiązania, firma oferuje usługi konsultacyjne, organizację szkoleń i warsztatów.</w:t>
      </w:r>
    </w:p>
    <w:p w14:paraId="236A2663" w14:textId="77777777" w:rsidR="005B0F7D" w:rsidRDefault="00D13A41" w:rsidP="00D13A41">
      <w:pPr>
        <w:spacing w:line="276" w:lineRule="auto"/>
        <w:rPr>
          <w:rFonts w:cstheme="minorHAnsi"/>
          <w:sz w:val="24"/>
          <w:szCs w:val="24"/>
        </w:rPr>
      </w:pPr>
      <w:r w:rsidRPr="008D1D48">
        <w:rPr>
          <w:rFonts w:cstheme="minorHAnsi"/>
          <w:sz w:val="24"/>
          <w:szCs w:val="24"/>
        </w:rPr>
        <w:t xml:space="preserve">W podkategorii „Przedsiębiorcy funkcjonujący na rynku dłużej niż 3 lata” za najlepsze rozwiązanie uznano </w:t>
      </w:r>
      <w:r w:rsidRPr="005837D6">
        <w:rPr>
          <w:rFonts w:cstheme="minorHAnsi"/>
          <w:b/>
          <w:sz w:val="24"/>
          <w:szCs w:val="24"/>
        </w:rPr>
        <w:t>„</w:t>
      </w:r>
      <w:proofErr w:type="spellStart"/>
      <w:r w:rsidRPr="005837D6">
        <w:rPr>
          <w:rFonts w:cstheme="minorHAnsi"/>
          <w:b/>
          <w:color w:val="000000"/>
          <w:sz w:val="24"/>
          <w:szCs w:val="24"/>
        </w:rPr>
        <w:t>PulseBOT</w:t>
      </w:r>
      <w:proofErr w:type="spellEnd"/>
      <w:r w:rsidRPr="005837D6">
        <w:rPr>
          <w:rFonts w:cstheme="minorHAnsi"/>
          <w:b/>
          <w:color w:val="000000"/>
          <w:sz w:val="24"/>
          <w:szCs w:val="24"/>
        </w:rPr>
        <w:t xml:space="preserve"> </w:t>
      </w:r>
      <w:r>
        <w:rPr>
          <w:rFonts w:cstheme="minorHAnsi"/>
          <w:b/>
          <w:color w:val="000000"/>
          <w:sz w:val="24"/>
          <w:szCs w:val="24"/>
        </w:rPr>
        <w:t>–</w:t>
      </w:r>
      <w:r w:rsidRPr="005837D6">
        <w:rPr>
          <w:rFonts w:cstheme="minorHAnsi"/>
          <w:b/>
          <w:color w:val="000000"/>
          <w:sz w:val="24"/>
          <w:szCs w:val="24"/>
        </w:rPr>
        <w:t xml:space="preserve"> </w:t>
      </w:r>
      <w:r>
        <w:rPr>
          <w:rFonts w:cstheme="minorHAnsi"/>
          <w:b/>
          <w:color w:val="000000"/>
          <w:sz w:val="24"/>
          <w:szCs w:val="24"/>
        </w:rPr>
        <w:t xml:space="preserve">narzędzie </w:t>
      </w:r>
      <w:r w:rsidRPr="005837D6">
        <w:rPr>
          <w:rFonts w:cstheme="minorHAnsi"/>
          <w:b/>
          <w:color w:val="000000"/>
          <w:sz w:val="24"/>
          <w:szCs w:val="24"/>
        </w:rPr>
        <w:t>monitor</w:t>
      </w:r>
      <w:r>
        <w:rPr>
          <w:rFonts w:cstheme="minorHAnsi"/>
          <w:b/>
          <w:color w:val="000000"/>
          <w:sz w:val="24"/>
          <w:szCs w:val="24"/>
        </w:rPr>
        <w:t>ujące</w:t>
      </w:r>
      <w:r w:rsidRPr="005837D6">
        <w:rPr>
          <w:rFonts w:cstheme="minorHAnsi"/>
          <w:b/>
          <w:color w:val="000000"/>
          <w:sz w:val="24"/>
          <w:szCs w:val="24"/>
        </w:rPr>
        <w:t xml:space="preserve"> nastroj</w:t>
      </w:r>
      <w:r>
        <w:rPr>
          <w:rFonts w:cstheme="minorHAnsi"/>
          <w:b/>
          <w:color w:val="000000"/>
          <w:sz w:val="24"/>
          <w:szCs w:val="24"/>
        </w:rPr>
        <w:t>e</w:t>
      </w:r>
      <w:r w:rsidRPr="005837D6">
        <w:rPr>
          <w:rFonts w:cstheme="minorHAnsi"/>
          <w:b/>
          <w:color w:val="000000"/>
          <w:sz w:val="24"/>
          <w:szCs w:val="24"/>
        </w:rPr>
        <w:t xml:space="preserve"> pracowników poprzez regularne, zautomatyzowane badanie ich poziomu zadowolenia z pracy” opracowane przez </w:t>
      </w:r>
      <w:proofErr w:type="spellStart"/>
      <w:r w:rsidRPr="005837D6">
        <w:rPr>
          <w:rFonts w:cstheme="minorHAnsi"/>
          <w:b/>
          <w:color w:val="000000"/>
          <w:sz w:val="24"/>
          <w:szCs w:val="24"/>
        </w:rPr>
        <w:t>Scalac</w:t>
      </w:r>
      <w:proofErr w:type="spellEnd"/>
      <w:r w:rsidRPr="005837D6">
        <w:rPr>
          <w:rFonts w:cstheme="minorHAnsi"/>
          <w:b/>
          <w:color w:val="000000"/>
          <w:sz w:val="24"/>
          <w:szCs w:val="24"/>
        </w:rPr>
        <w:t xml:space="preserve"> Sp. z o.o.</w:t>
      </w:r>
      <w:r w:rsidRPr="008D1D48">
        <w:rPr>
          <w:rFonts w:cstheme="minorHAnsi"/>
          <w:color w:val="000000"/>
          <w:sz w:val="24"/>
          <w:szCs w:val="24"/>
        </w:rPr>
        <w:t xml:space="preserve"> </w:t>
      </w:r>
      <w:r w:rsidRPr="008D1D48">
        <w:rPr>
          <w:rFonts w:cstheme="minorHAnsi"/>
          <w:sz w:val="24"/>
          <w:szCs w:val="24"/>
        </w:rPr>
        <w:t xml:space="preserve">Nadrzędnym zadaniem </w:t>
      </w:r>
      <w:proofErr w:type="spellStart"/>
      <w:r>
        <w:rPr>
          <w:rFonts w:cstheme="minorHAnsi"/>
          <w:sz w:val="24"/>
          <w:szCs w:val="24"/>
        </w:rPr>
        <w:t>PulseBot’a</w:t>
      </w:r>
      <w:proofErr w:type="spellEnd"/>
      <w:r w:rsidRPr="008D1D48">
        <w:rPr>
          <w:rFonts w:cstheme="minorHAnsi"/>
          <w:sz w:val="24"/>
          <w:szCs w:val="24"/>
        </w:rPr>
        <w:t xml:space="preserve"> jest monitorowanie nastrojów pracowników. Rozwiązanie to funkcjonuje jako kreator ankiet, które </w:t>
      </w:r>
      <w:r>
        <w:rPr>
          <w:rFonts w:cstheme="minorHAnsi"/>
          <w:sz w:val="24"/>
          <w:szCs w:val="24"/>
        </w:rPr>
        <w:t xml:space="preserve">są im </w:t>
      </w:r>
      <w:r w:rsidRPr="008D1D48">
        <w:rPr>
          <w:rFonts w:cstheme="minorHAnsi"/>
          <w:sz w:val="24"/>
          <w:szCs w:val="24"/>
        </w:rPr>
        <w:t>wysyłane w komunikatorze</w:t>
      </w:r>
      <w:r>
        <w:rPr>
          <w:rFonts w:cstheme="minorHAnsi"/>
          <w:sz w:val="24"/>
          <w:szCs w:val="24"/>
        </w:rPr>
        <w:t>, używanym do codziennej wymiany wiadomości</w:t>
      </w:r>
      <w:r w:rsidRPr="008D1D48">
        <w:rPr>
          <w:rFonts w:cstheme="minorHAnsi"/>
          <w:sz w:val="24"/>
          <w:szCs w:val="24"/>
        </w:rPr>
        <w:t xml:space="preserve">. Umożliwia to pracownikom </w:t>
      </w:r>
      <w:r>
        <w:rPr>
          <w:rFonts w:cstheme="minorHAnsi"/>
          <w:sz w:val="24"/>
          <w:szCs w:val="24"/>
        </w:rPr>
        <w:t xml:space="preserve">przede wszystkim </w:t>
      </w:r>
      <w:r w:rsidRPr="008D1D48">
        <w:rPr>
          <w:rFonts w:cstheme="minorHAnsi"/>
          <w:sz w:val="24"/>
          <w:szCs w:val="24"/>
        </w:rPr>
        <w:t>przekazywanie informacji zwrotnej pracodawcy</w:t>
      </w:r>
      <w:r>
        <w:rPr>
          <w:rFonts w:cstheme="minorHAnsi"/>
          <w:sz w:val="24"/>
          <w:szCs w:val="24"/>
        </w:rPr>
        <w:t xml:space="preserve"> i</w:t>
      </w:r>
      <w:r w:rsidRPr="008D1D48">
        <w:rPr>
          <w:rFonts w:cstheme="minorHAnsi"/>
          <w:sz w:val="24"/>
          <w:szCs w:val="24"/>
        </w:rPr>
        <w:t xml:space="preserve"> sygnalizowanie przeszkód i wyzwań, na które natrafiają w pracy</w:t>
      </w:r>
      <w:r>
        <w:rPr>
          <w:rFonts w:cstheme="minorHAnsi"/>
          <w:sz w:val="24"/>
          <w:szCs w:val="24"/>
        </w:rPr>
        <w:t>. Ponadto w znacznym stopniu ułatwia komunikację oczekiwań</w:t>
      </w:r>
      <w:r w:rsidRPr="008D1D48">
        <w:rPr>
          <w:rFonts w:cstheme="minorHAnsi"/>
          <w:sz w:val="24"/>
          <w:szCs w:val="24"/>
        </w:rPr>
        <w:t xml:space="preserve"> nt. kierunków</w:t>
      </w:r>
      <w:r>
        <w:rPr>
          <w:rFonts w:cstheme="minorHAnsi"/>
          <w:sz w:val="24"/>
          <w:szCs w:val="24"/>
        </w:rPr>
        <w:t>,</w:t>
      </w:r>
      <w:r w:rsidRPr="008D1D48">
        <w:rPr>
          <w:rFonts w:cstheme="minorHAnsi"/>
          <w:sz w:val="24"/>
          <w:szCs w:val="24"/>
        </w:rPr>
        <w:t xml:space="preserve"> w których chcą się rozwijać </w:t>
      </w:r>
      <w:r>
        <w:rPr>
          <w:rFonts w:cstheme="minorHAnsi"/>
          <w:sz w:val="24"/>
          <w:szCs w:val="24"/>
        </w:rPr>
        <w:t>oraz przepływ</w:t>
      </w:r>
      <w:r w:rsidRPr="008D1D48">
        <w:rPr>
          <w:rFonts w:cstheme="minorHAnsi"/>
          <w:sz w:val="24"/>
          <w:szCs w:val="24"/>
        </w:rPr>
        <w:t xml:space="preserve"> informacji związanych z technologiami, które zyskują na popularności </w:t>
      </w:r>
      <w:r>
        <w:rPr>
          <w:rFonts w:cstheme="minorHAnsi"/>
          <w:sz w:val="24"/>
          <w:szCs w:val="24"/>
        </w:rPr>
        <w:t>lub</w:t>
      </w:r>
      <w:r w:rsidRPr="008D1D48">
        <w:rPr>
          <w:rFonts w:cstheme="minorHAnsi"/>
          <w:sz w:val="24"/>
          <w:szCs w:val="24"/>
        </w:rPr>
        <w:t xml:space="preserve"> od których się odchodzi. Pozwala to </w:t>
      </w:r>
      <w:r>
        <w:rPr>
          <w:rFonts w:cstheme="minorHAnsi"/>
          <w:sz w:val="24"/>
          <w:szCs w:val="24"/>
        </w:rPr>
        <w:t xml:space="preserve">pracodawcom </w:t>
      </w:r>
      <w:r w:rsidRPr="008D1D48">
        <w:rPr>
          <w:rFonts w:cstheme="minorHAnsi"/>
          <w:sz w:val="24"/>
          <w:szCs w:val="24"/>
        </w:rPr>
        <w:t xml:space="preserve">na </w:t>
      </w:r>
      <w:r>
        <w:rPr>
          <w:rFonts w:cstheme="minorHAnsi"/>
          <w:sz w:val="24"/>
          <w:szCs w:val="24"/>
        </w:rPr>
        <w:t>szybkie</w:t>
      </w:r>
      <w:r w:rsidRPr="008D1D48">
        <w:rPr>
          <w:rFonts w:cstheme="minorHAnsi"/>
          <w:sz w:val="24"/>
          <w:szCs w:val="24"/>
        </w:rPr>
        <w:t xml:space="preserve"> reagowanie na potrzeby pracowników</w:t>
      </w:r>
      <w:r>
        <w:rPr>
          <w:rFonts w:cstheme="minorHAnsi"/>
          <w:sz w:val="24"/>
          <w:szCs w:val="24"/>
        </w:rPr>
        <w:t xml:space="preserve">. Dodatkową wartością jest możliwość </w:t>
      </w:r>
      <w:r w:rsidRPr="008D1D48">
        <w:rPr>
          <w:rFonts w:cstheme="minorHAnsi"/>
          <w:sz w:val="24"/>
          <w:szCs w:val="24"/>
        </w:rPr>
        <w:t xml:space="preserve"> odpowiednie</w:t>
      </w:r>
      <w:r>
        <w:rPr>
          <w:rFonts w:cstheme="minorHAnsi"/>
          <w:sz w:val="24"/>
          <w:szCs w:val="24"/>
        </w:rPr>
        <w:t>go</w:t>
      </w:r>
      <w:r w:rsidRPr="008D1D48">
        <w:rPr>
          <w:rFonts w:cstheme="minorHAnsi"/>
          <w:sz w:val="24"/>
          <w:szCs w:val="24"/>
        </w:rPr>
        <w:t xml:space="preserve"> dostosowani</w:t>
      </w:r>
      <w:r>
        <w:rPr>
          <w:rFonts w:cstheme="minorHAnsi"/>
          <w:sz w:val="24"/>
          <w:szCs w:val="24"/>
        </w:rPr>
        <w:t>a</w:t>
      </w:r>
      <w:r w:rsidRPr="008D1D48">
        <w:rPr>
          <w:rFonts w:cstheme="minorHAnsi"/>
          <w:sz w:val="24"/>
          <w:szCs w:val="24"/>
        </w:rPr>
        <w:t xml:space="preserve"> strategii rozwoju biznesu i odpowiadanie na</w:t>
      </w:r>
      <w:r>
        <w:rPr>
          <w:rFonts w:cstheme="minorHAnsi"/>
          <w:sz w:val="24"/>
          <w:szCs w:val="24"/>
        </w:rPr>
        <w:t xml:space="preserve"> realne i aktualne</w:t>
      </w:r>
      <w:r w:rsidRPr="008D1D48">
        <w:rPr>
          <w:rFonts w:cstheme="minorHAnsi"/>
          <w:sz w:val="24"/>
          <w:szCs w:val="24"/>
        </w:rPr>
        <w:t xml:space="preserve"> potrzeby rynku</w:t>
      </w:r>
      <w:r>
        <w:rPr>
          <w:rFonts w:cstheme="minorHAnsi"/>
          <w:sz w:val="24"/>
          <w:szCs w:val="24"/>
        </w:rPr>
        <w:t xml:space="preserve"> poprzez monitorowanie i przewidywanie trendów dotyczących </w:t>
      </w:r>
      <w:r>
        <w:rPr>
          <w:rFonts w:cstheme="minorHAnsi"/>
          <w:sz w:val="24"/>
          <w:szCs w:val="24"/>
        </w:rPr>
        <w:lastRenderedPageBreak/>
        <w:t>technologii i domen, które będą zyskiwały na znaczeniu na rynku IT</w:t>
      </w:r>
      <w:r w:rsidRPr="008D1D48">
        <w:rPr>
          <w:rFonts w:cstheme="minorHAnsi"/>
          <w:sz w:val="24"/>
          <w:szCs w:val="24"/>
        </w:rPr>
        <w:t xml:space="preserve">. Rozwiązanie wspiera procesy zgłaszania informacji przez pracowników oraz ich analizę. </w:t>
      </w:r>
      <w:r>
        <w:rPr>
          <w:rFonts w:cstheme="minorHAnsi"/>
          <w:sz w:val="24"/>
          <w:szCs w:val="24"/>
        </w:rPr>
        <w:t xml:space="preserve">Obecnie </w:t>
      </w:r>
      <w:r>
        <w:rPr>
          <w:rFonts w:cstheme="minorHAnsi"/>
          <w:spacing w:val="-4"/>
          <w:sz w:val="24"/>
          <w:szCs w:val="24"/>
        </w:rPr>
        <w:t>p</w:t>
      </w:r>
      <w:r w:rsidRPr="008D1D48">
        <w:rPr>
          <w:rFonts w:cstheme="minorHAnsi"/>
          <w:spacing w:val="-4"/>
          <w:sz w:val="24"/>
          <w:szCs w:val="24"/>
        </w:rPr>
        <w:t>rowadzon</w:t>
      </w:r>
      <w:r>
        <w:rPr>
          <w:rFonts w:cstheme="minorHAnsi"/>
          <w:spacing w:val="-4"/>
          <w:sz w:val="24"/>
          <w:szCs w:val="24"/>
        </w:rPr>
        <w:t xml:space="preserve">e są </w:t>
      </w:r>
      <w:r w:rsidRPr="008D1D48">
        <w:rPr>
          <w:rFonts w:cstheme="minorHAnsi"/>
          <w:spacing w:val="-4"/>
          <w:sz w:val="24"/>
          <w:szCs w:val="24"/>
        </w:rPr>
        <w:t xml:space="preserve"> wewnętrzne badania i </w:t>
      </w:r>
      <w:r>
        <w:rPr>
          <w:rFonts w:cstheme="minorHAnsi"/>
          <w:spacing w:val="-4"/>
          <w:sz w:val="24"/>
          <w:szCs w:val="24"/>
        </w:rPr>
        <w:t>ewaluacje</w:t>
      </w:r>
      <w:r w:rsidRPr="008D1D48">
        <w:rPr>
          <w:rFonts w:cstheme="minorHAnsi"/>
          <w:sz w:val="24"/>
          <w:szCs w:val="24"/>
        </w:rPr>
        <w:t xml:space="preserve"> związane z udoskonaleniem narzędzia</w:t>
      </w:r>
      <w:r>
        <w:rPr>
          <w:rFonts w:cstheme="minorHAnsi"/>
          <w:sz w:val="24"/>
          <w:szCs w:val="24"/>
        </w:rPr>
        <w:t xml:space="preserve">. </w:t>
      </w:r>
      <w:r>
        <w:rPr>
          <w:rFonts w:cstheme="minorHAnsi"/>
          <w:spacing w:val="-4"/>
          <w:sz w:val="24"/>
          <w:szCs w:val="24"/>
        </w:rPr>
        <w:t>P</w:t>
      </w:r>
      <w:r w:rsidRPr="008D1D48">
        <w:rPr>
          <w:rFonts w:cstheme="minorHAnsi"/>
          <w:spacing w:val="-4"/>
          <w:sz w:val="24"/>
          <w:szCs w:val="24"/>
        </w:rPr>
        <w:t xml:space="preserve">lanowane jest wdrożenie modułu uczenia maszynowego (ML) odpowiedzialnego za predykcje m.in. możliwego momentu </w:t>
      </w:r>
      <w:r>
        <w:rPr>
          <w:rFonts w:cstheme="minorHAnsi"/>
          <w:spacing w:val="-4"/>
          <w:sz w:val="24"/>
          <w:szCs w:val="24"/>
        </w:rPr>
        <w:t>rezygnacji</w:t>
      </w:r>
      <w:r w:rsidRPr="008D1D48">
        <w:rPr>
          <w:rFonts w:cstheme="minorHAnsi"/>
          <w:spacing w:val="-4"/>
          <w:sz w:val="24"/>
          <w:szCs w:val="24"/>
        </w:rPr>
        <w:t xml:space="preserve"> pracowników. </w:t>
      </w:r>
      <w:r w:rsidRPr="008D1D48">
        <w:rPr>
          <w:rFonts w:cstheme="minorHAnsi"/>
          <w:bCs/>
          <w:sz w:val="24"/>
          <w:szCs w:val="24"/>
        </w:rPr>
        <w:t xml:space="preserve">Rozwiązanie </w:t>
      </w:r>
      <w:r w:rsidRPr="008D1D48">
        <w:rPr>
          <w:rFonts w:cstheme="minorHAnsi"/>
          <w:sz w:val="24"/>
          <w:szCs w:val="24"/>
        </w:rPr>
        <w:t>jest łatwo adaptowalne i kompatybilne z popularnym wśród przedsiębiorstw komunikatorem „</w:t>
      </w:r>
      <w:proofErr w:type="spellStart"/>
      <w:r w:rsidRPr="008D1D48">
        <w:rPr>
          <w:rFonts w:cstheme="minorHAnsi"/>
          <w:sz w:val="24"/>
          <w:szCs w:val="24"/>
        </w:rPr>
        <w:t>Slack</w:t>
      </w:r>
      <w:proofErr w:type="spellEnd"/>
      <w:r w:rsidRPr="008D1D48">
        <w:rPr>
          <w:rFonts w:cstheme="minorHAnsi"/>
          <w:sz w:val="24"/>
          <w:szCs w:val="24"/>
        </w:rPr>
        <w:t>”.</w:t>
      </w:r>
    </w:p>
    <w:p w14:paraId="21103CFC" w14:textId="10478947" w:rsidR="00D13A41" w:rsidRPr="008D1D48" w:rsidRDefault="00D13A41" w:rsidP="00D13A41">
      <w:pPr>
        <w:spacing w:line="276" w:lineRule="auto"/>
        <w:rPr>
          <w:rFonts w:cstheme="minorHAnsi"/>
          <w:sz w:val="24"/>
          <w:szCs w:val="24"/>
        </w:rPr>
      </w:pPr>
      <w:r>
        <w:rPr>
          <w:rFonts w:cstheme="minorHAnsi"/>
          <w:sz w:val="24"/>
          <w:szCs w:val="24"/>
        </w:rPr>
        <w:t>____________________________</w:t>
      </w:r>
    </w:p>
    <w:p w14:paraId="07005A1B" w14:textId="77777777" w:rsidR="00D13A41" w:rsidRPr="008D1D48" w:rsidRDefault="00D13A41" w:rsidP="005B0F7D">
      <w:pPr>
        <w:spacing w:after="0" w:line="240" w:lineRule="auto"/>
        <w:rPr>
          <w:rFonts w:cstheme="minorHAnsi"/>
          <w:sz w:val="24"/>
          <w:szCs w:val="24"/>
        </w:rPr>
      </w:pPr>
      <w:r w:rsidRPr="008D1D48">
        <w:rPr>
          <w:rFonts w:cstheme="minorHAnsi"/>
          <w:sz w:val="24"/>
          <w:szCs w:val="24"/>
        </w:rPr>
        <w:t>Udział w konkursie mogły wziąć mikro, małe, średnie i duże przedsiębiorstwa prowadzące działalność na terytorium Polski. Konkurs organizowany był dla dwóch typów projektów: Programów rozwoju inicjatyw pracowniczych (dla przedsiębiorców zatrudniających mniej niż 50 pracowników, od 50 do 249 pracowników oraz od 250 pracowników) i Rozwiązań ICT wspierających programy rozwoju inicjatyw pracowniczych (dla startupów oraz dla przedsiębiorców funkcjonujących na rynku dłużej niż 3 lata).</w:t>
      </w:r>
    </w:p>
    <w:p w14:paraId="338D6705" w14:textId="77777777" w:rsidR="00D13A41" w:rsidRPr="008D1D48" w:rsidRDefault="00D13A41" w:rsidP="005B0F7D">
      <w:pPr>
        <w:spacing w:before="360" w:after="0" w:line="240" w:lineRule="auto"/>
        <w:rPr>
          <w:rFonts w:cstheme="minorHAnsi"/>
          <w:sz w:val="24"/>
          <w:szCs w:val="24"/>
        </w:rPr>
      </w:pPr>
      <w:r w:rsidRPr="008D1D48">
        <w:rPr>
          <w:rFonts w:cstheme="minorHAnsi"/>
          <w:bCs/>
          <w:sz w:val="24"/>
          <w:szCs w:val="24"/>
        </w:rPr>
        <w:t xml:space="preserve">Do konkursu można było zgłosić aktualnie realizowane przedsięwzięcia </w:t>
      </w:r>
      <w:r>
        <w:rPr>
          <w:rFonts w:cstheme="minorHAnsi"/>
          <w:bCs/>
          <w:sz w:val="24"/>
          <w:szCs w:val="24"/>
        </w:rPr>
        <w:t>–</w:t>
      </w:r>
      <w:r w:rsidRPr="008D1D48">
        <w:rPr>
          <w:rFonts w:cstheme="minorHAnsi"/>
          <w:bCs/>
          <w:sz w:val="24"/>
          <w:szCs w:val="24"/>
        </w:rPr>
        <w:t xml:space="preserve"> programy rozwoju inicjatyw pracowniczych</w:t>
      </w:r>
      <w:r w:rsidRPr="008D1D48">
        <w:rPr>
          <w:rFonts w:cstheme="minorHAnsi"/>
          <w:sz w:val="24"/>
          <w:szCs w:val="24"/>
        </w:rPr>
        <w:t xml:space="preserve">, które zachęcają pracowników do dzielenia się pomysłami na usprawnienia lub dotyczą całkowicie nowych rozwiązań (programy działające od co najmniej 6 miesięcy, posiadające regulamin bądź inny dokument regulujący zasady funkcjonowania programu). W kategorii rozwiązań ICT można było zgłosić </w:t>
      </w:r>
      <w:r w:rsidRPr="008D1D48">
        <w:rPr>
          <w:rFonts w:cstheme="minorHAnsi"/>
          <w:bCs/>
          <w:sz w:val="24"/>
          <w:szCs w:val="24"/>
        </w:rPr>
        <w:t>gotowe narzędzia</w:t>
      </w:r>
      <w:r w:rsidRPr="008D1D48">
        <w:rPr>
          <w:rFonts w:cstheme="minorHAnsi"/>
          <w:sz w:val="24"/>
          <w:szCs w:val="24"/>
        </w:rPr>
        <w:t>, które wspierają programy rozwoju inicjatyw pracowniczych w przedsiębiorstwach i przyczyniają się do skutecznego ich funkcjonowania (dostępne na rynku nie dłużej niż 5 lat, wdrożone w co najmniej jednym podmiocie, do których uczestnik posiada autorskie prawa majątkowe).</w:t>
      </w:r>
    </w:p>
    <w:p w14:paraId="1A564ACC" w14:textId="77777777" w:rsidR="005B0F7D" w:rsidRDefault="00D13A41" w:rsidP="005B0F7D">
      <w:pPr>
        <w:pStyle w:val="Tekstkomentarza"/>
        <w:spacing w:before="360" w:after="0"/>
        <w:rPr>
          <w:rFonts w:cstheme="minorHAnsi"/>
          <w:bCs/>
          <w:sz w:val="24"/>
          <w:szCs w:val="24"/>
        </w:rPr>
      </w:pPr>
      <w:r w:rsidRPr="008D1D48">
        <w:rPr>
          <w:rFonts w:cstheme="minorHAnsi"/>
          <w:bCs/>
          <w:sz w:val="24"/>
          <w:szCs w:val="24"/>
        </w:rPr>
        <w:t>Patronat nad Konkursem sprawuje Ministerstwo Rozwoju i Technologii.</w:t>
      </w:r>
      <w:bookmarkStart w:id="1" w:name="_GoBack"/>
      <w:bookmarkEnd w:id="1"/>
    </w:p>
    <w:p w14:paraId="2B4DB92C" w14:textId="2C8235CA" w:rsidR="00D13A41" w:rsidRPr="005B0F7D" w:rsidRDefault="00095BC1" w:rsidP="005B0F7D">
      <w:pPr>
        <w:pStyle w:val="Tekstkomentarza"/>
        <w:spacing w:before="360" w:after="0"/>
        <w:rPr>
          <w:rFonts w:cstheme="minorHAnsi"/>
          <w:bCs/>
          <w:sz w:val="24"/>
          <w:szCs w:val="24"/>
        </w:rPr>
      </w:pPr>
      <w:hyperlink r:id="rId13" w:history="1">
        <w:r w:rsidR="00D13A41" w:rsidRPr="009D4225">
          <w:rPr>
            <w:rStyle w:val="Hipercze"/>
            <w:rFonts w:cs="Calibri"/>
            <w:b/>
            <w:bCs/>
          </w:rPr>
          <w:t>Więcej informacji o konkursie</w:t>
        </w:r>
      </w:hyperlink>
    </w:p>
    <w:p w14:paraId="5FC58E3F" w14:textId="77777777" w:rsidR="00D13A41" w:rsidRPr="003E606E" w:rsidRDefault="00D13A41" w:rsidP="005B0F7D">
      <w:pPr>
        <w:pStyle w:val="NormalnyWeb"/>
        <w:spacing w:after="0" w:afterAutospacing="0"/>
        <w:rPr>
          <w:rFonts w:ascii="Calibri" w:hAnsi="Calibri" w:cs="Calibri"/>
        </w:rPr>
      </w:pPr>
      <w:r w:rsidRPr="003E606E">
        <w:rPr>
          <w:rFonts w:ascii="Calibri" w:hAnsi="Calibri" w:cs="Calibri"/>
        </w:rPr>
        <w:t xml:space="preserve">Konkurs organizowany jest w ramach Programu Operacyjnego Inteligentny Rozwój 2014-2020, Poddziałanie 2.4.1 „Centrum analiz i pilotaży nowych instrumentów </w:t>
      </w:r>
      <w:proofErr w:type="spellStart"/>
      <w:r w:rsidRPr="003E606E">
        <w:rPr>
          <w:rFonts w:ascii="Calibri" w:hAnsi="Calibri" w:cs="Calibri"/>
        </w:rPr>
        <w:t>inno_LAB</w:t>
      </w:r>
      <w:proofErr w:type="spellEnd"/>
      <w:r w:rsidRPr="003E606E">
        <w:rPr>
          <w:rFonts w:ascii="Calibri" w:hAnsi="Calibri" w:cs="Calibri"/>
        </w:rPr>
        <w:t>”.</w:t>
      </w:r>
    </w:p>
    <w:p w14:paraId="38EEE8BE" w14:textId="77777777" w:rsidR="00D13A41" w:rsidRPr="008D1D48" w:rsidRDefault="00D13A41" w:rsidP="00D13A41">
      <w:pPr>
        <w:pStyle w:val="NormalnyWeb"/>
        <w:spacing w:before="360" w:beforeAutospacing="0" w:after="240" w:afterAutospacing="0" w:line="276" w:lineRule="auto"/>
        <w:rPr>
          <w:rFonts w:asciiTheme="minorHAnsi" w:hAnsiTheme="minorHAnsi" w:cstheme="minorHAnsi"/>
          <w:b/>
          <w:bCs/>
          <w:color w:val="212121"/>
        </w:rPr>
      </w:pPr>
      <w:r>
        <w:rPr>
          <w:rFonts w:asciiTheme="minorHAnsi" w:hAnsiTheme="minorHAnsi" w:cstheme="minorHAnsi"/>
          <w:noProof/>
        </w:rPr>
        <w:drawing>
          <wp:anchor distT="0" distB="0" distL="114300" distR="114300" simplePos="0" relativeHeight="251661312" behindDoc="1" locked="0" layoutInCell="1" allowOverlap="1" wp14:anchorId="649C74ED" wp14:editId="613EA108">
            <wp:simplePos x="0" y="0"/>
            <wp:positionH relativeFrom="column">
              <wp:posOffset>3376930</wp:posOffset>
            </wp:positionH>
            <wp:positionV relativeFrom="paragraph">
              <wp:posOffset>222250</wp:posOffset>
            </wp:positionV>
            <wp:extent cx="2196885" cy="91440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RiT_LOGO_POZIOM_PL_brak_tla+czarne_liternictw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96885" cy="914400"/>
                    </a:xfrm>
                    <a:prstGeom prst="rect">
                      <a:avLst/>
                    </a:prstGeom>
                  </pic:spPr>
                </pic:pic>
              </a:graphicData>
            </a:graphic>
          </wp:anchor>
        </w:drawing>
      </w:r>
      <w:r w:rsidRPr="008D1D48">
        <w:rPr>
          <w:rFonts w:asciiTheme="minorHAnsi" w:hAnsiTheme="minorHAnsi" w:cstheme="minorHAnsi"/>
          <w:noProof/>
        </w:rPr>
        <w:drawing>
          <wp:anchor distT="0" distB="0" distL="114300" distR="114300" simplePos="0" relativeHeight="251659264" behindDoc="0" locked="0" layoutInCell="1" allowOverlap="1" wp14:anchorId="3AB49031" wp14:editId="3C0C6AF0">
            <wp:simplePos x="0" y="0"/>
            <wp:positionH relativeFrom="column">
              <wp:posOffset>121285</wp:posOffset>
            </wp:positionH>
            <wp:positionV relativeFrom="paragraph">
              <wp:posOffset>391795</wp:posOffset>
            </wp:positionV>
            <wp:extent cx="2952750" cy="499745"/>
            <wp:effectExtent l="0" t="0" r="0" b="0"/>
            <wp:wrapSquare wrapText="bothSides"/>
            <wp:docPr id="2" name="Obraz 2" descr="Logotyp Najlepsze Programy Rozwoju Inicjatyw Pracownicz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 Najlepsze Programy Rozwoju Inicjatyw Pracowniczyc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0" cy="499745"/>
                    </a:xfrm>
                    <a:prstGeom prst="rect">
                      <a:avLst/>
                    </a:prstGeom>
                    <a:noFill/>
                  </pic:spPr>
                </pic:pic>
              </a:graphicData>
            </a:graphic>
            <wp14:sizeRelH relativeFrom="page">
              <wp14:pctWidth>0</wp14:pctWidth>
            </wp14:sizeRelH>
            <wp14:sizeRelV relativeFrom="page">
              <wp14:pctHeight>0</wp14:pctHeight>
            </wp14:sizeRelV>
          </wp:anchor>
        </w:drawing>
      </w:r>
    </w:p>
    <w:p w14:paraId="4063A368" w14:textId="77777777" w:rsidR="00D13A41" w:rsidRPr="008D1D48" w:rsidRDefault="00D13A41" w:rsidP="00D13A41">
      <w:pPr>
        <w:spacing w:line="276" w:lineRule="auto"/>
        <w:rPr>
          <w:rFonts w:cstheme="minorHAnsi"/>
          <w:noProof/>
          <w:sz w:val="24"/>
          <w:szCs w:val="24"/>
        </w:rPr>
      </w:pPr>
    </w:p>
    <w:p w14:paraId="49809337" w14:textId="77777777" w:rsidR="00D13A41" w:rsidRPr="008D1D48" w:rsidRDefault="00D13A41" w:rsidP="00D13A41">
      <w:pPr>
        <w:spacing w:line="276" w:lineRule="auto"/>
        <w:rPr>
          <w:rFonts w:cstheme="minorHAnsi"/>
          <w:sz w:val="24"/>
          <w:szCs w:val="24"/>
        </w:rPr>
      </w:pPr>
      <w:r w:rsidRPr="008D1D48">
        <w:rPr>
          <w:rFonts w:cstheme="minorHAnsi"/>
          <w:noProof/>
          <w:sz w:val="24"/>
          <w:szCs w:val="24"/>
        </w:rPr>
        <w:drawing>
          <wp:anchor distT="0" distB="0" distL="114300" distR="114300" simplePos="0" relativeHeight="251660288" behindDoc="1" locked="0" layoutInCell="1" allowOverlap="1" wp14:anchorId="436F4970" wp14:editId="1F6115C5">
            <wp:simplePos x="0" y="0"/>
            <wp:positionH relativeFrom="margin">
              <wp:align>left</wp:align>
            </wp:positionH>
            <wp:positionV relativeFrom="paragraph">
              <wp:posOffset>323850</wp:posOffset>
            </wp:positionV>
            <wp:extent cx="6120130" cy="664845"/>
            <wp:effectExtent l="0" t="0" r="0" b="1905"/>
            <wp:wrapTight wrapText="bothSides">
              <wp:wrapPolygon edited="0">
                <wp:start x="0" y="0"/>
                <wp:lineTo x="0" y="21043"/>
                <wp:lineTo x="21515" y="21043"/>
                <wp:lineTo x="21515" y="0"/>
                <wp:lineTo x="0" y="0"/>
              </wp:wrapPolygon>
            </wp:wrapTight>
            <wp:docPr id="7" name="Obraz 7" descr="Logotyp Fundusze Europejskie Inteligentny Rozwój, Rzeczpospolita Polska, PARP Grupa PFR,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 Fundusze Europejskie Inteligentny Rozwój, Rzeczpospolita Polska, PARP Grupa PFR, Unia Europejska Europejski Fundusz Rozwoju Regionalne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130" cy="664845"/>
                    </a:xfrm>
                    <a:prstGeom prst="rect">
                      <a:avLst/>
                    </a:prstGeom>
                    <a:noFill/>
                  </pic:spPr>
                </pic:pic>
              </a:graphicData>
            </a:graphic>
            <wp14:sizeRelH relativeFrom="page">
              <wp14:pctWidth>0</wp14:pctWidth>
            </wp14:sizeRelH>
            <wp14:sizeRelV relativeFrom="page">
              <wp14:pctHeight>0</wp14:pctHeight>
            </wp14:sizeRelV>
          </wp:anchor>
        </w:drawing>
      </w:r>
    </w:p>
    <w:p w14:paraId="66D9040A" w14:textId="58FA0382" w:rsidR="00CD1371" w:rsidRPr="00CD1371" w:rsidRDefault="00CD1371" w:rsidP="00CD1371">
      <w:pPr>
        <w:spacing w:before="240" w:line="276" w:lineRule="auto"/>
        <w:jc w:val="center"/>
        <w:rPr>
          <w:rFonts w:asciiTheme="majorHAnsi" w:hAnsiTheme="majorHAnsi" w:cs="Calibri"/>
          <w:color w:val="0563C1"/>
          <w:sz w:val="24"/>
          <w:szCs w:val="24"/>
          <w:u w:val="single"/>
        </w:rPr>
      </w:pPr>
    </w:p>
    <w:sectPr w:rsidR="00CD1371" w:rsidRPr="00CD1371" w:rsidSect="00F756DA">
      <w:type w:val="continuous"/>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1E283" w14:textId="77777777" w:rsidR="00095BC1" w:rsidRDefault="00095BC1">
      <w:pPr>
        <w:spacing w:after="0" w:line="240" w:lineRule="auto"/>
      </w:pPr>
      <w:r>
        <w:separator/>
      </w:r>
    </w:p>
  </w:endnote>
  <w:endnote w:type="continuationSeparator" w:id="0">
    <w:p w14:paraId="73484FCC" w14:textId="77777777" w:rsidR="00095BC1" w:rsidRDefault="0009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Segoe UI"/>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27560" w14:textId="77777777" w:rsidR="00095BC1" w:rsidRDefault="00095BC1">
      <w:pPr>
        <w:spacing w:after="0" w:line="240" w:lineRule="auto"/>
      </w:pPr>
      <w:r>
        <w:separator/>
      </w:r>
    </w:p>
  </w:footnote>
  <w:footnote w:type="continuationSeparator" w:id="0">
    <w:p w14:paraId="2CE6808F" w14:textId="77777777" w:rsidR="00095BC1" w:rsidRDefault="00095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F3A99" w14:textId="038A28FD" w:rsidR="007C1744" w:rsidRDefault="002325E3">
    <w:pPr>
      <w:pStyle w:val="Nagwek"/>
    </w:pPr>
    <w:r>
      <w:rPr>
        <w:noProof/>
        <w:lang w:val="en-US" w:eastAsia="pl-PL"/>
      </w:rPr>
      <w:drawing>
        <wp:anchor distT="0" distB="0" distL="114300" distR="114300" simplePos="0" relativeHeight="251660288" behindDoc="1" locked="0" layoutInCell="1" allowOverlap="1" wp14:anchorId="243F28DD" wp14:editId="04FD469A">
          <wp:simplePos x="0" y="0"/>
          <wp:positionH relativeFrom="column">
            <wp:posOffset>-701040</wp:posOffset>
          </wp:positionH>
          <wp:positionV relativeFrom="paragraph">
            <wp:posOffset>-434975</wp:posOffset>
          </wp:positionV>
          <wp:extent cx="7537450" cy="9567545"/>
          <wp:effectExtent l="0" t="0" r="6350" b="0"/>
          <wp:wrapNone/>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5675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EB6DE" w14:textId="298256E1" w:rsidR="007C1744" w:rsidRDefault="002325E3">
    <w:pPr>
      <w:pStyle w:val="Nagwek"/>
    </w:pPr>
    <w:r>
      <w:rPr>
        <w:noProof/>
        <w:lang w:val="en-US" w:eastAsia="pl-PL"/>
      </w:rPr>
      <w:drawing>
        <wp:anchor distT="0" distB="0" distL="114300" distR="114300" simplePos="0" relativeHeight="251661312" behindDoc="1" locked="0" layoutInCell="1" allowOverlap="1" wp14:anchorId="260F74D0" wp14:editId="65E8A803">
          <wp:simplePos x="0" y="0"/>
          <wp:positionH relativeFrom="margin">
            <wp:align>center</wp:align>
          </wp:positionH>
          <wp:positionV relativeFrom="paragraph">
            <wp:posOffset>-452755</wp:posOffset>
          </wp:positionV>
          <wp:extent cx="7115175" cy="9566910"/>
          <wp:effectExtent l="0" t="0" r="9525" b="0"/>
          <wp:wrapNone/>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5175" cy="9566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00B60" w14:textId="0B824646" w:rsidR="007C1744" w:rsidRDefault="002325E3">
    <w:pPr>
      <w:pStyle w:val="Nagwek"/>
    </w:pPr>
    <w:r>
      <w:rPr>
        <w:noProof/>
        <w:lang w:val="en-US" w:eastAsia="pl-PL"/>
      </w:rPr>
      <w:drawing>
        <wp:anchor distT="0" distB="0" distL="114300" distR="114300" simplePos="0" relativeHeight="251659264" behindDoc="1" locked="0" layoutInCell="1" allowOverlap="1" wp14:anchorId="3A0110D3" wp14:editId="38D2D6AC">
          <wp:simplePos x="0" y="0"/>
          <wp:positionH relativeFrom="column">
            <wp:posOffset>-713740</wp:posOffset>
          </wp:positionH>
          <wp:positionV relativeFrom="paragraph">
            <wp:posOffset>-444500</wp:posOffset>
          </wp:positionV>
          <wp:extent cx="7542530" cy="9573895"/>
          <wp:effectExtent l="0" t="0" r="1270" b="8255"/>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530" cy="95738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D3D9F"/>
    <w:multiLevelType w:val="hybridMultilevel"/>
    <w:tmpl w:val="944CB694"/>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97B2F0FA" w:tentative="1">
      <w:start w:val="1"/>
      <w:numFmt w:val="decimal"/>
      <w:lvlText w:val="%3."/>
      <w:lvlJc w:val="left"/>
      <w:pPr>
        <w:tabs>
          <w:tab w:val="num" w:pos="2160"/>
        </w:tabs>
        <w:ind w:left="2160" w:hanging="360"/>
      </w:pPr>
    </w:lvl>
    <w:lvl w:ilvl="3" w:tplc="6BB464EA" w:tentative="1">
      <w:start w:val="1"/>
      <w:numFmt w:val="decimal"/>
      <w:lvlText w:val="%4."/>
      <w:lvlJc w:val="left"/>
      <w:pPr>
        <w:tabs>
          <w:tab w:val="num" w:pos="2880"/>
        </w:tabs>
        <w:ind w:left="2880" w:hanging="360"/>
      </w:pPr>
    </w:lvl>
    <w:lvl w:ilvl="4" w:tplc="F1B06C4C" w:tentative="1">
      <w:start w:val="1"/>
      <w:numFmt w:val="decimal"/>
      <w:lvlText w:val="%5."/>
      <w:lvlJc w:val="left"/>
      <w:pPr>
        <w:tabs>
          <w:tab w:val="num" w:pos="3600"/>
        </w:tabs>
        <w:ind w:left="3600" w:hanging="360"/>
      </w:pPr>
    </w:lvl>
    <w:lvl w:ilvl="5" w:tplc="3E06D0F4" w:tentative="1">
      <w:start w:val="1"/>
      <w:numFmt w:val="decimal"/>
      <w:lvlText w:val="%6."/>
      <w:lvlJc w:val="left"/>
      <w:pPr>
        <w:tabs>
          <w:tab w:val="num" w:pos="4320"/>
        </w:tabs>
        <w:ind w:left="4320" w:hanging="360"/>
      </w:pPr>
    </w:lvl>
    <w:lvl w:ilvl="6" w:tplc="CF72C596" w:tentative="1">
      <w:start w:val="1"/>
      <w:numFmt w:val="decimal"/>
      <w:lvlText w:val="%7."/>
      <w:lvlJc w:val="left"/>
      <w:pPr>
        <w:tabs>
          <w:tab w:val="num" w:pos="5040"/>
        </w:tabs>
        <w:ind w:left="5040" w:hanging="360"/>
      </w:pPr>
    </w:lvl>
    <w:lvl w:ilvl="7" w:tplc="BF20C744" w:tentative="1">
      <w:start w:val="1"/>
      <w:numFmt w:val="decimal"/>
      <w:lvlText w:val="%8."/>
      <w:lvlJc w:val="left"/>
      <w:pPr>
        <w:tabs>
          <w:tab w:val="num" w:pos="5760"/>
        </w:tabs>
        <w:ind w:left="5760" w:hanging="360"/>
      </w:pPr>
    </w:lvl>
    <w:lvl w:ilvl="8" w:tplc="0674E172" w:tentative="1">
      <w:start w:val="1"/>
      <w:numFmt w:val="decimal"/>
      <w:lvlText w:val="%9."/>
      <w:lvlJc w:val="left"/>
      <w:pPr>
        <w:tabs>
          <w:tab w:val="num" w:pos="6480"/>
        </w:tabs>
        <w:ind w:left="6480" w:hanging="360"/>
      </w:pPr>
    </w:lvl>
  </w:abstractNum>
  <w:abstractNum w:abstractNumId="1" w15:restartNumberingAfterBreak="0">
    <w:nsid w:val="357E53FA"/>
    <w:multiLevelType w:val="hybridMultilevel"/>
    <w:tmpl w:val="B82E6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333489B"/>
    <w:multiLevelType w:val="hybridMultilevel"/>
    <w:tmpl w:val="FAE48DC4"/>
    <w:lvl w:ilvl="0" w:tplc="1E68F7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51432E75"/>
    <w:multiLevelType w:val="hybridMultilevel"/>
    <w:tmpl w:val="01FA3EA6"/>
    <w:lvl w:ilvl="0" w:tplc="BB60E5FC">
      <w:start w:val="1"/>
      <w:numFmt w:val="lowerLetter"/>
      <w:lvlText w:val="%1)"/>
      <w:lvlJc w:val="left"/>
      <w:pPr>
        <w:ind w:left="1560" w:hanging="360"/>
      </w:pPr>
      <w:rPr>
        <w:rFonts w:hint="default"/>
        <w:b w:val="0"/>
        <w:sz w:val="22"/>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4" w15:restartNumberingAfterBreak="0">
    <w:nsid w:val="577F5C2C"/>
    <w:multiLevelType w:val="hybridMultilevel"/>
    <w:tmpl w:val="A036A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0111643"/>
    <w:multiLevelType w:val="hybridMultilevel"/>
    <w:tmpl w:val="65C841E6"/>
    <w:lvl w:ilvl="0" w:tplc="04150017">
      <w:start w:val="1"/>
      <w:numFmt w:val="lowerLetter"/>
      <w:lvlText w:val="%1)"/>
      <w:lvlJc w:val="left"/>
      <w:pPr>
        <w:tabs>
          <w:tab w:val="num" w:pos="720"/>
        </w:tabs>
        <w:ind w:left="720" w:hanging="360"/>
      </w:pPr>
    </w:lvl>
    <w:lvl w:ilvl="1" w:tplc="E6584230">
      <w:start w:val="249"/>
      <w:numFmt w:val="bullet"/>
      <w:lvlText w:val="•"/>
      <w:lvlJc w:val="left"/>
      <w:pPr>
        <w:tabs>
          <w:tab w:val="num" w:pos="1440"/>
        </w:tabs>
        <w:ind w:left="1440" w:hanging="360"/>
      </w:pPr>
      <w:rPr>
        <w:rFonts w:ascii="Arial" w:hAnsi="Arial" w:hint="default"/>
      </w:rPr>
    </w:lvl>
    <w:lvl w:ilvl="2" w:tplc="97B2F0FA" w:tentative="1">
      <w:start w:val="1"/>
      <w:numFmt w:val="decimal"/>
      <w:lvlText w:val="%3."/>
      <w:lvlJc w:val="left"/>
      <w:pPr>
        <w:tabs>
          <w:tab w:val="num" w:pos="2160"/>
        </w:tabs>
        <w:ind w:left="2160" w:hanging="360"/>
      </w:pPr>
    </w:lvl>
    <w:lvl w:ilvl="3" w:tplc="6BB464EA" w:tentative="1">
      <w:start w:val="1"/>
      <w:numFmt w:val="decimal"/>
      <w:lvlText w:val="%4."/>
      <w:lvlJc w:val="left"/>
      <w:pPr>
        <w:tabs>
          <w:tab w:val="num" w:pos="2880"/>
        </w:tabs>
        <w:ind w:left="2880" w:hanging="360"/>
      </w:pPr>
    </w:lvl>
    <w:lvl w:ilvl="4" w:tplc="F1B06C4C" w:tentative="1">
      <w:start w:val="1"/>
      <w:numFmt w:val="decimal"/>
      <w:lvlText w:val="%5."/>
      <w:lvlJc w:val="left"/>
      <w:pPr>
        <w:tabs>
          <w:tab w:val="num" w:pos="3600"/>
        </w:tabs>
        <w:ind w:left="3600" w:hanging="360"/>
      </w:pPr>
    </w:lvl>
    <w:lvl w:ilvl="5" w:tplc="3E06D0F4" w:tentative="1">
      <w:start w:val="1"/>
      <w:numFmt w:val="decimal"/>
      <w:lvlText w:val="%6."/>
      <w:lvlJc w:val="left"/>
      <w:pPr>
        <w:tabs>
          <w:tab w:val="num" w:pos="4320"/>
        </w:tabs>
        <w:ind w:left="4320" w:hanging="360"/>
      </w:pPr>
    </w:lvl>
    <w:lvl w:ilvl="6" w:tplc="CF72C596" w:tentative="1">
      <w:start w:val="1"/>
      <w:numFmt w:val="decimal"/>
      <w:lvlText w:val="%7."/>
      <w:lvlJc w:val="left"/>
      <w:pPr>
        <w:tabs>
          <w:tab w:val="num" w:pos="5040"/>
        </w:tabs>
        <w:ind w:left="5040" w:hanging="360"/>
      </w:pPr>
    </w:lvl>
    <w:lvl w:ilvl="7" w:tplc="BF20C744" w:tentative="1">
      <w:start w:val="1"/>
      <w:numFmt w:val="decimal"/>
      <w:lvlText w:val="%8."/>
      <w:lvlJc w:val="left"/>
      <w:pPr>
        <w:tabs>
          <w:tab w:val="num" w:pos="5760"/>
        </w:tabs>
        <w:ind w:left="5760" w:hanging="360"/>
      </w:pPr>
    </w:lvl>
    <w:lvl w:ilvl="8" w:tplc="0674E172" w:tentative="1">
      <w:start w:val="1"/>
      <w:numFmt w:val="decimal"/>
      <w:lvlText w:val="%9."/>
      <w:lvlJc w:val="left"/>
      <w:pPr>
        <w:tabs>
          <w:tab w:val="num" w:pos="6480"/>
        </w:tabs>
        <w:ind w:left="6480" w:hanging="360"/>
      </w:pPr>
    </w:lvl>
  </w:abstractNum>
  <w:abstractNum w:abstractNumId="6" w15:restartNumberingAfterBreak="0">
    <w:nsid w:val="70C61E68"/>
    <w:multiLevelType w:val="hybridMultilevel"/>
    <w:tmpl w:val="69844CF0"/>
    <w:lvl w:ilvl="0" w:tplc="BB60E5FC">
      <w:start w:val="1"/>
      <w:numFmt w:val="lowerLetter"/>
      <w:lvlText w:val="%1)"/>
      <w:lvlJc w:val="left"/>
      <w:pPr>
        <w:ind w:left="1560" w:hanging="360"/>
      </w:pPr>
      <w:rPr>
        <w:rFonts w:hint="default"/>
        <w:b w:val="0"/>
        <w:sz w:val="22"/>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7" w15:restartNumberingAfterBreak="0">
    <w:nsid w:val="72C00B5F"/>
    <w:multiLevelType w:val="hybridMultilevel"/>
    <w:tmpl w:val="ECEA6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3D"/>
    <w:rsid w:val="000043B6"/>
    <w:rsid w:val="0002767B"/>
    <w:rsid w:val="00067DAF"/>
    <w:rsid w:val="00076760"/>
    <w:rsid w:val="00081C97"/>
    <w:rsid w:val="00095BC1"/>
    <w:rsid w:val="00096144"/>
    <w:rsid w:val="000C172A"/>
    <w:rsid w:val="0010620A"/>
    <w:rsid w:val="0012487A"/>
    <w:rsid w:val="00155BAB"/>
    <w:rsid w:val="0016526B"/>
    <w:rsid w:val="001C3206"/>
    <w:rsid w:val="001D3DA7"/>
    <w:rsid w:val="002212A1"/>
    <w:rsid w:val="0023061E"/>
    <w:rsid w:val="002325E3"/>
    <w:rsid w:val="002331C4"/>
    <w:rsid w:val="002379B9"/>
    <w:rsid w:val="00291E8B"/>
    <w:rsid w:val="0029503E"/>
    <w:rsid w:val="002B58DB"/>
    <w:rsid w:val="0032710E"/>
    <w:rsid w:val="00336F70"/>
    <w:rsid w:val="00343AAD"/>
    <w:rsid w:val="00367DB0"/>
    <w:rsid w:val="00384B85"/>
    <w:rsid w:val="00385BED"/>
    <w:rsid w:val="00387239"/>
    <w:rsid w:val="003970E6"/>
    <w:rsid w:val="003A40C4"/>
    <w:rsid w:val="003A43D7"/>
    <w:rsid w:val="003A65B1"/>
    <w:rsid w:val="003B24B1"/>
    <w:rsid w:val="003E606E"/>
    <w:rsid w:val="004526D6"/>
    <w:rsid w:val="00484CE7"/>
    <w:rsid w:val="004850BD"/>
    <w:rsid w:val="00486865"/>
    <w:rsid w:val="004A5A88"/>
    <w:rsid w:val="004E185E"/>
    <w:rsid w:val="004F4A11"/>
    <w:rsid w:val="00544A66"/>
    <w:rsid w:val="00556688"/>
    <w:rsid w:val="00571B2A"/>
    <w:rsid w:val="005801BA"/>
    <w:rsid w:val="00583525"/>
    <w:rsid w:val="005B0F7D"/>
    <w:rsid w:val="005D389E"/>
    <w:rsid w:val="005F1E4D"/>
    <w:rsid w:val="00600C38"/>
    <w:rsid w:val="0060342B"/>
    <w:rsid w:val="00627AE2"/>
    <w:rsid w:val="00631E77"/>
    <w:rsid w:val="006764EB"/>
    <w:rsid w:val="006C5EE8"/>
    <w:rsid w:val="006C79A1"/>
    <w:rsid w:val="006D7547"/>
    <w:rsid w:val="00736FD9"/>
    <w:rsid w:val="007378D1"/>
    <w:rsid w:val="00793D05"/>
    <w:rsid w:val="007D7EB1"/>
    <w:rsid w:val="007E435E"/>
    <w:rsid w:val="00870DF3"/>
    <w:rsid w:val="00891221"/>
    <w:rsid w:val="008A3370"/>
    <w:rsid w:val="008A4AF3"/>
    <w:rsid w:val="008C3396"/>
    <w:rsid w:val="008C41BF"/>
    <w:rsid w:val="008F174A"/>
    <w:rsid w:val="008F4B26"/>
    <w:rsid w:val="008F6A46"/>
    <w:rsid w:val="0091262D"/>
    <w:rsid w:val="00915325"/>
    <w:rsid w:val="00925945"/>
    <w:rsid w:val="00952C7B"/>
    <w:rsid w:val="00977D61"/>
    <w:rsid w:val="00984E32"/>
    <w:rsid w:val="00990716"/>
    <w:rsid w:val="009968B5"/>
    <w:rsid w:val="009A233D"/>
    <w:rsid w:val="009D4225"/>
    <w:rsid w:val="00A03989"/>
    <w:rsid w:val="00A253A4"/>
    <w:rsid w:val="00A62B86"/>
    <w:rsid w:val="00A749B7"/>
    <w:rsid w:val="00A80513"/>
    <w:rsid w:val="00AC65CF"/>
    <w:rsid w:val="00B50B4D"/>
    <w:rsid w:val="00B717D1"/>
    <w:rsid w:val="00B77154"/>
    <w:rsid w:val="00CD1371"/>
    <w:rsid w:val="00D0763E"/>
    <w:rsid w:val="00D12941"/>
    <w:rsid w:val="00D13A41"/>
    <w:rsid w:val="00D612C4"/>
    <w:rsid w:val="00D80723"/>
    <w:rsid w:val="00D815E3"/>
    <w:rsid w:val="00D96232"/>
    <w:rsid w:val="00E14005"/>
    <w:rsid w:val="00E1790B"/>
    <w:rsid w:val="00E33B09"/>
    <w:rsid w:val="00E50DA2"/>
    <w:rsid w:val="00E745B4"/>
    <w:rsid w:val="00EC5AF8"/>
    <w:rsid w:val="00F21983"/>
    <w:rsid w:val="00F27F6E"/>
    <w:rsid w:val="00F37FE3"/>
    <w:rsid w:val="00F76A54"/>
    <w:rsid w:val="00F80351"/>
    <w:rsid w:val="00FA06A0"/>
    <w:rsid w:val="00FB668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F06D9B"/>
  <w14:defaultImageDpi w14:val="300"/>
  <w15:docId w15:val="{AF6FEF62-3B17-7541-9278-93ACC608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A233D"/>
    <w:pPr>
      <w:spacing w:after="160" w:line="259" w:lineRule="auto"/>
    </w:pPr>
    <w:rPr>
      <w:rFonts w:ascii="Calibri" w:eastAsia="Calibri" w:hAnsi="Calibri" w:cs="Times New Roman"/>
      <w:sz w:val="22"/>
      <w:szCs w:val="22"/>
      <w:lang w:val="pl-PL" w:eastAsia="en-US"/>
    </w:rPr>
  </w:style>
  <w:style w:type="paragraph" w:styleId="Nagwek1">
    <w:name w:val="heading 1"/>
    <w:basedOn w:val="Normalny"/>
    <w:next w:val="Normalny"/>
    <w:link w:val="Nagwek1Znak"/>
    <w:uiPriority w:val="9"/>
    <w:qFormat/>
    <w:rsid w:val="00F27F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E140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A233D"/>
    <w:rPr>
      <w:color w:val="0563C1"/>
      <w:u w:val="single"/>
    </w:rPr>
  </w:style>
  <w:style w:type="paragraph" w:styleId="Nagwek">
    <w:name w:val="header"/>
    <w:basedOn w:val="Normalny"/>
    <w:link w:val="NagwekZnak"/>
    <w:uiPriority w:val="99"/>
    <w:unhideWhenUsed/>
    <w:rsid w:val="009A23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233D"/>
    <w:rPr>
      <w:rFonts w:ascii="Calibri" w:eastAsia="Calibri" w:hAnsi="Calibri" w:cs="Times New Roman"/>
      <w:sz w:val="22"/>
      <w:szCs w:val="22"/>
      <w:lang w:val="pl-PL" w:eastAsia="en-US"/>
    </w:rPr>
  </w:style>
  <w:style w:type="paragraph" w:styleId="NormalnyWeb">
    <w:name w:val="Normal (Web)"/>
    <w:basedOn w:val="Normalny"/>
    <w:uiPriority w:val="99"/>
    <w:unhideWhenUsed/>
    <w:qFormat/>
    <w:rsid w:val="009A233D"/>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9A233D"/>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9A233D"/>
    <w:rPr>
      <w:rFonts w:ascii="Lucida Grande CE" w:eastAsia="Calibri" w:hAnsi="Lucida Grande CE" w:cs="Lucida Grande CE"/>
      <w:sz w:val="18"/>
      <w:szCs w:val="18"/>
      <w:lang w:val="pl-PL" w:eastAsia="en-US"/>
    </w:rPr>
  </w:style>
  <w:style w:type="character" w:styleId="UyteHipercze">
    <w:name w:val="FollowedHyperlink"/>
    <w:basedOn w:val="Domylnaczcionkaakapitu"/>
    <w:uiPriority w:val="99"/>
    <w:semiHidden/>
    <w:unhideWhenUsed/>
    <w:rsid w:val="00096144"/>
    <w:rPr>
      <w:color w:val="800080" w:themeColor="followedHyperlink"/>
      <w:u w:val="single"/>
    </w:rPr>
  </w:style>
  <w:style w:type="character" w:styleId="Odwoaniedokomentarza">
    <w:name w:val="annotation reference"/>
    <w:basedOn w:val="Domylnaczcionkaakapitu"/>
    <w:uiPriority w:val="99"/>
    <w:semiHidden/>
    <w:unhideWhenUsed/>
    <w:rsid w:val="00081C97"/>
    <w:rPr>
      <w:sz w:val="16"/>
      <w:szCs w:val="16"/>
    </w:rPr>
  </w:style>
  <w:style w:type="paragraph" w:styleId="Tekstkomentarza">
    <w:name w:val="annotation text"/>
    <w:basedOn w:val="Normalny"/>
    <w:link w:val="TekstkomentarzaZnak"/>
    <w:uiPriority w:val="99"/>
    <w:unhideWhenUsed/>
    <w:qFormat/>
    <w:rsid w:val="00081C97"/>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1C97"/>
    <w:rPr>
      <w:rFonts w:ascii="Calibri" w:eastAsia="Calibri" w:hAnsi="Calibri" w:cs="Times New Roman"/>
      <w:sz w:val="20"/>
      <w:szCs w:val="20"/>
      <w:lang w:val="pl-PL" w:eastAsia="en-US"/>
    </w:rPr>
  </w:style>
  <w:style w:type="paragraph" w:styleId="Tematkomentarza">
    <w:name w:val="annotation subject"/>
    <w:basedOn w:val="Tekstkomentarza"/>
    <w:next w:val="Tekstkomentarza"/>
    <w:link w:val="TematkomentarzaZnak"/>
    <w:uiPriority w:val="99"/>
    <w:semiHidden/>
    <w:unhideWhenUsed/>
    <w:rsid w:val="00081C97"/>
    <w:rPr>
      <w:b/>
      <w:bCs/>
    </w:rPr>
  </w:style>
  <w:style w:type="character" w:customStyle="1" w:styleId="TematkomentarzaZnak">
    <w:name w:val="Temat komentarza Znak"/>
    <w:basedOn w:val="TekstkomentarzaZnak"/>
    <w:link w:val="Tematkomentarza"/>
    <w:uiPriority w:val="99"/>
    <w:semiHidden/>
    <w:rsid w:val="00081C97"/>
    <w:rPr>
      <w:rFonts w:ascii="Calibri" w:eastAsia="Calibri" w:hAnsi="Calibri" w:cs="Times New Roman"/>
      <w:b/>
      <w:bCs/>
      <w:sz w:val="20"/>
      <w:szCs w:val="20"/>
      <w:lang w:val="pl-PL" w:eastAsia="en-US"/>
    </w:rPr>
  </w:style>
  <w:style w:type="paragraph" w:styleId="Akapitzlist">
    <w:name w:val="List Paragraph"/>
    <w:basedOn w:val="Normalny"/>
    <w:uiPriority w:val="34"/>
    <w:qFormat/>
    <w:rsid w:val="00D96232"/>
    <w:pPr>
      <w:ind w:left="720"/>
      <w:contextualSpacing/>
    </w:pPr>
  </w:style>
  <w:style w:type="character" w:styleId="Nierozpoznanawzmianka">
    <w:name w:val="Unresolved Mention"/>
    <w:basedOn w:val="Domylnaczcionkaakapitu"/>
    <w:uiPriority w:val="99"/>
    <w:semiHidden/>
    <w:unhideWhenUsed/>
    <w:rsid w:val="00F27F6E"/>
    <w:rPr>
      <w:color w:val="605E5C"/>
      <w:shd w:val="clear" w:color="auto" w:fill="E1DFDD"/>
    </w:rPr>
  </w:style>
  <w:style w:type="character" w:customStyle="1" w:styleId="Nagwek1Znak">
    <w:name w:val="Nagłówek 1 Znak"/>
    <w:basedOn w:val="Domylnaczcionkaakapitu"/>
    <w:link w:val="Nagwek1"/>
    <w:uiPriority w:val="9"/>
    <w:rsid w:val="00F27F6E"/>
    <w:rPr>
      <w:rFonts w:asciiTheme="majorHAnsi" w:eastAsiaTheme="majorEastAsia" w:hAnsiTheme="majorHAnsi" w:cstheme="majorBidi"/>
      <w:color w:val="365F91" w:themeColor="accent1" w:themeShade="BF"/>
      <w:sz w:val="32"/>
      <w:szCs w:val="32"/>
      <w:lang w:val="pl-PL" w:eastAsia="en-US"/>
    </w:rPr>
  </w:style>
  <w:style w:type="character" w:customStyle="1" w:styleId="Nagwek2Znak">
    <w:name w:val="Nagłówek 2 Znak"/>
    <w:basedOn w:val="Domylnaczcionkaakapitu"/>
    <w:link w:val="Nagwek2"/>
    <w:uiPriority w:val="9"/>
    <w:rsid w:val="00E14005"/>
    <w:rPr>
      <w:rFonts w:asciiTheme="majorHAnsi" w:eastAsiaTheme="majorEastAsia" w:hAnsiTheme="majorHAnsi" w:cstheme="majorBidi"/>
      <w:color w:val="365F91" w:themeColor="accent1" w:themeShade="BF"/>
      <w:sz w:val="26"/>
      <w:szCs w:val="26"/>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8762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parp.gov.pl/component/site/site/najlepsze-programy-rozwoju-inicjatyw-pracowniczy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parp.gov.pl/component/site/site/najlepsze-programy-rozwoju-inicjatyw-pracowniczy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iza_sosnowska@parp.gov.pl"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1949</Words>
  <Characters>11695</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Wciąż można zgłaszać udział w konkursie PARP „Granty na Eurogranty”. Do zdobycie nawet 280 tys. zł. dofinansowania</vt:lpstr>
    </vt:vector>
  </TitlesOfParts>
  <Manager/>
  <Company/>
  <LinksUpToDate>false</LinksUpToDate>
  <CharactersWithSpaces>13617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Wciąż można zgłaszać udział w konkursie PARP „Granty na Eurogranty”. Do zdobycie nawet 280 tys. zł. dofinansowania</dc:title>
  <dc:subject>Wciąż można zgłaszać udział w konkursie PARP „Granty na Eurogranty”. Do zdobycie nawet 280 tys. zł. dofinansowania</dc:subject>
  <dc:creator>Magdalena Mikulska</dc:creator>
  <cp:keywords/>
  <dc:description/>
  <cp:lastModifiedBy>Sosnowska Luiza</cp:lastModifiedBy>
  <cp:revision>7</cp:revision>
  <cp:lastPrinted>2021-11-22T12:18:00Z</cp:lastPrinted>
  <dcterms:created xsi:type="dcterms:W3CDTF">2021-11-22T10:19:00Z</dcterms:created>
  <dcterms:modified xsi:type="dcterms:W3CDTF">2021-11-22T12:27:00Z</dcterms:modified>
  <cp:category/>
</cp:coreProperties>
</file>