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6672" w14:textId="774FD4B3" w:rsidR="006105B8" w:rsidRPr="004075FD" w:rsidRDefault="004B5FAA" w:rsidP="006105B8">
      <w:pPr>
        <w:pStyle w:val="BodyA"/>
        <w:widowControl w:val="0"/>
        <w:suppressAutoHyphens/>
        <w:spacing w:after="240" w:line="264" w:lineRule="auto"/>
        <w:jc w:val="center"/>
        <w:rPr>
          <w:b/>
          <w:bCs/>
          <w:spacing w:val="-4"/>
          <w:sz w:val="21"/>
          <w:szCs w:val="21"/>
        </w:rPr>
      </w:pPr>
      <w:bookmarkStart w:id="0" w:name="_Hlk40201835"/>
      <w:r>
        <w:rPr>
          <w:b/>
          <w:bCs/>
          <w:spacing w:val="-4"/>
          <w:sz w:val="21"/>
          <w:szCs w:val="21"/>
        </w:rPr>
        <w:t xml:space="preserve">REDUNIQ </w:t>
      </w:r>
      <w:r w:rsidR="003946FB">
        <w:rPr>
          <w:b/>
          <w:bCs/>
          <w:spacing w:val="-4"/>
          <w:sz w:val="21"/>
          <w:szCs w:val="21"/>
        </w:rPr>
        <w:t xml:space="preserve">Brief </w:t>
      </w:r>
      <w:r>
        <w:rPr>
          <w:b/>
          <w:bCs/>
          <w:spacing w:val="-4"/>
          <w:sz w:val="21"/>
          <w:szCs w:val="21"/>
        </w:rPr>
        <w:t>Insights</w:t>
      </w:r>
    </w:p>
    <w:p w14:paraId="78968D7D" w14:textId="6B6BA515" w:rsidR="00D0599F" w:rsidRDefault="00202C56" w:rsidP="00410D8B">
      <w:pPr>
        <w:pStyle w:val="BodyA"/>
        <w:widowControl w:val="0"/>
        <w:suppressAutoHyphens/>
        <w:spacing w:after="240" w:line="264" w:lineRule="auto"/>
        <w:jc w:val="center"/>
        <w:rPr>
          <w:b/>
          <w:bCs/>
          <w:sz w:val="40"/>
          <w:szCs w:val="40"/>
        </w:rPr>
      </w:pPr>
      <w:r>
        <w:rPr>
          <w:b/>
          <w:bCs/>
          <w:sz w:val="40"/>
          <w:szCs w:val="40"/>
        </w:rPr>
        <w:t>Black Friday</w:t>
      </w:r>
      <w:r w:rsidR="00D0599F">
        <w:rPr>
          <w:b/>
          <w:bCs/>
          <w:sz w:val="40"/>
          <w:szCs w:val="40"/>
        </w:rPr>
        <w:t xml:space="preserve"> </w:t>
      </w:r>
      <w:r w:rsidR="00D25090">
        <w:rPr>
          <w:b/>
          <w:bCs/>
          <w:sz w:val="40"/>
          <w:szCs w:val="40"/>
        </w:rPr>
        <w:t>com faturação abaixo dos valores registados em pré-pandemia</w:t>
      </w:r>
    </w:p>
    <w:p w14:paraId="3173BD26" w14:textId="4D8A599A" w:rsidR="00D25090" w:rsidRPr="0015310E" w:rsidRDefault="00C043D0" w:rsidP="008D5DC0">
      <w:pPr>
        <w:pStyle w:val="PargrafodaLista"/>
        <w:keepNext/>
        <w:widowControl w:val="0"/>
        <w:numPr>
          <w:ilvl w:val="0"/>
          <w:numId w:val="2"/>
        </w:numPr>
        <w:suppressAutoHyphens/>
        <w:spacing w:after="120" w:line="288" w:lineRule="auto"/>
        <w:ind w:left="567"/>
        <w:rPr>
          <w:rFonts w:cs="Calibri"/>
          <w:b/>
          <w:bCs/>
        </w:rPr>
      </w:pPr>
      <w:r>
        <w:rPr>
          <w:b/>
          <w:bCs/>
        </w:rPr>
        <w:t xml:space="preserve">Em comparação com os valores registados em 2019, </w:t>
      </w:r>
      <w:r w:rsidR="00AB5EE4">
        <w:rPr>
          <w:b/>
          <w:bCs/>
        </w:rPr>
        <w:t xml:space="preserve">a </w:t>
      </w:r>
      <w:r>
        <w:rPr>
          <w:b/>
          <w:bCs/>
        </w:rPr>
        <w:t>faturação d</w:t>
      </w:r>
      <w:r w:rsidR="00AB5EE4">
        <w:rPr>
          <w:b/>
          <w:bCs/>
        </w:rPr>
        <w:t>a Black Friday</w:t>
      </w:r>
      <w:r w:rsidR="001D6C0B">
        <w:rPr>
          <w:b/>
          <w:bCs/>
        </w:rPr>
        <w:t xml:space="preserve"> deste ano</w:t>
      </w:r>
      <w:r w:rsidR="0015310E">
        <w:rPr>
          <w:b/>
          <w:bCs/>
        </w:rPr>
        <w:t xml:space="preserve"> </w:t>
      </w:r>
      <w:r w:rsidR="00AB5EE4">
        <w:rPr>
          <w:b/>
          <w:bCs/>
        </w:rPr>
        <w:t>ficou 8,4% abaixo</w:t>
      </w:r>
      <w:r w:rsidR="003C2694">
        <w:rPr>
          <w:b/>
          <w:bCs/>
        </w:rPr>
        <w:t>.</w:t>
      </w:r>
    </w:p>
    <w:p w14:paraId="3B190F32" w14:textId="7F177D93" w:rsidR="0015310E" w:rsidRPr="0015310E" w:rsidRDefault="0015310E" w:rsidP="00DB4BB8">
      <w:pPr>
        <w:pStyle w:val="PargrafodaLista"/>
        <w:keepNext/>
        <w:widowControl w:val="0"/>
        <w:numPr>
          <w:ilvl w:val="0"/>
          <w:numId w:val="2"/>
        </w:numPr>
        <w:suppressAutoHyphens/>
        <w:spacing w:after="120" w:line="288" w:lineRule="auto"/>
        <w:ind w:left="567"/>
        <w:rPr>
          <w:rFonts w:cs="Calibri"/>
          <w:b/>
          <w:bCs/>
        </w:rPr>
      </w:pPr>
      <w:r w:rsidRPr="0015310E">
        <w:rPr>
          <w:rFonts w:cs="Calibri"/>
          <w:b/>
          <w:bCs/>
        </w:rPr>
        <w:t xml:space="preserve">Em contrapartida, as transações </w:t>
      </w:r>
      <w:r w:rsidRPr="0015310E">
        <w:rPr>
          <w:rFonts w:cs="Calibri"/>
          <w:b/>
          <w:bCs/>
          <w:i/>
          <w:iCs/>
        </w:rPr>
        <w:t>contactless</w:t>
      </w:r>
      <w:r w:rsidRPr="0015310E">
        <w:rPr>
          <w:rFonts w:cs="Calibri"/>
          <w:b/>
          <w:bCs/>
        </w:rPr>
        <w:t xml:space="preserve"> neste período </w:t>
      </w:r>
      <w:r w:rsidR="00B820A9" w:rsidRPr="0015310E">
        <w:rPr>
          <w:rFonts w:cs="Calibri"/>
          <w:b/>
          <w:bCs/>
        </w:rPr>
        <w:t>alcançaram</w:t>
      </w:r>
      <w:r w:rsidRPr="0015310E">
        <w:rPr>
          <w:rFonts w:cs="Calibri"/>
          <w:b/>
          <w:bCs/>
        </w:rPr>
        <w:t xml:space="preserve"> 69,1% do total de transações</w:t>
      </w:r>
      <w:r w:rsidR="00812C12">
        <w:rPr>
          <w:rFonts w:cs="Calibri"/>
          <w:b/>
          <w:bCs/>
        </w:rPr>
        <w:t xml:space="preserve"> físicas</w:t>
      </w:r>
      <w:r w:rsidRPr="0015310E">
        <w:rPr>
          <w:rFonts w:cs="Calibri"/>
          <w:b/>
          <w:bCs/>
        </w:rPr>
        <w:t xml:space="preserve">, face aos 16,4% em 2019 </w:t>
      </w:r>
      <w:r>
        <w:rPr>
          <w:rFonts w:cs="Calibri"/>
          <w:b/>
          <w:bCs/>
        </w:rPr>
        <w:t xml:space="preserve">e </w:t>
      </w:r>
      <w:r w:rsidRPr="0015310E">
        <w:rPr>
          <w:rFonts w:cs="Calibri"/>
          <w:b/>
          <w:bCs/>
        </w:rPr>
        <w:t>53,1% em 2020.</w:t>
      </w:r>
    </w:p>
    <w:p w14:paraId="2F0B672B" w14:textId="77777777" w:rsidR="003F35FB" w:rsidRPr="003F35FB" w:rsidRDefault="003F35FB" w:rsidP="003F35FB">
      <w:pPr>
        <w:pStyle w:val="PargrafodaLista"/>
        <w:keepNext/>
        <w:widowControl w:val="0"/>
        <w:suppressAutoHyphens/>
        <w:spacing w:after="120" w:line="288" w:lineRule="auto"/>
        <w:ind w:left="567"/>
        <w:rPr>
          <w:rFonts w:cs="Calibri"/>
        </w:rPr>
      </w:pPr>
    </w:p>
    <w:p w14:paraId="5C0966FE" w14:textId="366EEC70" w:rsidR="003C2694" w:rsidRDefault="00D521C4" w:rsidP="00A45BC6">
      <w:pPr>
        <w:pStyle w:val="BodyA"/>
        <w:widowControl w:val="0"/>
        <w:suppressAutoHyphens/>
        <w:spacing w:after="240" w:line="276" w:lineRule="auto"/>
      </w:pPr>
      <w:r w:rsidRPr="00D521C4">
        <w:rPr>
          <w:b/>
          <w:bCs/>
        </w:rPr>
        <w:t xml:space="preserve">Lisboa, </w:t>
      </w:r>
      <w:r w:rsidR="000E2782">
        <w:rPr>
          <w:b/>
          <w:bCs/>
        </w:rPr>
        <w:t>2</w:t>
      </w:r>
      <w:r w:rsidR="00E25D22">
        <w:rPr>
          <w:b/>
          <w:bCs/>
        </w:rPr>
        <w:t xml:space="preserve"> </w:t>
      </w:r>
      <w:r w:rsidR="00046C14">
        <w:rPr>
          <w:b/>
          <w:bCs/>
        </w:rPr>
        <w:t xml:space="preserve">de </w:t>
      </w:r>
      <w:r w:rsidR="00E25D22">
        <w:rPr>
          <w:b/>
          <w:bCs/>
        </w:rPr>
        <w:t xml:space="preserve">dezembro </w:t>
      </w:r>
      <w:r w:rsidR="00046C14">
        <w:rPr>
          <w:b/>
          <w:bCs/>
        </w:rPr>
        <w:t>de 202</w:t>
      </w:r>
      <w:r w:rsidR="003C2694">
        <w:rPr>
          <w:b/>
          <w:bCs/>
        </w:rPr>
        <w:t>1</w:t>
      </w:r>
      <w:r w:rsidR="00046C14">
        <w:rPr>
          <w:b/>
          <w:bCs/>
        </w:rPr>
        <w:t xml:space="preserve"> </w:t>
      </w:r>
      <w:r w:rsidR="00046C14" w:rsidRPr="00D521C4">
        <w:rPr>
          <w:b/>
          <w:bCs/>
        </w:rPr>
        <w:t>–</w:t>
      </w:r>
      <w:r>
        <w:t xml:space="preserve"> </w:t>
      </w:r>
      <w:r w:rsidR="000743C5">
        <w:t xml:space="preserve">A </w:t>
      </w:r>
      <w:hyperlink r:id="rId11" w:history="1">
        <w:r w:rsidR="000743C5" w:rsidRPr="004B5FAA">
          <w:rPr>
            <w:rStyle w:val="Hiperligao"/>
            <w:color w:val="0070C0"/>
            <w:u w:color="2E74B5" w:themeColor="accent5" w:themeShade="BF"/>
          </w:rPr>
          <w:t>REDUNIQ</w:t>
        </w:r>
      </w:hyperlink>
      <w:r w:rsidR="000743C5">
        <w:t xml:space="preserve">, </w:t>
      </w:r>
      <w:r w:rsidR="000743C5" w:rsidRPr="000743C5">
        <w:t>a maior rede nacional de aceitação de cartões nacionais e estrangeiros</w:t>
      </w:r>
      <w:r w:rsidR="00E25D22">
        <w:t xml:space="preserve"> e marca da UNICRE</w:t>
      </w:r>
      <w:r w:rsidR="000743C5">
        <w:t xml:space="preserve">, </w:t>
      </w:r>
      <w:r w:rsidR="003C2694">
        <w:t xml:space="preserve">acaba de </w:t>
      </w:r>
      <w:r w:rsidR="003946FB">
        <w:t>divulga</w:t>
      </w:r>
      <w:r w:rsidR="003C2694">
        <w:t>r</w:t>
      </w:r>
      <w:r w:rsidR="003946FB">
        <w:t xml:space="preserve"> os dados </w:t>
      </w:r>
      <w:r w:rsidR="005265FC">
        <w:t xml:space="preserve">mais recentes </w:t>
      </w:r>
      <w:r w:rsidR="003946FB">
        <w:t xml:space="preserve">sobre </w:t>
      </w:r>
      <w:r w:rsidR="003C2694">
        <w:t xml:space="preserve">a faturação alcançada </w:t>
      </w:r>
      <w:r w:rsidR="00037DD6">
        <w:t>na Black Friday de 2021</w:t>
      </w:r>
      <w:r w:rsidR="00E3616E">
        <w:t xml:space="preserve">, em comparação com os valores alcançados em 2019, </w:t>
      </w:r>
      <w:r w:rsidR="00E25D22">
        <w:t xml:space="preserve">em </w:t>
      </w:r>
      <w:r w:rsidR="00E3616E">
        <w:t>período pré-pandemia</w:t>
      </w:r>
      <w:r w:rsidR="00037DD6">
        <w:t xml:space="preserve">. </w:t>
      </w:r>
    </w:p>
    <w:p w14:paraId="6D966DF2" w14:textId="0D4CA80D" w:rsidR="00E3616E" w:rsidRPr="0027150C" w:rsidRDefault="00037DD6" w:rsidP="00E3616E">
      <w:pPr>
        <w:pStyle w:val="BodyA"/>
        <w:widowControl w:val="0"/>
        <w:suppressAutoHyphens/>
        <w:spacing w:after="240" w:line="276" w:lineRule="auto"/>
        <w:rPr>
          <w:i/>
          <w:iCs/>
        </w:rPr>
      </w:pPr>
      <w:r>
        <w:t xml:space="preserve">De acordo com o </w:t>
      </w:r>
      <w:r>
        <w:rPr>
          <w:i/>
          <w:iCs/>
        </w:rPr>
        <w:t xml:space="preserve">acquirer </w:t>
      </w:r>
      <w:r>
        <w:t>português,</w:t>
      </w:r>
      <w:r w:rsidR="00E3616E">
        <w:t xml:space="preserve"> em </w:t>
      </w:r>
      <w:r w:rsidR="00E665D8">
        <w:t xml:space="preserve">comparação com a </w:t>
      </w:r>
      <w:r w:rsidR="00E3616E">
        <w:t>f</w:t>
      </w:r>
      <w:r w:rsidR="00E665D8">
        <w:t xml:space="preserve">aturação da Black Friday de 2019, </w:t>
      </w:r>
      <w:r w:rsidR="00E25D22">
        <w:t xml:space="preserve">a última sexta-feira </w:t>
      </w:r>
      <w:r w:rsidR="00E665D8">
        <w:t xml:space="preserve">ficou 8,4% abaixo </w:t>
      </w:r>
      <w:r w:rsidR="00E25D22">
        <w:t>dos valores registados em igual período de há dois anos. P</w:t>
      </w:r>
      <w:r w:rsidR="001C4E66">
        <w:t xml:space="preserve">aralelamente, </w:t>
      </w:r>
      <w:r w:rsidR="00E25D22">
        <w:t>n</w:t>
      </w:r>
      <w:r w:rsidR="001C4E66">
        <w:t>o</w:t>
      </w:r>
      <w:r w:rsidR="00E665D8">
        <w:t xml:space="preserve"> </w:t>
      </w:r>
      <w:r w:rsidR="00E25D22">
        <w:t xml:space="preserve">último </w:t>
      </w:r>
      <w:r w:rsidR="00E665D8">
        <w:t>fim de semana</w:t>
      </w:r>
      <w:r w:rsidR="009C4826">
        <w:t xml:space="preserve">, </w:t>
      </w:r>
      <w:r w:rsidR="00E25D22">
        <w:t xml:space="preserve">os negócios </w:t>
      </w:r>
      <w:r w:rsidR="003A3EA2">
        <w:t>também não conseguiram superar</w:t>
      </w:r>
      <w:r w:rsidR="003152BF">
        <w:t xml:space="preserve"> os valores alcançados </w:t>
      </w:r>
      <w:r w:rsidR="00E25D22">
        <w:t>em 2019</w:t>
      </w:r>
      <w:r w:rsidR="003A3EA2">
        <w:t>, ficando</w:t>
      </w:r>
      <w:r w:rsidR="00E665D8">
        <w:t xml:space="preserve"> 0,5%</w:t>
      </w:r>
      <w:r w:rsidR="009C4826">
        <w:t xml:space="preserve"> abaixo</w:t>
      </w:r>
      <w:r w:rsidR="003152BF">
        <w:t xml:space="preserve">. </w:t>
      </w:r>
      <w:r w:rsidR="00E665D8">
        <w:t xml:space="preserve">No entanto, </w:t>
      </w:r>
      <w:r w:rsidR="003152BF">
        <w:t>n</w:t>
      </w:r>
      <w:r w:rsidR="00E665D8">
        <w:t>o total da semana que inclui a Black Friday, 2021 registou mais 11% de faturação do que em 2019</w:t>
      </w:r>
      <w:r w:rsidR="00646EAC">
        <w:t>, dados que</w:t>
      </w:r>
      <w:r w:rsidR="00E25D22">
        <w:t xml:space="preserve">, segundo Tiago Oom, Diretor da REDUNIQ, </w:t>
      </w:r>
      <w:r w:rsidR="00E25D22" w:rsidRPr="00E25D22">
        <w:rPr>
          <w:i/>
          <w:iCs/>
        </w:rPr>
        <w:t>“</w:t>
      </w:r>
      <w:r w:rsidR="00812C12">
        <w:rPr>
          <w:i/>
          <w:iCs/>
        </w:rPr>
        <w:t>nota-se que este ano não houve uma Black Friday</w:t>
      </w:r>
      <w:r w:rsidR="002578E7">
        <w:rPr>
          <w:i/>
          <w:iCs/>
        </w:rPr>
        <w:t>,</w:t>
      </w:r>
      <w:r w:rsidR="00812C12">
        <w:rPr>
          <w:i/>
          <w:iCs/>
        </w:rPr>
        <w:t xml:space="preserve"> foi mais uma Black Week, dado que as promoções começam logo no </w:t>
      </w:r>
      <w:r w:rsidR="002578E7">
        <w:rPr>
          <w:i/>
          <w:iCs/>
        </w:rPr>
        <w:t>início</w:t>
      </w:r>
      <w:r w:rsidR="00812C12">
        <w:rPr>
          <w:i/>
          <w:iCs/>
        </w:rPr>
        <w:t xml:space="preserve"> da semana. Com esta alteração passou a haver uma distribuição </w:t>
      </w:r>
      <w:r w:rsidR="001E3DB5">
        <w:rPr>
          <w:i/>
          <w:iCs/>
        </w:rPr>
        <w:t xml:space="preserve">mais forte </w:t>
      </w:r>
      <w:r w:rsidR="00812C12">
        <w:rPr>
          <w:i/>
          <w:iCs/>
        </w:rPr>
        <w:t>pelos restantes dias da semana</w:t>
      </w:r>
      <w:r w:rsidR="002578E7">
        <w:rPr>
          <w:i/>
          <w:iCs/>
        </w:rPr>
        <w:t>”</w:t>
      </w:r>
      <w:r w:rsidR="001E3DB5">
        <w:rPr>
          <w:i/>
          <w:iCs/>
        </w:rPr>
        <w:t>.</w:t>
      </w:r>
    </w:p>
    <w:p w14:paraId="306D77B3" w14:textId="56F71D07" w:rsidR="00E665D8" w:rsidRPr="00646EAC" w:rsidRDefault="00E25D22" w:rsidP="00E665D8">
      <w:pPr>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pPr>
      <w:r>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Já ao nível do</w:t>
      </w:r>
      <w:r w:rsidR="00E665D8" w:rsidRP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número de transações, </w:t>
      </w:r>
      <w:r w:rsid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o presente ano</w:t>
      </w:r>
      <w:r w:rsidR="00E665D8" w:rsidRP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registou um crescimento face a 2019</w:t>
      </w:r>
      <w:r w:rsid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 </w:t>
      </w:r>
      <w:r w:rsidR="00E665D8" w:rsidRP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7,7% na </w:t>
      </w:r>
      <w:r>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sexta-feira de </w:t>
      </w:r>
      <w:r w:rsidR="00E665D8" w:rsidRP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Black Friday</w:t>
      </w:r>
      <w:r w:rsid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w:t>
      </w:r>
      <w:r w:rsidR="00E665D8" w:rsidRP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14,2% no </w:t>
      </w:r>
      <w:r w:rsidR="00646EAC" w:rsidRP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f</w:t>
      </w:r>
      <w:r w:rsidR="00E665D8" w:rsidRP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im de semana</w:t>
      </w:r>
      <w:r w:rsid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w:t>
      </w:r>
      <w:r w:rsidR="00E665D8" w:rsidRP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e 24,4% na </w:t>
      </w:r>
      <w:r w:rsidR="00646EAC" w:rsidRP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s</w:t>
      </w:r>
      <w:r w:rsidR="00E665D8" w:rsidRP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emana. </w:t>
      </w:r>
      <w:r>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Tiago Oom comenta: </w:t>
      </w:r>
      <w:r w:rsidRPr="0015310E">
        <w:rPr>
          <w:rFonts w:ascii="Calibri" w:hAnsi="Calibri" w:cs="Arial Unicode MS"/>
          <w:i/>
          <w:iCs/>
          <w:color w:val="000000"/>
          <w:sz w:val="22"/>
          <w:szCs w:val="22"/>
          <w:u w:color="000000"/>
          <w:lang w:val="pt-PT" w:eastAsia="pt-PT"/>
          <w14:textOutline w14:w="12700" w14:cap="flat" w14:cmpd="sng" w14:algn="ctr">
            <w14:noFill/>
            <w14:prstDash w14:val="solid"/>
            <w14:miter w14:lim="400000"/>
          </w14:textOutline>
        </w:rPr>
        <w:t>“</w:t>
      </w:r>
      <w:r w:rsidR="00706400" w:rsidRPr="0015310E">
        <w:rPr>
          <w:rFonts w:ascii="Calibri" w:hAnsi="Calibri" w:cs="Arial Unicode MS"/>
          <w:i/>
          <w:iCs/>
          <w:color w:val="000000"/>
          <w:sz w:val="22"/>
          <w:szCs w:val="22"/>
          <w:u w:color="000000"/>
          <w:lang w:val="pt-PT" w:eastAsia="pt-PT"/>
          <w14:textOutline w14:w="12700" w14:cap="flat" w14:cmpd="sng" w14:algn="ctr">
            <w14:noFill/>
            <w14:prstDash w14:val="solid"/>
            <w14:miter w14:lim="400000"/>
          </w14:textOutline>
        </w:rPr>
        <w:t xml:space="preserve">Estes resultados permitem </w:t>
      </w:r>
      <w:r w:rsidR="00E665D8" w:rsidRPr="0015310E">
        <w:rPr>
          <w:rFonts w:ascii="Calibri" w:hAnsi="Calibri" w:cs="Arial Unicode MS"/>
          <w:i/>
          <w:iCs/>
          <w:color w:val="000000"/>
          <w:sz w:val="22"/>
          <w:szCs w:val="22"/>
          <w:u w:color="000000"/>
          <w:lang w:val="pt-PT" w:eastAsia="pt-PT"/>
          <w14:textOutline w14:w="12700" w14:cap="flat" w14:cmpd="sng" w14:algn="ctr">
            <w14:noFill/>
            <w14:prstDash w14:val="solid"/>
            <w14:miter w14:lim="400000"/>
          </w14:textOutline>
        </w:rPr>
        <w:t>concluir que</w:t>
      </w:r>
      <w:r w:rsidRPr="0015310E">
        <w:rPr>
          <w:rFonts w:ascii="Calibri" w:hAnsi="Calibri" w:cs="Arial Unicode MS"/>
          <w:i/>
          <w:iCs/>
          <w:color w:val="000000"/>
          <w:sz w:val="22"/>
          <w:szCs w:val="22"/>
          <w:u w:color="000000"/>
          <w:lang w:val="pt-PT" w:eastAsia="pt-PT"/>
          <w14:textOutline w14:w="12700" w14:cap="flat" w14:cmpd="sng" w14:algn="ctr">
            <w14:noFill/>
            <w14:prstDash w14:val="solid"/>
            <w14:miter w14:lim="400000"/>
          </w14:textOutline>
        </w:rPr>
        <w:t>,</w:t>
      </w:r>
      <w:r w:rsidR="00E665D8" w:rsidRPr="0015310E">
        <w:rPr>
          <w:rFonts w:ascii="Calibri" w:hAnsi="Calibri" w:cs="Arial Unicode MS"/>
          <w:i/>
          <w:iCs/>
          <w:color w:val="000000"/>
          <w:sz w:val="22"/>
          <w:szCs w:val="22"/>
          <w:u w:color="000000"/>
          <w:lang w:val="pt-PT" w:eastAsia="pt-PT"/>
          <w14:textOutline w14:w="12700" w14:cap="flat" w14:cmpd="sng" w14:algn="ctr">
            <w14:noFill/>
            <w14:prstDash w14:val="solid"/>
            <w14:miter w14:lim="400000"/>
          </w14:textOutline>
        </w:rPr>
        <w:t xml:space="preserve"> apesar de gastarem menos, os portugueses realizaram</w:t>
      </w:r>
      <w:r w:rsidR="009046E8" w:rsidRPr="0015310E">
        <w:rPr>
          <w:rFonts w:ascii="Calibri" w:hAnsi="Calibri" w:cs="Arial Unicode MS"/>
          <w:i/>
          <w:iCs/>
          <w:color w:val="000000"/>
          <w:sz w:val="22"/>
          <w:szCs w:val="22"/>
          <w:u w:color="000000"/>
          <w:lang w:val="pt-PT" w:eastAsia="pt-PT"/>
          <w14:textOutline w14:w="12700" w14:cap="flat" w14:cmpd="sng" w14:algn="ctr">
            <w14:noFill/>
            <w14:prstDash w14:val="solid"/>
            <w14:miter w14:lim="400000"/>
          </w14:textOutline>
        </w:rPr>
        <w:t>,</w:t>
      </w:r>
      <w:r w:rsidR="00E665D8" w:rsidRPr="0015310E">
        <w:rPr>
          <w:rFonts w:ascii="Calibri" w:hAnsi="Calibri" w:cs="Arial Unicode MS"/>
          <w:i/>
          <w:iCs/>
          <w:color w:val="000000"/>
          <w:sz w:val="22"/>
          <w:szCs w:val="22"/>
          <w:u w:color="000000"/>
          <w:lang w:val="pt-PT" w:eastAsia="pt-PT"/>
          <w14:textOutline w14:w="12700" w14:cap="flat" w14:cmpd="sng" w14:algn="ctr">
            <w14:noFill/>
            <w14:prstDash w14:val="solid"/>
            <w14:miter w14:lim="400000"/>
          </w14:textOutline>
        </w:rPr>
        <w:t xml:space="preserve"> em média</w:t>
      </w:r>
      <w:r w:rsidR="009046E8" w:rsidRPr="0015310E">
        <w:rPr>
          <w:rFonts w:ascii="Calibri" w:hAnsi="Calibri" w:cs="Arial Unicode MS"/>
          <w:i/>
          <w:iCs/>
          <w:color w:val="000000"/>
          <w:sz w:val="22"/>
          <w:szCs w:val="22"/>
          <w:u w:color="000000"/>
          <w:lang w:val="pt-PT" w:eastAsia="pt-PT"/>
          <w14:textOutline w14:w="12700" w14:cap="flat" w14:cmpd="sng" w14:algn="ctr">
            <w14:noFill/>
            <w14:prstDash w14:val="solid"/>
            <w14:miter w14:lim="400000"/>
          </w14:textOutline>
        </w:rPr>
        <w:t>,</w:t>
      </w:r>
      <w:r w:rsidR="00E665D8" w:rsidRPr="0015310E">
        <w:rPr>
          <w:rFonts w:ascii="Calibri" w:hAnsi="Calibri" w:cs="Arial Unicode MS"/>
          <w:i/>
          <w:iCs/>
          <w:color w:val="000000"/>
          <w:sz w:val="22"/>
          <w:szCs w:val="22"/>
          <w:u w:color="000000"/>
          <w:lang w:val="pt-PT" w:eastAsia="pt-PT"/>
          <w14:textOutline w14:w="12700" w14:cap="flat" w14:cmpd="sng" w14:algn="ctr">
            <w14:noFill/>
            <w14:prstDash w14:val="solid"/>
            <w14:miter w14:lim="400000"/>
          </w14:textOutline>
        </w:rPr>
        <w:t xml:space="preserve"> mais compras, levando o </w:t>
      </w:r>
      <w:r w:rsidRPr="0015310E">
        <w:rPr>
          <w:rFonts w:ascii="Calibri" w:hAnsi="Calibri" w:cs="Arial Unicode MS"/>
          <w:i/>
          <w:iCs/>
          <w:color w:val="000000"/>
          <w:sz w:val="22"/>
          <w:szCs w:val="22"/>
          <w:u w:color="000000"/>
          <w:lang w:val="pt-PT" w:eastAsia="pt-PT"/>
          <w14:textOutline w14:w="12700" w14:cap="flat" w14:cmpd="sng" w14:algn="ctr">
            <w14:noFill/>
            <w14:prstDash w14:val="solid"/>
            <w14:miter w14:lim="400000"/>
          </w14:textOutline>
        </w:rPr>
        <w:t xml:space="preserve">preço </w:t>
      </w:r>
      <w:r w:rsidR="00E665D8" w:rsidRPr="0015310E">
        <w:rPr>
          <w:rFonts w:ascii="Calibri" w:hAnsi="Calibri" w:cs="Arial Unicode MS"/>
          <w:i/>
          <w:iCs/>
          <w:color w:val="000000"/>
          <w:sz w:val="22"/>
          <w:szCs w:val="22"/>
          <w:u w:color="000000"/>
          <w:lang w:val="pt-PT" w:eastAsia="pt-PT"/>
          <w14:textOutline w14:w="12700" w14:cap="flat" w14:cmpd="sng" w14:algn="ctr">
            <w14:noFill/>
            <w14:prstDash w14:val="solid"/>
            <w14:miter w14:lim="400000"/>
          </w14:textOutline>
        </w:rPr>
        <w:t xml:space="preserve">médio </w:t>
      </w:r>
      <w:r w:rsidRPr="0015310E">
        <w:rPr>
          <w:rFonts w:ascii="Calibri" w:hAnsi="Calibri" w:cs="Arial Unicode MS"/>
          <w:i/>
          <w:iCs/>
          <w:color w:val="000000"/>
          <w:sz w:val="22"/>
          <w:szCs w:val="22"/>
          <w:u w:color="000000"/>
          <w:lang w:val="pt-PT" w:eastAsia="pt-PT"/>
          <w14:textOutline w14:w="12700" w14:cap="flat" w14:cmpd="sng" w14:algn="ctr">
            <w14:noFill/>
            <w14:prstDash w14:val="solid"/>
            <w14:miter w14:lim="400000"/>
          </w14:textOutline>
        </w:rPr>
        <w:t xml:space="preserve">por compra </w:t>
      </w:r>
      <w:r w:rsidR="00E665D8" w:rsidRPr="0015310E">
        <w:rPr>
          <w:rFonts w:ascii="Calibri" w:hAnsi="Calibri" w:cs="Arial Unicode MS"/>
          <w:i/>
          <w:iCs/>
          <w:color w:val="000000"/>
          <w:sz w:val="22"/>
          <w:szCs w:val="22"/>
          <w:u w:color="000000"/>
          <w:lang w:val="pt-PT" w:eastAsia="pt-PT"/>
          <w14:textOutline w14:w="12700" w14:cap="flat" w14:cmpd="sng" w14:algn="ctr">
            <w14:noFill/>
            <w14:prstDash w14:val="solid"/>
            <w14:miter w14:lim="400000"/>
          </w14:textOutline>
        </w:rPr>
        <w:t>a diminuir de 45,69€ para 38,87€ no dia da Black Friday</w:t>
      </w:r>
      <w:r w:rsidRPr="0015310E">
        <w:rPr>
          <w:rFonts w:ascii="Calibri" w:hAnsi="Calibri" w:cs="Arial Unicode MS"/>
          <w:i/>
          <w:iCs/>
          <w:color w:val="000000"/>
          <w:sz w:val="22"/>
          <w:szCs w:val="22"/>
          <w:u w:color="000000"/>
          <w:lang w:val="pt-PT" w:eastAsia="pt-PT"/>
          <w14:textOutline w14:w="12700" w14:cap="flat" w14:cmpd="sng" w14:algn="ctr">
            <w14:noFill/>
            <w14:prstDash w14:val="solid"/>
            <w14:miter w14:lim="400000"/>
          </w14:textOutline>
        </w:rPr>
        <w:t>”</w:t>
      </w:r>
      <w:r w:rsidR="00E665D8" w:rsidRPr="0015310E">
        <w:rPr>
          <w:rFonts w:ascii="Calibri" w:hAnsi="Calibri" w:cs="Arial Unicode MS"/>
          <w:i/>
          <w:iCs/>
          <w:color w:val="000000"/>
          <w:sz w:val="22"/>
          <w:szCs w:val="22"/>
          <w:u w:color="000000"/>
          <w:lang w:val="pt-PT" w:eastAsia="pt-PT"/>
          <w14:textOutline w14:w="12700" w14:cap="flat" w14:cmpd="sng" w14:algn="ctr">
            <w14:noFill/>
            <w14:prstDash w14:val="solid"/>
            <w14:miter w14:lim="400000"/>
          </w14:textOutline>
        </w:rPr>
        <w:t xml:space="preserve">. </w:t>
      </w:r>
    </w:p>
    <w:p w14:paraId="68D84DBF" w14:textId="23733344" w:rsidR="008D5DC0" w:rsidRDefault="00E665D8" w:rsidP="00A05614">
      <w:pPr>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pPr>
      <w:r w:rsidRP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Os setores com maior impacto </w:t>
      </w:r>
      <w:r w:rsidR="00E25D22">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n</w:t>
      </w:r>
      <w:r w:rsidR="00E25D22" w:rsidRP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a </w:t>
      </w:r>
      <w:r w:rsidRP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Black Friday foram os Eletrodomésticos</w:t>
      </w:r>
      <w:r w:rsidR="00E25D22">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w:t>
      </w:r>
      <w:r w:rsidRP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&amp;</w:t>
      </w:r>
      <w:r w:rsidR="00E25D22">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w:t>
      </w:r>
      <w:r w:rsidRP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Tecnologia, a Moda, as Papelarias/Livrarias e as Perfumarias, que registaram um crescimento face à média das sextas-feiras de </w:t>
      </w:r>
      <w:r w:rsidR="00A05614" w:rsidRP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novembro</w:t>
      </w:r>
      <w:r w:rsidRP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acima dos 100%, assim como face aos restantes dias do mês.</w:t>
      </w:r>
      <w:r w:rsidR="00A05614">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w:t>
      </w:r>
      <w:r w:rsidRP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No entanto, </w:t>
      </w:r>
      <w:r w:rsidR="00A05614">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estes setores apresentaram uma performance negativa face </w:t>
      </w:r>
      <w:r w:rsidR="00124012">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à</w:t>
      </w:r>
      <w:r w:rsidR="00A05614">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Black Friday de 2019, com</w:t>
      </w:r>
      <w:r w:rsidRP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quebras superiores a 30%. Dentro do setor da moda, a categoria com melhor desempenho foram as Sapatarias, que </w:t>
      </w:r>
      <w:r w:rsidR="00A05614">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em comparação</w:t>
      </w:r>
      <w:r w:rsidRP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w:t>
      </w:r>
      <w:r w:rsidR="00A05614">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com a</w:t>
      </w:r>
      <w:r w:rsidRPr="00646EA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Black Friday de 2019, registaram uma quebra de apenas 12%.</w:t>
      </w:r>
    </w:p>
    <w:p w14:paraId="05D214B7" w14:textId="77777777" w:rsidR="003D06F9" w:rsidRPr="0015310E" w:rsidRDefault="003D06F9" w:rsidP="003D06F9">
      <w:pPr>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pPr>
      <w:r w:rsidRPr="0015310E">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lastRenderedPageBreak/>
        <w:t>Numa análise mais cirúrgica, os únicos horários que registaram um crescimento de faturação face a 2019 foram os 00h</w:t>
      </w:r>
      <w:r>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w:t>
      </w:r>
      <w:r w:rsidRPr="0015310E">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01h, 08h-09h, 17h-18h e 18h-19h, com a 00h a alcançar um crescimento de 185%.</w:t>
      </w:r>
      <w:r>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w:t>
      </w:r>
      <w:r w:rsidRPr="0015310E">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O pico de faturação em 2019 e 2020 aconteceu entre as 16h-17h, e em 2021, entre as 17h-18h, </w:t>
      </w:r>
      <w:r>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representando</w:t>
      </w:r>
      <w:r w:rsidRPr="0015310E">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w:t>
      </w:r>
      <w:r>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este horário </w:t>
      </w:r>
      <w:r w:rsidRPr="0015310E">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um peso de 8,8%</w:t>
      </w:r>
      <w:r>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no total do dia</w:t>
      </w:r>
      <w:r w:rsidRPr="0015310E">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Já o pico de número de consumidores ocorreu entre </w:t>
      </w:r>
      <w:r>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as </w:t>
      </w:r>
      <w:r w:rsidRPr="0015310E">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18h e as 19h nos três anos, </w:t>
      </w:r>
      <w:r>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representando</w:t>
      </w:r>
      <w:r w:rsidRPr="0015310E">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em 2021, </w:t>
      </w:r>
      <w:r>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um peso de </w:t>
      </w:r>
      <w:r w:rsidRPr="0015310E">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8,9%. Adicionalmente, </w:t>
      </w:r>
      <w:r>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um terço</w:t>
      </w:r>
      <w:r w:rsidRPr="0015310E">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da faturação </w:t>
      </w:r>
      <w:r>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total </w:t>
      </w:r>
      <w:r w:rsidRPr="0015310E">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gerada na Black Friday de 2021 </w:t>
      </w:r>
      <w:r>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ocorreu </w:t>
      </w:r>
      <w:r w:rsidRPr="0015310E">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entre as 15h e as 19h. </w:t>
      </w:r>
    </w:p>
    <w:p w14:paraId="677153C5" w14:textId="6479E14C" w:rsidR="003D06F9" w:rsidRPr="0015310E" w:rsidRDefault="003D06F9" w:rsidP="003D06F9">
      <w:pPr>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pPr>
      <w:r w:rsidRPr="0015310E">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Por sua vez, o peso do número de transações </w:t>
      </w:r>
      <w:r>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via </w:t>
      </w:r>
      <w:r w:rsidRPr="0015310E">
        <w:rPr>
          <w:rFonts w:ascii="Calibri" w:hAnsi="Calibri" w:cs="Arial Unicode MS"/>
          <w:i/>
          <w:iCs/>
          <w:color w:val="000000"/>
          <w:sz w:val="22"/>
          <w:szCs w:val="22"/>
          <w:u w:color="000000"/>
          <w:lang w:val="pt-PT" w:eastAsia="pt-PT"/>
          <w14:textOutline w14:w="12700" w14:cap="flat" w14:cmpd="sng" w14:algn="ctr">
            <w14:noFill/>
            <w14:prstDash w14:val="solid"/>
            <w14:miter w14:lim="400000"/>
          </w14:textOutline>
        </w:rPr>
        <w:t>contactless</w:t>
      </w:r>
      <w:r w:rsidRPr="0015310E">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na Black Friday foi de 16,4% em 2019, 53,1% em 2020 e 69,1% em 2021</w:t>
      </w:r>
      <w:r>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w:t>
      </w:r>
      <w:r w:rsidR="00FB2494">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w:t>
      </w:r>
      <w:r>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Já em termos de </w:t>
      </w:r>
      <w:r w:rsidR="00FB2494">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faturação</w:t>
      </w:r>
      <w:r>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através deste meio de pagamento, registou-se</w:t>
      </w:r>
      <w:r w:rsidRPr="0015310E">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um</w:t>
      </w:r>
      <w:r w:rsidR="0027150C">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 </w:t>
      </w:r>
      <w:r>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 xml:space="preserve">crescimento </w:t>
      </w:r>
      <w:r w:rsidRPr="0015310E">
        <w:rPr>
          <w:rFonts w:ascii="Calibri" w:hAnsi="Calibri" w:cs="Arial Unicode MS"/>
          <w:color w:val="000000"/>
          <w:sz w:val="22"/>
          <w:szCs w:val="22"/>
          <w:u w:color="000000"/>
          <w:lang w:val="pt-PT" w:eastAsia="pt-PT"/>
          <w14:textOutline w14:w="12700" w14:cap="flat" w14:cmpd="sng" w14:algn="ctr">
            <w14:noFill/>
            <w14:prstDash w14:val="solid"/>
            <w14:miter w14:lim="400000"/>
          </w14:textOutline>
        </w:rPr>
        <w:t>de 574,9% face a 2019.</w:t>
      </w:r>
    </w:p>
    <w:p w14:paraId="1ED6E343" w14:textId="555E9D83" w:rsidR="00D929D7" w:rsidRPr="008D5DC0" w:rsidRDefault="00A45BC6" w:rsidP="008D5DC0">
      <w:pPr>
        <w:pStyle w:val="BodyA"/>
        <w:widowControl w:val="0"/>
        <w:suppressAutoHyphens/>
        <w:spacing w:after="240" w:line="288" w:lineRule="auto"/>
        <w:rPr>
          <w:rStyle w:val="None"/>
        </w:rPr>
      </w:pPr>
      <w:r>
        <w:t xml:space="preserve">Os dados recolhidos têm como base o </w:t>
      </w:r>
      <w:hyperlink r:id="rId12" w:history="1">
        <w:r w:rsidRPr="005265FC">
          <w:rPr>
            <w:rStyle w:val="Hiperligao"/>
            <w:color w:val="0070C0"/>
            <w:u w:color="0070C0"/>
          </w:rPr>
          <w:t>REDUNIQ Insights</w:t>
        </w:r>
      </w:hyperlink>
      <w:r>
        <w:t>, a</w:t>
      </w:r>
      <w:r w:rsidRPr="005265FC">
        <w:t xml:space="preserve"> solução de conhecimento</w:t>
      </w:r>
      <w:r>
        <w:t xml:space="preserve"> que analisa as transações registadas pela rede de aceitação de pagamentos da REDUNIQ</w:t>
      </w:r>
      <w:r w:rsidR="008D5DC0">
        <w:t>.</w:t>
      </w:r>
    </w:p>
    <w:p w14:paraId="6190B49B" w14:textId="268EE6E3" w:rsidR="00805F09" w:rsidRDefault="00BA13A0" w:rsidP="00764788">
      <w:pPr>
        <w:pStyle w:val="BodyA"/>
        <w:spacing w:after="80" w:line="288" w:lineRule="auto"/>
        <w:rPr>
          <w:rStyle w:val="None"/>
          <w:b/>
          <w:bCs/>
          <w:sz w:val="20"/>
          <w:szCs w:val="20"/>
        </w:rPr>
      </w:pPr>
      <w:r>
        <w:rPr>
          <w:rStyle w:val="None"/>
          <w:b/>
          <w:bCs/>
          <w:sz w:val="20"/>
          <w:szCs w:val="20"/>
        </w:rPr>
        <w:t>Sobre a UNICRE:</w:t>
      </w:r>
    </w:p>
    <w:p w14:paraId="076D985F" w14:textId="6BA8202A" w:rsidR="00805F09" w:rsidRDefault="00BA13A0" w:rsidP="00764788">
      <w:pPr>
        <w:pStyle w:val="BodyA"/>
        <w:spacing w:after="240" w:line="288" w:lineRule="auto"/>
        <w:rPr>
          <w:rStyle w:val="None"/>
          <w:i/>
          <w:iCs/>
          <w:sz w:val="20"/>
          <w:szCs w:val="20"/>
        </w:rPr>
      </w:pPr>
      <w:r>
        <w:rPr>
          <w:rStyle w:val="None"/>
          <w:sz w:val="20"/>
          <w:szCs w:val="20"/>
        </w:rPr>
        <w:t xml:space="preserve">A UNICRE </w:t>
      </w:r>
      <w:r>
        <w:rPr>
          <w:rStyle w:val="None"/>
          <w:sz w:val="20"/>
          <w:szCs w:val="20"/>
          <w:lang w:val="fr-FR"/>
        </w:rPr>
        <w:t xml:space="preserve">é </w:t>
      </w:r>
      <w:r>
        <w:rPr>
          <w:rStyle w:val="None"/>
          <w:sz w:val="20"/>
          <w:szCs w:val="20"/>
        </w:rPr>
        <w:t>uma instituição portuguesa que atua no setor financeiro, especialista na gestão, emissã</w:t>
      </w:r>
      <w:r>
        <w:rPr>
          <w:rStyle w:val="None"/>
          <w:sz w:val="20"/>
          <w:szCs w:val="20"/>
          <w:lang w:val="it-IT"/>
        </w:rPr>
        <w:t>o e disponibiliza</w:t>
      </w:r>
      <w:r>
        <w:rPr>
          <w:rStyle w:val="None"/>
          <w:sz w:val="20"/>
          <w:szCs w:val="20"/>
        </w:rPr>
        <w:t>ção de soluções de pagamento, cartões de pagamento e cr</w:t>
      </w:r>
      <w:r>
        <w:rPr>
          <w:rStyle w:val="None"/>
          <w:sz w:val="20"/>
          <w:szCs w:val="20"/>
          <w:lang w:val="fr-FR"/>
        </w:rPr>
        <w:t>é</w:t>
      </w:r>
      <w:r>
        <w:rPr>
          <w:rStyle w:val="None"/>
          <w:sz w:val="20"/>
          <w:szCs w:val="20"/>
        </w:rPr>
        <w:t>dito ao consumo. Com uma experiência de 4</w:t>
      </w:r>
      <w:r w:rsidR="00EA0BEE">
        <w:rPr>
          <w:rStyle w:val="None"/>
          <w:sz w:val="20"/>
          <w:szCs w:val="20"/>
        </w:rPr>
        <w:t>7</w:t>
      </w:r>
      <w:r>
        <w:rPr>
          <w:rStyle w:val="None"/>
          <w:sz w:val="20"/>
          <w:szCs w:val="20"/>
        </w:rPr>
        <w:t xml:space="preserve"> anos, det</w:t>
      </w:r>
      <w:r>
        <w:rPr>
          <w:rStyle w:val="None"/>
          <w:sz w:val="20"/>
          <w:szCs w:val="20"/>
          <w:lang w:val="fr-FR"/>
        </w:rPr>
        <w:t>é</w:t>
      </w:r>
      <w:r>
        <w:rPr>
          <w:rStyle w:val="None"/>
          <w:sz w:val="20"/>
          <w:szCs w:val="20"/>
        </w:rPr>
        <w:t>m a marca UNIBANCO, responsável pela emissão de cartõ</w:t>
      </w:r>
      <w:r>
        <w:rPr>
          <w:rStyle w:val="None"/>
          <w:sz w:val="20"/>
          <w:szCs w:val="20"/>
          <w:lang w:val="fr-FR"/>
        </w:rPr>
        <w:t>es de cré</w:t>
      </w:r>
      <w:r>
        <w:rPr>
          <w:rStyle w:val="None"/>
          <w:sz w:val="20"/>
          <w:szCs w:val="20"/>
          <w:lang w:val="it-IT"/>
        </w:rPr>
        <w:t>dito, cart</w:t>
      </w:r>
      <w:r>
        <w:rPr>
          <w:rStyle w:val="None"/>
          <w:sz w:val="20"/>
          <w:szCs w:val="20"/>
        </w:rPr>
        <w:t>õ</w:t>
      </w:r>
      <w:r>
        <w:rPr>
          <w:rStyle w:val="None"/>
          <w:sz w:val="20"/>
          <w:szCs w:val="20"/>
          <w:lang w:val="fr-FR"/>
        </w:rPr>
        <w:t>es pré</w:t>
      </w:r>
      <w:r>
        <w:rPr>
          <w:rStyle w:val="None"/>
          <w:sz w:val="20"/>
          <w:szCs w:val="20"/>
        </w:rPr>
        <w:t>-pagos, cartões refeiçã</w:t>
      </w:r>
      <w:r>
        <w:rPr>
          <w:rStyle w:val="None"/>
          <w:sz w:val="20"/>
          <w:szCs w:val="20"/>
          <w:lang w:val="it-IT"/>
        </w:rPr>
        <w:t>o, cr</w:t>
      </w:r>
      <w:r>
        <w:rPr>
          <w:rStyle w:val="None"/>
          <w:sz w:val="20"/>
          <w:szCs w:val="20"/>
          <w:lang w:val="fr-FR"/>
        </w:rPr>
        <w:t>é</w:t>
      </w:r>
      <w:r>
        <w:rPr>
          <w:rStyle w:val="None"/>
          <w:sz w:val="20"/>
          <w:szCs w:val="20"/>
        </w:rPr>
        <w:t>dito pessoal e cr</w:t>
      </w:r>
      <w:r>
        <w:rPr>
          <w:rStyle w:val="None"/>
          <w:sz w:val="20"/>
          <w:szCs w:val="20"/>
          <w:lang w:val="fr-FR"/>
        </w:rPr>
        <w:t>é</w:t>
      </w:r>
      <w:r>
        <w:rPr>
          <w:rStyle w:val="None"/>
          <w:sz w:val="20"/>
          <w:szCs w:val="20"/>
        </w:rPr>
        <w:t xml:space="preserve">dito consolidado, e a marca </w:t>
      </w:r>
      <w:r w:rsidRPr="00134AD5">
        <w:rPr>
          <w:rStyle w:val="None"/>
          <w:sz w:val="20"/>
          <w:szCs w:val="20"/>
        </w:rPr>
        <w:t>REDUNIQ</w:t>
      </w:r>
      <w:r>
        <w:rPr>
          <w:rStyle w:val="None"/>
          <w:sz w:val="20"/>
          <w:szCs w:val="20"/>
        </w:rPr>
        <w:t>, que disponibiliza soluções de aceitação de pagamentos para loja física ou com</w:t>
      </w:r>
      <w:r>
        <w:rPr>
          <w:rStyle w:val="None"/>
          <w:sz w:val="20"/>
          <w:szCs w:val="20"/>
          <w:lang w:val="fr-FR"/>
        </w:rPr>
        <w:t>é</w:t>
      </w:r>
      <w:r>
        <w:rPr>
          <w:rStyle w:val="None"/>
          <w:sz w:val="20"/>
          <w:szCs w:val="20"/>
        </w:rPr>
        <w:t xml:space="preserve">rcio </w:t>
      </w:r>
      <w:r>
        <w:rPr>
          <w:rStyle w:val="None"/>
          <w:i/>
          <w:iCs/>
          <w:sz w:val="20"/>
          <w:szCs w:val="20"/>
        </w:rPr>
        <w:t>online.</w:t>
      </w:r>
    </w:p>
    <w:p w14:paraId="6020D678" w14:textId="385DD52D" w:rsidR="00157EF5" w:rsidRDefault="00157EF5" w:rsidP="00157EF5">
      <w:pPr>
        <w:pStyle w:val="BodyA"/>
        <w:spacing w:after="80" w:line="288" w:lineRule="auto"/>
        <w:rPr>
          <w:rStyle w:val="None"/>
          <w:b/>
          <w:bCs/>
          <w:sz w:val="20"/>
          <w:szCs w:val="20"/>
        </w:rPr>
      </w:pPr>
      <w:r>
        <w:rPr>
          <w:rStyle w:val="None"/>
          <w:b/>
          <w:bCs/>
          <w:sz w:val="20"/>
          <w:szCs w:val="20"/>
        </w:rPr>
        <w:t>Sobre o REDUNIQ Insights:</w:t>
      </w:r>
    </w:p>
    <w:p w14:paraId="66D09C6C" w14:textId="37A31556" w:rsidR="00157EF5" w:rsidRDefault="00157EF5" w:rsidP="00157EF5">
      <w:pPr>
        <w:pStyle w:val="BodyA"/>
        <w:spacing w:after="240" w:line="288" w:lineRule="auto"/>
        <w:rPr>
          <w:rStyle w:val="None"/>
          <w:i/>
          <w:iCs/>
          <w:sz w:val="20"/>
          <w:szCs w:val="20"/>
        </w:rPr>
      </w:pPr>
      <w:r w:rsidRPr="00157EF5">
        <w:rPr>
          <w:rStyle w:val="None"/>
          <w:sz w:val="20"/>
          <w:szCs w:val="20"/>
        </w:rPr>
        <w:t xml:space="preserve">O REDUNIQ Insights é uma solução de conhecimento que pretende disponibilizar informação analítica aos clientes da REDUNIQ, a maior rede de aceitação de cartões nacionais e estrangeiros em Portugal, com base em informação do retalho nacional, suportando empresas na geração de </w:t>
      </w:r>
      <w:r w:rsidRPr="00157EF5">
        <w:rPr>
          <w:rStyle w:val="None"/>
          <w:i/>
          <w:iCs/>
          <w:sz w:val="20"/>
          <w:szCs w:val="20"/>
        </w:rPr>
        <w:t>insights</w:t>
      </w:r>
      <w:r w:rsidRPr="00157EF5">
        <w:rPr>
          <w:rStyle w:val="None"/>
          <w:sz w:val="20"/>
          <w:szCs w:val="20"/>
        </w:rPr>
        <w:t xml:space="preserve"> e na tomada de decisões de desenvolvimento de negócio. A REDUNIQ, que só em 2019, transacionou 20 mil milhões de euros em compras, num total de 539 milhões de transações, dispõe de informação detalhada sobre os perfis de consumo realizados em estabelecimentos servidos pela sua rede.</w:t>
      </w:r>
    </w:p>
    <w:p w14:paraId="127B23DF" w14:textId="77777777" w:rsidR="00805F09" w:rsidRPr="00484549" w:rsidRDefault="00805F09" w:rsidP="00764788">
      <w:pPr>
        <w:pStyle w:val="BodyA"/>
        <w:rPr>
          <w:rStyle w:val="None"/>
          <w:sz w:val="20"/>
          <w:szCs w:val="20"/>
        </w:rPr>
      </w:pPr>
    </w:p>
    <w:p w14:paraId="191BCDB3" w14:textId="7F958104" w:rsidR="00805F09" w:rsidRDefault="00BA13A0" w:rsidP="00764788">
      <w:pPr>
        <w:pStyle w:val="Rodap"/>
        <w:tabs>
          <w:tab w:val="clear" w:pos="8504"/>
          <w:tab w:val="right" w:pos="8478"/>
        </w:tabs>
        <w:spacing w:after="80"/>
        <w:rPr>
          <w:rStyle w:val="None"/>
          <w:b/>
          <w:bCs/>
          <w:sz w:val="20"/>
          <w:szCs w:val="20"/>
        </w:rPr>
      </w:pPr>
      <w:r>
        <w:rPr>
          <w:rStyle w:val="None"/>
          <w:b/>
          <w:bCs/>
          <w:sz w:val="20"/>
          <w:szCs w:val="20"/>
        </w:rPr>
        <w:t>Para mais informações, contacte:</w:t>
      </w:r>
    </w:p>
    <w:p w14:paraId="5AAEFB88" w14:textId="77777777" w:rsidR="00805F09" w:rsidRDefault="00BA13A0" w:rsidP="00764788">
      <w:pPr>
        <w:pStyle w:val="Rodap"/>
        <w:tabs>
          <w:tab w:val="clear" w:pos="8504"/>
          <w:tab w:val="right" w:pos="8478"/>
        </w:tabs>
        <w:spacing w:after="0"/>
        <w:jc w:val="left"/>
        <w:rPr>
          <w:rStyle w:val="None"/>
          <w:sz w:val="20"/>
          <w:szCs w:val="20"/>
          <w:u w:val="single"/>
        </w:rPr>
      </w:pPr>
      <w:r>
        <w:rPr>
          <w:rStyle w:val="None"/>
          <w:sz w:val="20"/>
          <w:szCs w:val="20"/>
          <w:u w:val="single"/>
        </w:rPr>
        <w:t>Lift Consulting</w:t>
      </w:r>
    </w:p>
    <w:p w14:paraId="53E886BC" w14:textId="77777777" w:rsidR="00E434DB" w:rsidRDefault="00E434DB" w:rsidP="00E434DB">
      <w:pPr>
        <w:pStyle w:val="Rodap"/>
        <w:widowControl w:val="0"/>
        <w:tabs>
          <w:tab w:val="clear" w:pos="8504"/>
          <w:tab w:val="right" w:pos="8478"/>
        </w:tabs>
        <w:spacing w:after="0"/>
        <w:jc w:val="left"/>
      </w:pPr>
      <w:r>
        <w:rPr>
          <w:rStyle w:val="None"/>
          <w:sz w:val="20"/>
          <w:szCs w:val="20"/>
        </w:rPr>
        <w:t>Fábio Duarte | fabio.duarte@lift.com.pt | 911 774 428</w:t>
      </w:r>
    </w:p>
    <w:p w14:paraId="518A5BC5" w14:textId="4B891159" w:rsidR="00E434DB" w:rsidRPr="00663520" w:rsidRDefault="00240B98" w:rsidP="00663520">
      <w:pPr>
        <w:pStyle w:val="Rodap"/>
        <w:widowControl w:val="0"/>
        <w:tabs>
          <w:tab w:val="clear" w:pos="8504"/>
          <w:tab w:val="right" w:pos="8478"/>
        </w:tabs>
        <w:spacing w:after="0"/>
        <w:jc w:val="left"/>
        <w:rPr>
          <w:sz w:val="20"/>
          <w:szCs w:val="20"/>
        </w:rPr>
      </w:pPr>
      <w:r>
        <w:rPr>
          <w:rStyle w:val="None"/>
          <w:sz w:val="20"/>
          <w:szCs w:val="20"/>
        </w:rPr>
        <w:t>André Saramago</w:t>
      </w:r>
      <w:r w:rsidR="00BA13A0">
        <w:rPr>
          <w:rStyle w:val="None"/>
          <w:sz w:val="20"/>
          <w:szCs w:val="20"/>
        </w:rPr>
        <w:t xml:space="preserve"> | </w:t>
      </w:r>
      <w:r>
        <w:rPr>
          <w:rStyle w:val="None"/>
          <w:sz w:val="20"/>
          <w:szCs w:val="20"/>
        </w:rPr>
        <w:t>andre.saramago</w:t>
      </w:r>
      <w:r w:rsidR="00BA13A0">
        <w:rPr>
          <w:rStyle w:val="None"/>
          <w:sz w:val="20"/>
          <w:szCs w:val="20"/>
        </w:rPr>
        <w:t xml:space="preserve">@lift.com.pt | </w:t>
      </w:r>
      <w:r w:rsidRPr="00240B98">
        <w:rPr>
          <w:rStyle w:val="None"/>
          <w:sz w:val="20"/>
          <w:szCs w:val="20"/>
        </w:rPr>
        <w:t>912 896 471</w:t>
      </w:r>
      <w:bookmarkEnd w:id="0"/>
    </w:p>
    <w:sectPr w:rsidR="00E434DB" w:rsidRPr="00663520">
      <w:headerReference w:type="default" r:id="rId13"/>
      <w:footerReference w:type="default" r:id="rId14"/>
      <w:pgSz w:w="11900" w:h="16840"/>
      <w:pgMar w:top="1985" w:right="1701" w:bottom="1702" w:left="1701" w:header="708"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8309" w14:textId="77777777" w:rsidR="002F3EF1" w:rsidRDefault="002F3EF1">
      <w:r>
        <w:separator/>
      </w:r>
    </w:p>
  </w:endnote>
  <w:endnote w:type="continuationSeparator" w:id="0">
    <w:p w14:paraId="4CE9CA50" w14:textId="77777777" w:rsidR="002F3EF1" w:rsidRDefault="002F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7C2A" w14:textId="47ED75F3" w:rsidR="007568DB" w:rsidRDefault="100EF4CE">
    <w:pPr>
      <w:pStyle w:val="Rodap"/>
      <w:tabs>
        <w:tab w:val="clear" w:pos="8504"/>
        <w:tab w:val="right" w:pos="8478"/>
      </w:tabs>
      <w:jc w:val="right"/>
    </w:pPr>
    <w:r>
      <w:t xml:space="preserve">   </w:t>
    </w:r>
    <w:r>
      <w:rPr>
        <w:noProof/>
      </w:rPr>
      <w:drawing>
        <wp:inline distT="0" distB="0" distL="0" distR="0" wp14:anchorId="28222123" wp14:editId="0C64A771">
          <wp:extent cx="1144270" cy="453507"/>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144270" cy="453507"/>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58C1E" w14:textId="77777777" w:rsidR="002F3EF1" w:rsidRDefault="002F3EF1">
      <w:r>
        <w:separator/>
      </w:r>
    </w:p>
  </w:footnote>
  <w:footnote w:type="continuationSeparator" w:id="0">
    <w:p w14:paraId="55B6F7B9" w14:textId="77777777" w:rsidR="002F3EF1" w:rsidRDefault="002F3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CD76" w14:textId="2819236D" w:rsidR="00490F46" w:rsidRDefault="00490F46">
    <w:pPr>
      <w:pStyle w:val="Cabealho"/>
      <w:tabs>
        <w:tab w:val="clear" w:pos="8504"/>
        <w:tab w:val="right" w:pos="8478"/>
      </w:tabs>
    </w:pPr>
    <w:r>
      <w:rPr>
        <w:noProof/>
      </w:rPr>
      <w:drawing>
        <wp:inline distT="0" distB="0" distL="0" distR="0" wp14:anchorId="6770D44D" wp14:editId="6E8D87A7">
          <wp:extent cx="4749023" cy="9735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4749023" cy="973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B97"/>
    <w:multiLevelType w:val="hybridMultilevel"/>
    <w:tmpl w:val="0DC8FFB0"/>
    <w:numStyleLink w:val="ImportedStyle1"/>
  </w:abstractNum>
  <w:abstractNum w:abstractNumId="1" w15:restartNumberingAfterBreak="0">
    <w:nsid w:val="1E9C078D"/>
    <w:multiLevelType w:val="hybridMultilevel"/>
    <w:tmpl w:val="CC161FBA"/>
    <w:lvl w:ilvl="0" w:tplc="08160001">
      <w:start w:val="1"/>
      <w:numFmt w:val="bullet"/>
      <w:lvlText w:val=""/>
      <w:lvlJc w:val="left"/>
      <w:pPr>
        <w:ind w:left="720" w:hanging="360"/>
      </w:pPr>
      <w:rPr>
        <w:rFonts w:ascii="Symbol" w:hAnsi="Symbol" w:cs="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73472A"/>
    <w:multiLevelType w:val="hybridMultilevel"/>
    <w:tmpl w:val="D026EE70"/>
    <w:lvl w:ilvl="0" w:tplc="08160001">
      <w:start w:val="1"/>
      <w:numFmt w:val="bullet"/>
      <w:lvlText w:val=""/>
      <w:lvlJc w:val="left"/>
      <w:pPr>
        <w:ind w:left="720" w:hanging="360"/>
      </w:pPr>
      <w:rPr>
        <w:rFonts w:ascii="Symbol" w:hAnsi="Symbol" w:cs="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cs="Wingdings" w:hint="default"/>
      </w:rPr>
    </w:lvl>
    <w:lvl w:ilvl="3" w:tplc="08160001">
      <w:start w:val="1"/>
      <w:numFmt w:val="bullet"/>
      <w:lvlText w:val=""/>
      <w:lvlJc w:val="left"/>
      <w:pPr>
        <w:ind w:left="2880" w:hanging="360"/>
      </w:pPr>
      <w:rPr>
        <w:rFonts w:ascii="Symbol" w:hAnsi="Symbol" w:cs="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cs="Wingdings" w:hint="default"/>
      </w:rPr>
    </w:lvl>
    <w:lvl w:ilvl="6" w:tplc="08160001">
      <w:start w:val="1"/>
      <w:numFmt w:val="bullet"/>
      <w:lvlText w:val=""/>
      <w:lvlJc w:val="left"/>
      <w:pPr>
        <w:ind w:left="5040" w:hanging="360"/>
      </w:pPr>
      <w:rPr>
        <w:rFonts w:ascii="Symbol" w:hAnsi="Symbol" w:cs="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cs="Wingdings" w:hint="default"/>
      </w:rPr>
    </w:lvl>
  </w:abstractNum>
  <w:abstractNum w:abstractNumId="3" w15:restartNumberingAfterBreak="0">
    <w:nsid w:val="36994B49"/>
    <w:multiLevelType w:val="hybridMultilevel"/>
    <w:tmpl w:val="E838467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7876CE9"/>
    <w:multiLevelType w:val="hybridMultilevel"/>
    <w:tmpl w:val="0DC8FFB0"/>
    <w:styleLink w:val="ImportedStyle1"/>
    <w:lvl w:ilvl="0" w:tplc="AF76E922">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color w:val="002B48"/>
        <w:spacing w:val="0"/>
        <w:w w:val="100"/>
        <w:kern w:val="0"/>
        <w:position w:val="0"/>
        <w:highlight w:val="none"/>
        <w:vertAlign w:val="baseline"/>
      </w:rPr>
    </w:lvl>
    <w:lvl w:ilvl="1" w:tplc="5792174A">
      <w:start w:val="1"/>
      <w:numFmt w:val="bullet"/>
      <w:lvlText w:val="o"/>
      <w:lvlJc w:val="left"/>
      <w:pPr>
        <w:ind w:left="86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2" w:tplc="C188071C">
      <w:start w:val="1"/>
      <w:numFmt w:val="bullet"/>
      <w:lvlText w:val="▪"/>
      <w:lvlJc w:val="left"/>
      <w:pPr>
        <w:ind w:left="158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3" w:tplc="36663C2C">
      <w:start w:val="1"/>
      <w:numFmt w:val="bullet"/>
      <w:lvlText w:val="·"/>
      <w:lvlJc w:val="left"/>
      <w:pPr>
        <w:ind w:left="2302" w:hanging="357"/>
      </w:pPr>
      <w:rPr>
        <w:rFonts w:ascii="Symbol" w:eastAsia="Symbol" w:hAnsi="Symbol" w:cs="Symbol"/>
        <w:b w:val="0"/>
        <w:bCs w:val="0"/>
        <w:i w:val="0"/>
        <w:iCs w:val="0"/>
        <w:caps w:val="0"/>
        <w:smallCaps w:val="0"/>
        <w:strike w:val="0"/>
        <w:dstrike w:val="0"/>
        <w:outline w:val="0"/>
        <w:emboss w:val="0"/>
        <w:imprint w:val="0"/>
        <w:color w:val="002B48"/>
        <w:spacing w:val="0"/>
        <w:w w:val="100"/>
        <w:kern w:val="0"/>
        <w:position w:val="0"/>
        <w:highlight w:val="none"/>
        <w:vertAlign w:val="baseline"/>
      </w:rPr>
    </w:lvl>
    <w:lvl w:ilvl="4" w:tplc="E9BC83A6">
      <w:start w:val="1"/>
      <w:numFmt w:val="bullet"/>
      <w:lvlText w:val="o"/>
      <w:lvlJc w:val="left"/>
      <w:pPr>
        <w:ind w:left="302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5" w:tplc="F404EA16">
      <w:start w:val="1"/>
      <w:numFmt w:val="bullet"/>
      <w:lvlText w:val="▪"/>
      <w:lvlJc w:val="left"/>
      <w:pPr>
        <w:ind w:left="374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6" w:tplc="02BA0FFA">
      <w:start w:val="1"/>
      <w:numFmt w:val="bullet"/>
      <w:lvlText w:val="·"/>
      <w:lvlJc w:val="left"/>
      <w:pPr>
        <w:ind w:left="4462" w:hanging="357"/>
      </w:pPr>
      <w:rPr>
        <w:rFonts w:ascii="Symbol" w:eastAsia="Symbol" w:hAnsi="Symbol" w:cs="Symbol"/>
        <w:b w:val="0"/>
        <w:bCs w:val="0"/>
        <w:i w:val="0"/>
        <w:iCs w:val="0"/>
        <w:caps w:val="0"/>
        <w:smallCaps w:val="0"/>
        <w:strike w:val="0"/>
        <w:dstrike w:val="0"/>
        <w:outline w:val="0"/>
        <w:emboss w:val="0"/>
        <w:imprint w:val="0"/>
        <w:color w:val="002B48"/>
        <w:spacing w:val="0"/>
        <w:w w:val="100"/>
        <w:kern w:val="0"/>
        <w:position w:val="0"/>
        <w:highlight w:val="none"/>
        <w:vertAlign w:val="baseline"/>
      </w:rPr>
    </w:lvl>
    <w:lvl w:ilvl="7" w:tplc="46EE7A20">
      <w:start w:val="1"/>
      <w:numFmt w:val="bullet"/>
      <w:lvlText w:val="o"/>
      <w:lvlJc w:val="left"/>
      <w:pPr>
        <w:ind w:left="518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8" w:tplc="9964374E">
      <w:start w:val="1"/>
      <w:numFmt w:val="bullet"/>
      <w:lvlText w:val="▪"/>
      <w:lvlJc w:val="left"/>
      <w:pPr>
        <w:ind w:left="590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abstractNum>
  <w:abstractNum w:abstractNumId="5" w15:restartNumberingAfterBreak="0">
    <w:nsid w:val="44925E09"/>
    <w:multiLevelType w:val="hybridMultilevel"/>
    <w:tmpl w:val="9F4A61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E2F043B"/>
    <w:multiLevelType w:val="hybridMultilevel"/>
    <w:tmpl w:val="FDA4295E"/>
    <w:lvl w:ilvl="0" w:tplc="08160001">
      <w:start w:val="1"/>
      <w:numFmt w:val="bullet"/>
      <w:lvlText w:val=""/>
      <w:lvlJc w:val="left"/>
      <w:pPr>
        <w:ind w:left="720" w:hanging="360"/>
      </w:pPr>
      <w:rPr>
        <w:rFonts w:ascii="Symbol" w:hAnsi="Symbol"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F09"/>
    <w:rsid w:val="00001A27"/>
    <w:rsid w:val="00001D73"/>
    <w:rsid w:val="00013FB6"/>
    <w:rsid w:val="000205B5"/>
    <w:rsid w:val="00032126"/>
    <w:rsid w:val="00037DD6"/>
    <w:rsid w:val="00041FC6"/>
    <w:rsid w:val="00045406"/>
    <w:rsid w:val="00046C14"/>
    <w:rsid w:val="00047DA1"/>
    <w:rsid w:val="0005069C"/>
    <w:rsid w:val="00053EC8"/>
    <w:rsid w:val="00055E01"/>
    <w:rsid w:val="0006007E"/>
    <w:rsid w:val="00064795"/>
    <w:rsid w:val="00064ACD"/>
    <w:rsid w:val="00067ECD"/>
    <w:rsid w:val="000743C5"/>
    <w:rsid w:val="00074E40"/>
    <w:rsid w:val="00086C76"/>
    <w:rsid w:val="00095221"/>
    <w:rsid w:val="00097FE3"/>
    <w:rsid w:val="000A07A0"/>
    <w:rsid w:val="000B085A"/>
    <w:rsid w:val="000B21D3"/>
    <w:rsid w:val="000B52F4"/>
    <w:rsid w:val="000B7F28"/>
    <w:rsid w:val="000D1BDB"/>
    <w:rsid w:val="000D3F2D"/>
    <w:rsid w:val="000D422C"/>
    <w:rsid w:val="000D57AE"/>
    <w:rsid w:val="000D763F"/>
    <w:rsid w:val="000D7FE8"/>
    <w:rsid w:val="000E0564"/>
    <w:rsid w:val="000E2782"/>
    <w:rsid w:val="000E2881"/>
    <w:rsid w:val="000E3706"/>
    <w:rsid w:val="000E4E34"/>
    <w:rsid w:val="000F52C4"/>
    <w:rsid w:val="0010128B"/>
    <w:rsid w:val="0010467B"/>
    <w:rsid w:val="00104B37"/>
    <w:rsid w:val="00121014"/>
    <w:rsid w:val="001215B7"/>
    <w:rsid w:val="00124012"/>
    <w:rsid w:val="00126A09"/>
    <w:rsid w:val="00134AD5"/>
    <w:rsid w:val="00134DC8"/>
    <w:rsid w:val="00141547"/>
    <w:rsid w:val="001426EB"/>
    <w:rsid w:val="0014525C"/>
    <w:rsid w:val="001473DD"/>
    <w:rsid w:val="0015045B"/>
    <w:rsid w:val="0015310E"/>
    <w:rsid w:val="00157EF5"/>
    <w:rsid w:val="001609F4"/>
    <w:rsid w:val="001643AE"/>
    <w:rsid w:val="00166E29"/>
    <w:rsid w:val="00167AA8"/>
    <w:rsid w:val="00171DDC"/>
    <w:rsid w:val="001802E8"/>
    <w:rsid w:val="0018045E"/>
    <w:rsid w:val="001834AB"/>
    <w:rsid w:val="001967F2"/>
    <w:rsid w:val="001B33BD"/>
    <w:rsid w:val="001C4E66"/>
    <w:rsid w:val="001C4EE6"/>
    <w:rsid w:val="001C66B4"/>
    <w:rsid w:val="001D21DA"/>
    <w:rsid w:val="001D26B1"/>
    <w:rsid w:val="001D3A63"/>
    <w:rsid w:val="001D5137"/>
    <w:rsid w:val="001D6C0B"/>
    <w:rsid w:val="001E3DB5"/>
    <w:rsid w:val="001E7572"/>
    <w:rsid w:val="001E781B"/>
    <w:rsid w:val="001E7EEC"/>
    <w:rsid w:val="001F0856"/>
    <w:rsid w:val="001F1C92"/>
    <w:rsid w:val="00202C56"/>
    <w:rsid w:val="00204161"/>
    <w:rsid w:val="00211482"/>
    <w:rsid w:val="00214AAF"/>
    <w:rsid w:val="00220FB9"/>
    <w:rsid w:val="0022342B"/>
    <w:rsid w:val="00236AAF"/>
    <w:rsid w:val="00237496"/>
    <w:rsid w:val="00240B98"/>
    <w:rsid w:val="002413C2"/>
    <w:rsid w:val="00252EC8"/>
    <w:rsid w:val="00253F95"/>
    <w:rsid w:val="00256880"/>
    <w:rsid w:val="002570AD"/>
    <w:rsid w:val="002578E7"/>
    <w:rsid w:val="002604AA"/>
    <w:rsid w:val="00270064"/>
    <w:rsid w:val="0027150C"/>
    <w:rsid w:val="00273930"/>
    <w:rsid w:val="002741BC"/>
    <w:rsid w:val="00275FAC"/>
    <w:rsid w:val="00277086"/>
    <w:rsid w:val="00280B1A"/>
    <w:rsid w:val="00285605"/>
    <w:rsid w:val="002857C6"/>
    <w:rsid w:val="00293BAA"/>
    <w:rsid w:val="00294FC1"/>
    <w:rsid w:val="00295A23"/>
    <w:rsid w:val="002B151E"/>
    <w:rsid w:val="002C28EA"/>
    <w:rsid w:val="002D7DE4"/>
    <w:rsid w:val="002F2D76"/>
    <w:rsid w:val="002F3EF1"/>
    <w:rsid w:val="003000CF"/>
    <w:rsid w:val="003152BF"/>
    <w:rsid w:val="0033152F"/>
    <w:rsid w:val="00343F71"/>
    <w:rsid w:val="00356F68"/>
    <w:rsid w:val="003577D2"/>
    <w:rsid w:val="00367B03"/>
    <w:rsid w:val="0037412F"/>
    <w:rsid w:val="00377502"/>
    <w:rsid w:val="0038131E"/>
    <w:rsid w:val="003946FB"/>
    <w:rsid w:val="003A3EA2"/>
    <w:rsid w:val="003A6EDC"/>
    <w:rsid w:val="003B0EC7"/>
    <w:rsid w:val="003B51E1"/>
    <w:rsid w:val="003C2694"/>
    <w:rsid w:val="003C6003"/>
    <w:rsid w:val="003D06F9"/>
    <w:rsid w:val="003D1580"/>
    <w:rsid w:val="003D5077"/>
    <w:rsid w:val="003E07BE"/>
    <w:rsid w:val="003E4C69"/>
    <w:rsid w:val="003F3068"/>
    <w:rsid w:val="003F35FB"/>
    <w:rsid w:val="003F477B"/>
    <w:rsid w:val="003F58A3"/>
    <w:rsid w:val="004075FD"/>
    <w:rsid w:val="00410916"/>
    <w:rsid w:val="00410D8B"/>
    <w:rsid w:val="00413997"/>
    <w:rsid w:val="00414A33"/>
    <w:rsid w:val="00422D5E"/>
    <w:rsid w:val="00431173"/>
    <w:rsid w:val="00436832"/>
    <w:rsid w:val="004368AE"/>
    <w:rsid w:val="004377E2"/>
    <w:rsid w:val="00446913"/>
    <w:rsid w:val="00447C8A"/>
    <w:rsid w:val="00447E47"/>
    <w:rsid w:val="00454DF7"/>
    <w:rsid w:val="00455BE9"/>
    <w:rsid w:val="00456E51"/>
    <w:rsid w:val="00465130"/>
    <w:rsid w:val="004669AC"/>
    <w:rsid w:val="0046799A"/>
    <w:rsid w:val="00481CDC"/>
    <w:rsid w:val="00484549"/>
    <w:rsid w:val="004847BC"/>
    <w:rsid w:val="00485A04"/>
    <w:rsid w:val="004863D8"/>
    <w:rsid w:val="00490F46"/>
    <w:rsid w:val="00492255"/>
    <w:rsid w:val="004922EA"/>
    <w:rsid w:val="004923C9"/>
    <w:rsid w:val="004926D0"/>
    <w:rsid w:val="00492DE3"/>
    <w:rsid w:val="00495E1A"/>
    <w:rsid w:val="00497087"/>
    <w:rsid w:val="004B2B1C"/>
    <w:rsid w:val="004B2DE7"/>
    <w:rsid w:val="004B33B2"/>
    <w:rsid w:val="004B5FAA"/>
    <w:rsid w:val="004C056A"/>
    <w:rsid w:val="004C3651"/>
    <w:rsid w:val="004F4B7B"/>
    <w:rsid w:val="004F5BE3"/>
    <w:rsid w:val="004F6E83"/>
    <w:rsid w:val="004F7299"/>
    <w:rsid w:val="005009E2"/>
    <w:rsid w:val="00503D8C"/>
    <w:rsid w:val="00506254"/>
    <w:rsid w:val="005075C1"/>
    <w:rsid w:val="005115DA"/>
    <w:rsid w:val="0051174B"/>
    <w:rsid w:val="00511FC0"/>
    <w:rsid w:val="00515FD6"/>
    <w:rsid w:val="0051695E"/>
    <w:rsid w:val="0052216A"/>
    <w:rsid w:val="005253A1"/>
    <w:rsid w:val="005265FC"/>
    <w:rsid w:val="00527BDA"/>
    <w:rsid w:val="005353F1"/>
    <w:rsid w:val="00547D92"/>
    <w:rsid w:val="005532D3"/>
    <w:rsid w:val="00560715"/>
    <w:rsid w:val="0056131B"/>
    <w:rsid w:val="00565F86"/>
    <w:rsid w:val="00566FC4"/>
    <w:rsid w:val="0056726A"/>
    <w:rsid w:val="00581297"/>
    <w:rsid w:val="00581304"/>
    <w:rsid w:val="0058549D"/>
    <w:rsid w:val="00585886"/>
    <w:rsid w:val="00596420"/>
    <w:rsid w:val="005A4AB9"/>
    <w:rsid w:val="005A580B"/>
    <w:rsid w:val="005A6A2B"/>
    <w:rsid w:val="005A7953"/>
    <w:rsid w:val="005B2F4D"/>
    <w:rsid w:val="005B4276"/>
    <w:rsid w:val="005B7497"/>
    <w:rsid w:val="005C137D"/>
    <w:rsid w:val="005C17FC"/>
    <w:rsid w:val="005C6072"/>
    <w:rsid w:val="005C6833"/>
    <w:rsid w:val="005D0313"/>
    <w:rsid w:val="005D48F8"/>
    <w:rsid w:val="005D4C45"/>
    <w:rsid w:val="005D4E4E"/>
    <w:rsid w:val="005E1964"/>
    <w:rsid w:val="005F5DB1"/>
    <w:rsid w:val="005F763A"/>
    <w:rsid w:val="00600CDE"/>
    <w:rsid w:val="006105B8"/>
    <w:rsid w:val="00613191"/>
    <w:rsid w:val="0061435B"/>
    <w:rsid w:val="00615669"/>
    <w:rsid w:val="00615A2E"/>
    <w:rsid w:val="0061646C"/>
    <w:rsid w:val="00617E39"/>
    <w:rsid w:val="00623336"/>
    <w:rsid w:val="0063222A"/>
    <w:rsid w:val="0063660C"/>
    <w:rsid w:val="006408DC"/>
    <w:rsid w:val="00642790"/>
    <w:rsid w:val="00646175"/>
    <w:rsid w:val="00646EAC"/>
    <w:rsid w:val="00652BE4"/>
    <w:rsid w:val="006546D2"/>
    <w:rsid w:val="00657248"/>
    <w:rsid w:val="00660159"/>
    <w:rsid w:val="00663520"/>
    <w:rsid w:val="00665969"/>
    <w:rsid w:val="006659C7"/>
    <w:rsid w:val="00674AC4"/>
    <w:rsid w:val="0068115B"/>
    <w:rsid w:val="00686DE8"/>
    <w:rsid w:val="00695969"/>
    <w:rsid w:val="006B4349"/>
    <w:rsid w:val="006B4D07"/>
    <w:rsid w:val="006B79D7"/>
    <w:rsid w:val="006C27EE"/>
    <w:rsid w:val="006C5E6F"/>
    <w:rsid w:val="006C6069"/>
    <w:rsid w:val="006D03B5"/>
    <w:rsid w:val="006D3C06"/>
    <w:rsid w:val="006D6A69"/>
    <w:rsid w:val="006E067E"/>
    <w:rsid w:val="006E1D9D"/>
    <w:rsid w:val="006E370C"/>
    <w:rsid w:val="006E52EE"/>
    <w:rsid w:val="00701CF2"/>
    <w:rsid w:val="007024F6"/>
    <w:rsid w:val="007041FE"/>
    <w:rsid w:val="007050D9"/>
    <w:rsid w:val="00706400"/>
    <w:rsid w:val="00706A10"/>
    <w:rsid w:val="00707072"/>
    <w:rsid w:val="00707752"/>
    <w:rsid w:val="00712928"/>
    <w:rsid w:val="00712B2F"/>
    <w:rsid w:val="00716226"/>
    <w:rsid w:val="00726F65"/>
    <w:rsid w:val="00732043"/>
    <w:rsid w:val="00742B34"/>
    <w:rsid w:val="00743E95"/>
    <w:rsid w:val="00743EE0"/>
    <w:rsid w:val="00744B4D"/>
    <w:rsid w:val="00750D4E"/>
    <w:rsid w:val="007568DB"/>
    <w:rsid w:val="00762F48"/>
    <w:rsid w:val="00764788"/>
    <w:rsid w:val="00771221"/>
    <w:rsid w:val="007731F4"/>
    <w:rsid w:val="00786F93"/>
    <w:rsid w:val="007A2332"/>
    <w:rsid w:val="007A353C"/>
    <w:rsid w:val="007B1964"/>
    <w:rsid w:val="007B5DE8"/>
    <w:rsid w:val="007D1D7F"/>
    <w:rsid w:val="007D22C6"/>
    <w:rsid w:val="007D5A01"/>
    <w:rsid w:val="007D7098"/>
    <w:rsid w:val="007E2907"/>
    <w:rsid w:val="007F31D2"/>
    <w:rsid w:val="007F66C1"/>
    <w:rsid w:val="00801AF4"/>
    <w:rsid w:val="008045B1"/>
    <w:rsid w:val="00805F09"/>
    <w:rsid w:val="00807CFC"/>
    <w:rsid w:val="0081146A"/>
    <w:rsid w:val="00812750"/>
    <w:rsid w:val="00812C12"/>
    <w:rsid w:val="00812EF8"/>
    <w:rsid w:val="008139F1"/>
    <w:rsid w:val="008150FA"/>
    <w:rsid w:val="0082237F"/>
    <w:rsid w:val="00830F91"/>
    <w:rsid w:val="00833654"/>
    <w:rsid w:val="0083479C"/>
    <w:rsid w:val="00834B19"/>
    <w:rsid w:val="00836E9D"/>
    <w:rsid w:val="00846D9F"/>
    <w:rsid w:val="0085123F"/>
    <w:rsid w:val="008513E1"/>
    <w:rsid w:val="00860180"/>
    <w:rsid w:val="008623B4"/>
    <w:rsid w:val="00864092"/>
    <w:rsid w:val="008646BD"/>
    <w:rsid w:val="00864B24"/>
    <w:rsid w:val="008675D4"/>
    <w:rsid w:val="00876447"/>
    <w:rsid w:val="00876841"/>
    <w:rsid w:val="00891FC1"/>
    <w:rsid w:val="00892043"/>
    <w:rsid w:val="00896050"/>
    <w:rsid w:val="008977B1"/>
    <w:rsid w:val="008A3EF0"/>
    <w:rsid w:val="008A6B49"/>
    <w:rsid w:val="008B196B"/>
    <w:rsid w:val="008B1E28"/>
    <w:rsid w:val="008B22DB"/>
    <w:rsid w:val="008B3DEA"/>
    <w:rsid w:val="008C1059"/>
    <w:rsid w:val="008C2E2D"/>
    <w:rsid w:val="008D3917"/>
    <w:rsid w:val="008D40B3"/>
    <w:rsid w:val="008D5DC0"/>
    <w:rsid w:val="008E5E53"/>
    <w:rsid w:val="008E799E"/>
    <w:rsid w:val="008F2358"/>
    <w:rsid w:val="008F3AB0"/>
    <w:rsid w:val="009046E8"/>
    <w:rsid w:val="00911237"/>
    <w:rsid w:val="00911320"/>
    <w:rsid w:val="00913EB7"/>
    <w:rsid w:val="009357EC"/>
    <w:rsid w:val="00935967"/>
    <w:rsid w:val="009457E4"/>
    <w:rsid w:val="00945826"/>
    <w:rsid w:val="00950044"/>
    <w:rsid w:val="00955033"/>
    <w:rsid w:val="00956A80"/>
    <w:rsid w:val="00962C8E"/>
    <w:rsid w:val="00965593"/>
    <w:rsid w:val="00970B69"/>
    <w:rsid w:val="00972857"/>
    <w:rsid w:val="009772DB"/>
    <w:rsid w:val="00977FA1"/>
    <w:rsid w:val="009802BC"/>
    <w:rsid w:val="009815BB"/>
    <w:rsid w:val="00984EF9"/>
    <w:rsid w:val="009874C2"/>
    <w:rsid w:val="0099292E"/>
    <w:rsid w:val="00994E40"/>
    <w:rsid w:val="00996108"/>
    <w:rsid w:val="00997A76"/>
    <w:rsid w:val="009A4E72"/>
    <w:rsid w:val="009A7039"/>
    <w:rsid w:val="009B0377"/>
    <w:rsid w:val="009B1106"/>
    <w:rsid w:val="009B51B1"/>
    <w:rsid w:val="009B652B"/>
    <w:rsid w:val="009B7642"/>
    <w:rsid w:val="009C1815"/>
    <w:rsid w:val="009C1DD4"/>
    <w:rsid w:val="009C2CAE"/>
    <w:rsid w:val="009C3985"/>
    <w:rsid w:val="009C4826"/>
    <w:rsid w:val="009C5BBB"/>
    <w:rsid w:val="009C7F87"/>
    <w:rsid w:val="009D4FD5"/>
    <w:rsid w:val="00A03E9C"/>
    <w:rsid w:val="00A05614"/>
    <w:rsid w:val="00A115B2"/>
    <w:rsid w:val="00A121EB"/>
    <w:rsid w:val="00A250E9"/>
    <w:rsid w:val="00A25F2B"/>
    <w:rsid w:val="00A267C9"/>
    <w:rsid w:val="00A27021"/>
    <w:rsid w:val="00A27CBB"/>
    <w:rsid w:val="00A35D14"/>
    <w:rsid w:val="00A36A63"/>
    <w:rsid w:val="00A40957"/>
    <w:rsid w:val="00A43098"/>
    <w:rsid w:val="00A45BC6"/>
    <w:rsid w:val="00A4642D"/>
    <w:rsid w:val="00A47A25"/>
    <w:rsid w:val="00A545FD"/>
    <w:rsid w:val="00A60770"/>
    <w:rsid w:val="00A63F18"/>
    <w:rsid w:val="00A67E4C"/>
    <w:rsid w:val="00A74C83"/>
    <w:rsid w:val="00A85CDD"/>
    <w:rsid w:val="00A868EA"/>
    <w:rsid w:val="00A914EB"/>
    <w:rsid w:val="00A9257B"/>
    <w:rsid w:val="00A94752"/>
    <w:rsid w:val="00A95379"/>
    <w:rsid w:val="00AA24D3"/>
    <w:rsid w:val="00AA3E07"/>
    <w:rsid w:val="00AA45CB"/>
    <w:rsid w:val="00AA4C5B"/>
    <w:rsid w:val="00AA54E0"/>
    <w:rsid w:val="00AB1214"/>
    <w:rsid w:val="00AB3244"/>
    <w:rsid w:val="00AB5510"/>
    <w:rsid w:val="00AB56A3"/>
    <w:rsid w:val="00AB5EE4"/>
    <w:rsid w:val="00AC1302"/>
    <w:rsid w:val="00AD5F5F"/>
    <w:rsid w:val="00AE008D"/>
    <w:rsid w:val="00AF0659"/>
    <w:rsid w:val="00B04AF7"/>
    <w:rsid w:val="00B04C14"/>
    <w:rsid w:val="00B07DD2"/>
    <w:rsid w:val="00B1039E"/>
    <w:rsid w:val="00B17C3D"/>
    <w:rsid w:val="00B308DE"/>
    <w:rsid w:val="00B3345E"/>
    <w:rsid w:val="00B34A24"/>
    <w:rsid w:val="00B41851"/>
    <w:rsid w:val="00B517E8"/>
    <w:rsid w:val="00B57F4F"/>
    <w:rsid w:val="00B653EE"/>
    <w:rsid w:val="00B718C1"/>
    <w:rsid w:val="00B72636"/>
    <w:rsid w:val="00B764C3"/>
    <w:rsid w:val="00B77B0E"/>
    <w:rsid w:val="00B820A9"/>
    <w:rsid w:val="00B8559F"/>
    <w:rsid w:val="00B92BDB"/>
    <w:rsid w:val="00B93431"/>
    <w:rsid w:val="00B9464C"/>
    <w:rsid w:val="00B95DF3"/>
    <w:rsid w:val="00B978BC"/>
    <w:rsid w:val="00B978F6"/>
    <w:rsid w:val="00BA13A0"/>
    <w:rsid w:val="00BB0C5F"/>
    <w:rsid w:val="00BB3AD0"/>
    <w:rsid w:val="00BB55FE"/>
    <w:rsid w:val="00BC1299"/>
    <w:rsid w:val="00BC135A"/>
    <w:rsid w:val="00BC402E"/>
    <w:rsid w:val="00BC591F"/>
    <w:rsid w:val="00BC698D"/>
    <w:rsid w:val="00BD13D1"/>
    <w:rsid w:val="00BD1877"/>
    <w:rsid w:val="00BE050C"/>
    <w:rsid w:val="00BF559D"/>
    <w:rsid w:val="00BF7044"/>
    <w:rsid w:val="00C043D0"/>
    <w:rsid w:val="00C04CEE"/>
    <w:rsid w:val="00C05179"/>
    <w:rsid w:val="00C05A88"/>
    <w:rsid w:val="00C05FB1"/>
    <w:rsid w:val="00C07720"/>
    <w:rsid w:val="00C12B31"/>
    <w:rsid w:val="00C15987"/>
    <w:rsid w:val="00C1687E"/>
    <w:rsid w:val="00C16C6B"/>
    <w:rsid w:val="00C25508"/>
    <w:rsid w:val="00C2655D"/>
    <w:rsid w:val="00C272CC"/>
    <w:rsid w:val="00C32E93"/>
    <w:rsid w:val="00C34F69"/>
    <w:rsid w:val="00C371CC"/>
    <w:rsid w:val="00C40583"/>
    <w:rsid w:val="00C41B45"/>
    <w:rsid w:val="00C471BC"/>
    <w:rsid w:val="00C52325"/>
    <w:rsid w:val="00C55DC9"/>
    <w:rsid w:val="00C57D11"/>
    <w:rsid w:val="00C61BAA"/>
    <w:rsid w:val="00C6551C"/>
    <w:rsid w:val="00C66BF2"/>
    <w:rsid w:val="00C6759C"/>
    <w:rsid w:val="00C734EA"/>
    <w:rsid w:val="00C866D8"/>
    <w:rsid w:val="00C94519"/>
    <w:rsid w:val="00CA3B83"/>
    <w:rsid w:val="00CA6CD2"/>
    <w:rsid w:val="00CB5BE3"/>
    <w:rsid w:val="00CB652A"/>
    <w:rsid w:val="00CC0BCB"/>
    <w:rsid w:val="00CD6725"/>
    <w:rsid w:val="00CE2BB2"/>
    <w:rsid w:val="00CE5E87"/>
    <w:rsid w:val="00CF1DCA"/>
    <w:rsid w:val="00CF72E0"/>
    <w:rsid w:val="00D011A3"/>
    <w:rsid w:val="00D0599F"/>
    <w:rsid w:val="00D11F44"/>
    <w:rsid w:val="00D15491"/>
    <w:rsid w:val="00D23E13"/>
    <w:rsid w:val="00D25090"/>
    <w:rsid w:val="00D27EE7"/>
    <w:rsid w:val="00D3148C"/>
    <w:rsid w:val="00D402EB"/>
    <w:rsid w:val="00D45F66"/>
    <w:rsid w:val="00D521C4"/>
    <w:rsid w:val="00D53BD7"/>
    <w:rsid w:val="00D54E42"/>
    <w:rsid w:val="00D55C9C"/>
    <w:rsid w:val="00D64A5D"/>
    <w:rsid w:val="00D65289"/>
    <w:rsid w:val="00D8129C"/>
    <w:rsid w:val="00D82307"/>
    <w:rsid w:val="00D8284A"/>
    <w:rsid w:val="00D929D7"/>
    <w:rsid w:val="00D94EBF"/>
    <w:rsid w:val="00DA01D3"/>
    <w:rsid w:val="00DA0E36"/>
    <w:rsid w:val="00DA172F"/>
    <w:rsid w:val="00DB7312"/>
    <w:rsid w:val="00DB73AF"/>
    <w:rsid w:val="00DC5A41"/>
    <w:rsid w:val="00DC7929"/>
    <w:rsid w:val="00DD2F40"/>
    <w:rsid w:val="00DD2F58"/>
    <w:rsid w:val="00DD5200"/>
    <w:rsid w:val="00DD5CD4"/>
    <w:rsid w:val="00DD672A"/>
    <w:rsid w:val="00DE49D4"/>
    <w:rsid w:val="00DE608D"/>
    <w:rsid w:val="00DE726E"/>
    <w:rsid w:val="00DF5512"/>
    <w:rsid w:val="00E007A8"/>
    <w:rsid w:val="00E00B0A"/>
    <w:rsid w:val="00E01EC6"/>
    <w:rsid w:val="00E0239D"/>
    <w:rsid w:val="00E03192"/>
    <w:rsid w:val="00E069C7"/>
    <w:rsid w:val="00E06DF5"/>
    <w:rsid w:val="00E0700D"/>
    <w:rsid w:val="00E11CD5"/>
    <w:rsid w:val="00E210EE"/>
    <w:rsid w:val="00E25D22"/>
    <w:rsid w:val="00E31E03"/>
    <w:rsid w:val="00E33B0D"/>
    <w:rsid w:val="00E3616E"/>
    <w:rsid w:val="00E41001"/>
    <w:rsid w:val="00E434DB"/>
    <w:rsid w:val="00E51DFD"/>
    <w:rsid w:val="00E529D8"/>
    <w:rsid w:val="00E665D8"/>
    <w:rsid w:val="00E67E26"/>
    <w:rsid w:val="00E8183A"/>
    <w:rsid w:val="00E9566F"/>
    <w:rsid w:val="00E979A8"/>
    <w:rsid w:val="00EA0BEE"/>
    <w:rsid w:val="00EA22B1"/>
    <w:rsid w:val="00EA7F6C"/>
    <w:rsid w:val="00EB679C"/>
    <w:rsid w:val="00EC6B78"/>
    <w:rsid w:val="00ED6094"/>
    <w:rsid w:val="00EF1A10"/>
    <w:rsid w:val="00EF272E"/>
    <w:rsid w:val="00EF3A16"/>
    <w:rsid w:val="00EF6006"/>
    <w:rsid w:val="00EF6182"/>
    <w:rsid w:val="00EF623E"/>
    <w:rsid w:val="00F00D33"/>
    <w:rsid w:val="00F01B87"/>
    <w:rsid w:val="00F02A85"/>
    <w:rsid w:val="00F05850"/>
    <w:rsid w:val="00F07810"/>
    <w:rsid w:val="00F07FDC"/>
    <w:rsid w:val="00F12A12"/>
    <w:rsid w:val="00F14355"/>
    <w:rsid w:val="00F257EC"/>
    <w:rsid w:val="00F258EA"/>
    <w:rsid w:val="00F3269B"/>
    <w:rsid w:val="00F36291"/>
    <w:rsid w:val="00F43993"/>
    <w:rsid w:val="00F66F44"/>
    <w:rsid w:val="00F673CC"/>
    <w:rsid w:val="00F83E66"/>
    <w:rsid w:val="00F926FE"/>
    <w:rsid w:val="00F947DD"/>
    <w:rsid w:val="00F94C81"/>
    <w:rsid w:val="00F97FBC"/>
    <w:rsid w:val="00FA16E1"/>
    <w:rsid w:val="00FA28E9"/>
    <w:rsid w:val="00FA51DE"/>
    <w:rsid w:val="00FA6E83"/>
    <w:rsid w:val="00FB2420"/>
    <w:rsid w:val="00FB2494"/>
    <w:rsid w:val="00FB500E"/>
    <w:rsid w:val="00FC2E1B"/>
    <w:rsid w:val="00FC74A9"/>
    <w:rsid w:val="00FD040A"/>
    <w:rsid w:val="00FD3498"/>
    <w:rsid w:val="00FD4CCB"/>
    <w:rsid w:val="00FF4305"/>
    <w:rsid w:val="00FF4BD5"/>
    <w:rsid w:val="00FF6D86"/>
    <w:rsid w:val="00FF7294"/>
    <w:rsid w:val="100EF4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7609"/>
  <w15:docId w15:val="{5C8B511A-8911-49CC-91DB-AEADB48C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spacing w:after="24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Pr>
      <w:u w:val="single"/>
    </w:rPr>
  </w:style>
  <w:style w:type="paragraph" w:styleId="Cabealho">
    <w:name w:val="header"/>
    <w:pPr>
      <w:tabs>
        <w:tab w:val="center" w:pos="4252"/>
        <w:tab w:val="right" w:pos="8504"/>
      </w:tabs>
    </w:pPr>
    <w:rPr>
      <w:rFonts w:ascii="Calibri" w:hAnsi="Calibri" w:cs="Arial Unicode MS"/>
      <w:color w:val="000000"/>
      <w:sz w:val="22"/>
      <w:szCs w:val="22"/>
      <w:u w:color="000000"/>
    </w:rPr>
  </w:style>
  <w:style w:type="paragraph" w:styleId="Rodap">
    <w:name w:val="footer"/>
    <w:pPr>
      <w:tabs>
        <w:tab w:val="center" w:pos="4252"/>
        <w:tab w:val="right" w:pos="8504"/>
      </w:tabs>
    </w:pPr>
    <w:rPr>
      <w:rFonts w:ascii="Calibri" w:hAnsi="Calibri" w:cs="Arial Unicode MS"/>
      <w:color w:val="000000"/>
      <w:sz w:val="22"/>
      <w:szCs w:val="22"/>
      <w:u w:color="000000"/>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PargrafodaLista">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563C1"/>
      <w:u w:val="single" w:color="0563C1"/>
      <w:lang w:val="pt-PT"/>
    </w:rPr>
  </w:style>
  <w:style w:type="character" w:customStyle="1" w:styleId="Hyperlink1">
    <w:name w:val="Hyperlink.1"/>
    <w:basedOn w:val="None"/>
    <w:rPr>
      <w:outline w:val="0"/>
      <w:color w:val="0563C1"/>
      <w:u w:val="single" w:color="0563C1"/>
      <w:lang w:val="fr-FR"/>
    </w:rPr>
  </w:style>
  <w:style w:type="character" w:customStyle="1" w:styleId="Hyperlink2">
    <w:name w:val="Hyperlink.2"/>
    <w:basedOn w:val="None"/>
    <w:rPr>
      <w:outline w:val="0"/>
      <w:color w:val="0563C1"/>
      <w:u w:val="single" w:color="0563C1"/>
      <w:lang w:val="de-DE"/>
    </w:rPr>
  </w:style>
  <w:style w:type="paragraph" w:styleId="Textodecomentrio">
    <w:name w:val="annotation text"/>
    <w:basedOn w:val="Normal"/>
    <w:link w:val="TextodecomentrioCarter"/>
    <w:uiPriority w:val="99"/>
    <w:semiHidden/>
    <w:unhideWhenUsed/>
    <w:rPr>
      <w:sz w:val="20"/>
      <w:szCs w:val="20"/>
    </w:rPr>
  </w:style>
  <w:style w:type="character" w:customStyle="1" w:styleId="TextodecomentrioCarter">
    <w:name w:val="Texto de comentário Caráter"/>
    <w:basedOn w:val="Tipodeletrapredefinidodopargrafo"/>
    <w:link w:val="Textodecomentrio"/>
    <w:uiPriority w:val="99"/>
    <w:semiHidden/>
    <w:rPr>
      <w:lang w:val="en-US" w:eastAsia="en-US"/>
    </w:rPr>
  </w:style>
  <w:style w:type="character" w:styleId="Refdecomentrio">
    <w:name w:val="annotation reference"/>
    <w:basedOn w:val="Tipodeletrapredefinidodopargrafo"/>
    <w:uiPriority w:val="99"/>
    <w:semiHidden/>
    <w:unhideWhenUsed/>
    <w:rPr>
      <w:sz w:val="16"/>
      <w:szCs w:val="16"/>
    </w:rPr>
  </w:style>
  <w:style w:type="paragraph" w:styleId="Textodebalo">
    <w:name w:val="Balloon Text"/>
    <w:basedOn w:val="Normal"/>
    <w:link w:val="TextodebaloCarter"/>
    <w:uiPriority w:val="99"/>
    <w:semiHidden/>
    <w:unhideWhenUsed/>
    <w:rsid w:val="005009E2"/>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009E2"/>
    <w:rPr>
      <w:rFonts w:ascii="Segoe UI" w:hAnsi="Segoe UI" w:cs="Segoe UI"/>
      <w:sz w:val="18"/>
      <w:szCs w:val="18"/>
      <w:lang w:val="en-US" w:eastAsia="en-US"/>
    </w:rPr>
  </w:style>
  <w:style w:type="character" w:styleId="MenoNoResolvida">
    <w:name w:val="Unresolved Mention"/>
    <w:basedOn w:val="Tipodeletrapredefinidodopargrafo"/>
    <w:uiPriority w:val="99"/>
    <w:semiHidden/>
    <w:unhideWhenUsed/>
    <w:rsid w:val="008C2E2D"/>
    <w:rPr>
      <w:color w:val="605E5C"/>
      <w:shd w:val="clear" w:color="auto" w:fill="E1DFDD"/>
    </w:rPr>
  </w:style>
  <w:style w:type="paragraph" w:styleId="Assuntodecomentrio">
    <w:name w:val="annotation subject"/>
    <w:basedOn w:val="Textodecomentrio"/>
    <w:next w:val="Textodecomentrio"/>
    <w:link w:val="AssuntodecomentrioCarter"/>
    <w:uiPriority w:val="99"/>
    <w:semiHidden/>
    <w:unhideWhenUsed/>
    <w:rsid w:val="00294FC1"/>
    <w:pPr>
      <w:spacing w:line="240" w:lineRule="auto"/>
    </w:pPr>
    <w:rPr>
      <w:b/>
      <w:bCs/>
    </w:rPr>
  </w:style>
  <w:style w:type="character" w:customStyle="1" w:styleId="AssuntodecomentrioCarter">
    <w:name w:val="Assunto de comentário Caráter"/>
    <w:basedOn w:val="TextodecomentrioCarter"/>
    <w:link w:val="Assuntodecomentrio"/>
    <w:uiPriority w:val="99"/>
    <w:semiHidden/>
    <w:rsid w:val="00294FC1"/>
    <w:rPr>
      <w:b/>
      <w:bCs/>
      <w:lang w:val="en-US" w:eastAsia="en-US"/>
    </w:rPr>
  </w:style>
  <w:style w:type="paragraph" w:customStyle="1" w:styleId="default0">
    <w:name w:val="default"/>
    <w:basedOn w:val="Normal"/>
    <w:rsid w:val="007647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left"/>
    </w:pPr>
    <w:rPr>
      <w:rFonts w:ascii="Arial Nova" w:eastAsiaTheme="minorHAnsi" w:hAnsi="Arial Nova" w:cs="Calibri"/>
      <w:color w:val="000000"/>
      <w:bdr w:val="none" w:sz="0" w:space="0" w:color="auto"/>
      <w:lang w:val="pt-PT" w:eastAsia="pt-PT"/>
    </w:rPr>
  </w:style>
  <w:style w:type="paragraph" w:styleId="NormalWeb">
    <w:name w:val="Normal (Web)"/>
    <w:basedOn w:val="Normal"/>
    <w:uiPriority w:val="99"/>
    <w:unhideWhenUsed/>
    <w:rsid w:val="00C405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eastAsia="Times New Roman"/>
      <w:bdr w:val="none" w:sz="0" w:space="0" w:color="auto"/>
      <w:lang w:val="pt-PT" w:eastAsia="pt-PT"/>
    </w:rPr>
  </w:style>
  <w:style w:type="paragraph" w:styleId="Reviso">
    <w:name w:val="Revision"/>
    <w:hidden/>
    <w:uiPriority w:val="99"/>
    <w:semiHidden/>
    <w:rsid w:val="003D06F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209">
      <w:bodyDiv w:val="1"/>
      <w:marLeft w:val="0"/>
      <w:marRight w:val="0"/>
      <w:marTop w:val="0"/>
      <w:marBottom w:val="0"/>
      <w:divBdr>
        <w:top w:val="none" w:sz="0" w:space="0" w:color="auto"/>
        <w:left w:val="none" w:sz="0" w:space="0" w:color="auto"/>
        <w:bottom w:val="none" w:sz="0" w:space="0" w:color="auto"/>
        <w:right w:val="none" w:sz="0" w:space="0" w:color="auto"/>
      </w:divBdr>
    </w:div>
    <w:div w:id="85424786">
      <w:bodyDiv w:val="1"/>
      <w:marLeft w:val="0"/>
      <w:marRight w:val="0"/>
      <w:marTop w:val="0"/>
      <w:marBottom w:val="0"/>
      <w:divBdr>
        <w:top w:val="none" w:sz="0" w:space="0" w:color="auto"/>
        <w:left w:val="none" w:sz="0" w:space="0" w:color="auto"/>
        <w:bottom w:val="none" w:sz="0" w:space="0" w:color="auto"/>
        <w:right w:val="none" w:sz="0" w:space="0" w:color="auto"/>
      </w:divBdr>
    </w:div>
    <w:div w:id="437720844">
      <w:bodyDiv w:val="1"/>
      <w:marLeft w:val="0"/>
      <w:marRight w:val="0"/>
      <w:marTop w:val="0"/>
      <w:marBottom w:val="0"/>
      <w:divBdr>
        <w:top w:val="none" w:sz="0" w:space="0" w:color="auto"/>
        <w:left w:val="none" w:sz="0" w:space="0" w:color="auto"/>
        <w:bottom w:val="none" w:sz="0" w:space="0" w:color="auto"/>
        <w:right w:val="none" w:sz="0" w:space="0" w:color="auto"/>
      </w:divBdr>
    </w:div>
    <w:div w:id="463734922">
      <w:bodyDiv w:val="1"/>
      <w:marLeft w:val="0"/>
      <w:marRight w:val="0"/>
      <w:marTop w:val="0"/>
      <w:marBottom w:val="0"/>
      <w:divBdr>
        <w:top w:val="none" w:sz="0" w:space="0" w:color="auto"/>
        <w:left w:val="none" w:sz="0" w:space="0" w:color="auto"/>
        <w:bottom w:val="none" w:sz="0" w:space="0" w:color="auto"/>
        <w:right w:val="none" w:sz="0" w:space="0" w:color="auto"/>
      </w:divBdr>
      <w:divsChild>
        <w:div w:id="1855849016">
          <w:marLeft w:val="0"/>
          <w:marRight w:val="0"/>
          <w:marTop w:val="0"/>
          <w:marBottom w:val="0"/>
          <w:divBdr>
            <w:top w:val="none" w:sz="0" w:space="0" w:color="auto"/>
            <w:left w:val="none" w:sz="0" w:space="0" w:color="auto"/>
            <w:bottom w:val="none" w:sz="0" w:space="0" w:color="auto"/>
            <w:right w:val="none" w:sz="0" w:space="0" w:color="auto"/>
          </w:divBdr>
        </w:div>
      </w:divsChild>
    </w:div>
    <w:div w:id="464737139">
      <w:bodyDiv w:val="1"/>
      <w:marLeft w:val="0"/>
      <w:marRight w:val="0"/>
      <w:marTop w:val="0"/>
      <w:marBottom w:val="0"/>
      <w:divBdr>
        <w:top w:val="none" w:sz="0" w:space="0" w:color="auto"/>
        <w:left w:val="none" w:sz="0" w:space="0" w:color="auto"/>
        <w:bottom w:val="none" w:sz="0" w:space="0" w:color="auto"/>
        <w:right w:val="none" w:sz="0" w:space="0" w:color="auto"/>
      </w:divBdr>
    </w:div>
    <w:div w:id="465510551">
      <w:bodyDiv w:val="1"/>
      <w:marLeft w:val="0"/>
      <w:marRight w:val="0"/>
      <w:marTop w:val="0"/>
      <w:marBottom w:val="0"/>
      <w:divBdr>
        <w:top w:val="none" w:sz="0" w:space="0" w:color="auto"/>
        <w:left w:val="none" w:sz="0" w:space="0" w:color="auto"/>
        <w:bottom w:val="none" w:sz="0" w:space="0" w:color="auto"/>
        <w:right w:val="none" w:sz="0" w:space="0" w:color="auto"/>
      </w:divBdr>
      <w:divsChild>
        <w:div w:id="506867576">
          <w:marLeft w:val="0"/>
          <w:marRight w:val="0"/>
          <w:marTop w:val="0"/>
          <w:marBottom w:val="0"/>
          <w:divBdr>
            <w:top w:val="none" w:sz="0" w:space="0" w:color="auto"/>
            <w:left w:val="none" w:sz="0" w:space="0" w:color="auto"/>
            <w:bottom w:val="none" w:sz="0" w:space="0" w:color="auto"/>
            <w:right w:val="none" w:sz="0" w:space="0" w:color="auto"/>
          </w:divBdr>
        </w:div>
      </w:divsChild>
    </w:div>
    <w:div w:id="482817487">
      <w:bodyDiv w:val="1"/>
      <w:marLeft w:val="0"/>
      <w:marRight w:val="0"/>
      <w:marTop w:val="0"/>
      <w:marBottom w:val="0"/>
      <w:divBdr>
        <w:top w:val="none" w:sz="0" w:space="0" w:color="auto"/>
        <w:left w:val="none" w:sz="0" w:space="0" w:color="auto"/>
        <w:bottom w:val="none" w:sz="0" w:space="0" w:color="auto"/>
        <w:right w:val="none" w:sz="0" w:space="0" w:color="auto"/>
      </w:divBdr>
      <w:divsChild>
        <w:div w:id="1879198756">
          <w:marLeft w:val="0"/>
          <w:marRight w:val="0"/>
          <w:marTop w:val="0"/>
          <w:marBottom w:val="0"/>
          <w:divBdr>
            <w:top w:val="none" w:sz="0" w:space="0" w:color="auto"/>
            <w:left w:val="none" w:sz="0" w:space="0" w:color="auto"/>
            <w:bottom w:val="none" w:sz="0" w:space="0" w:color="auto"/>
            <w:right w:val="none" w:sz="0" w:space="0" w:color="auto"/>
          </w:divBdr>
        </w:div>
      </w:divsChild>
    </w:div>
    <w:div w:id="559365506">
      <w:bodyDiv w:val="1"/>
      <w:marLeft w:val="0"/>
      <w:marRight w:val="0"/>
      <w:marTop w:val="0"/>
      <w:marBottom w:val="0"/>
      <w:divBdr>
        <w:top w:val="none" w:sz="0" w:space="0" w:color="auto"/>
        <w:left w:val="none" w:sz="0" w:space="0" w:color="auto"/>
        <w:bottom w:val="none" w:sz="0" w:space="0" w:color="auto"/>
        <w:right w:val="none" w:sz="0" w:space="0" w:color="auto"/>
      </w:divBdr>
    </w:div>
    <w:div w:id="1006902084">
      <w:bodyDiv w:val="1"/>
      <w:marLeft w:val="0"/>
      <w:marRight w:val="0"/>
      <w:marTop w:val="0"/>
      <w:marBottom w:val="0"/>
      <w:divBdr>
        <w:top w:val="none" w:sz="0" w:space="0" w:color="auto"/>
        <w:left w:val="none" w:sz="0" w:space="0" w:color="auto"/>
        <w:bottom w:val="none" w:sz="0" w:space="0" w:color="auto"/>
        <w:right w:val="none" w:sz="0" w:space="0" w:color="auto"/>
      </w:divBdr>
    </w:div>
    <w:div w:id="1089808214">
      <w:bodyDiv w:val="1"/>
      <w:marLeft w:val="0"/>
      <w:marRight w:val="0"/>
      <w:marTop w:val="0"/>
      <w:marBottom w:val="0"/>
      <w:divBdr>
        <w:top w:val="none" w:sz="0" w:space="0" w:color="auto"/>
        <w:left w:val="none" w:sz="0" w:space="0" w:color="auto"/>
        <w:bottom w:val="none" w:sz="0" w:space="0" w:color="auto"/>
        <w:right w:val="none" w:sz="0" w:space="0" w:color="auto"/>
      </w:divBdr>
    </w:div>
    <w:div w:id="1841695335">
      <w:bodyDiv w:val="1"/>
      <w:marLeft w:val="0"/>
      <w:marRight w:val="0"/>
      <w:marTop w:val="0"/>
      <w:marBottom w:val="0"/>
      <w:divBdr>
        <w:top w:val="none" w:sz="0" w:space="0" w:color="auto"/>
        <w:left w:val="none" w:sz="0" w:space="0" w:color="auto"/>
        <w:bottom w:val="none" w:sz="0" w:space="0" w:color="auto"/>
        <w:right w:val="none" w:sz="0" w:space="0" w:color="auto"/>
      </w:divBdr>
    </w:div>
    <w:div w:id="1931624568">
      <w:bodyDiv w:val="1"/>
      <w:marLeft w:val="0"/>
      <w:marRight w:val="0"/>
      <w:marTop w:val="0"/>
      <w:marBottom w:val="0"/>
      <w:divBdr>
        <w:top w:val="none" w:sz="0" w:space="0" w:color="auto"/>
        <w:left w:val="none" w:sz="0" w:space="0" w:color="auto"/>
        <w:bottom w:val="none" w:sz="0" w:space="0" w:color="auto"/>
        <w:right w:val="none" w:sz="0" w:space="0" w:color="auto"/>
      </w:divBdr>
    </w:div>
    <w:div w:id="1971784386">
      <w:bodyDiv w:val="1"/>
      <w:marLeft w:val="0"/>
      <w:marRight w:val="0"/>
      <w:marTop w:val="0"/>
      <w:marBottom w:val="0"/>
      <w:divBdr>
        <w:top w:val="none" w:sz="0" w:space="0" w:color="auto"/>
        <w:left w:val="none" w:sz="0" w:space="0" w:color="auto"/>
        <w:bottom w:val="none" w:sz="0" w:space="0" w:color="auto"/>
        <w:right w:val="none" w:sz="0" w:space="0" w:color="auto"/>
      </w:divBdr>
    </w:div>
    <w:div w:id="198431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duniq.pt/reduniq-ins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duniq.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E6746E973874CAA612E5115A99669" ma:contentTypeVersion="0" ma:contentTypeDescription="Create a new document." ma:contentTypeScope="" ma:versionID="6a8b6aaa2731f92d2c38b03c111340e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EB3CF3-68B0-42CB-A7A5-80FDBCD4E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915FA2A-6952-49FF-BA63-CCF8F021047C}">
  <ds:schemaRefs>
    <ds:schemaRef ds:uri="http://schemas.openxmlformats.org/officeDocument/2006/bibliography"/>
  </ds:schemaRefs>
</ds:datastoreItem>
</file>

<file path=customXml/itemProps3.xml><?xml version="1.0" encoding="utf-8"?>
<ds:datastoreItem xmlns:ds="http://schemas.openxmlformats.org/officeDocument/2006/customXml" ds:itemID="{3E934FFC-436A-4625-9FF8-6AFA435804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F3392D-CCF1-4F40-885C-29871C1B6D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725</Words>
  <Characters>3916</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Inês Saltão</dc:creator>
  <cp:lastModifiedBy>Inês Filipe</cp:lastModifiedBy>
  <cp:revision>15</cp:revision>
  <dcterms:created xsi:type="dcterms:W3CDTF">2021-11-30T19:38:00Z</dcterms:created>
  <dcterms:modified xsi:type="dcterms:W3CDTF">2021-12-02T15:09:00Z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0x010100FEAE6746E973874CAA612E5115A99669</vt:lpwstr>
  </property>
</Properties>
</file>