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5E7B" w14:textId="0D1ADD7D" w:rsidR="003B784F" w:rsidRPr="003B784F" w:rsidRDefault="003B784F" w:rsidP="00375C62">
      <w:pPr>
        <w:spacing w:before="120"/>
        <w:ind w:left="-567" w:right="-618"/>
        <w:rPr>
          <w:rFonts w:ascii="Arial" w:hAnsi="Arial" w:cs="Arial"/>
          <w:b/>
          <w:bCs/>
          <w:color w:val="000000"/>
          <w:sz w:val="28"/>
          <w:szCs w:val="28"/>
          <w:lang w:val="en-GB" w:eastAsia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 w:eastAsia="en-GB"/>
        </w:rPr>
        <w:t>Industrial</w:t>
      </w:r>
      <w:r w:rsidRPr="003B784F">
        <w:rPr>
          <w:rFonts w:ascii="Arial" w:hAnsi="Arial" w:cs="Arial"/>
          <w:b/>
          <w:bCs/>
          <w:color w:val="000000"/>
          <w:sz w:val="28"/>
          <w:szCs w:val="28"/>
          <w:lang w:val="en-GB" w:eastAsia="en-GB"/>
        </w:rPr>
        <w:t xml:space="preserve"> market heading for another record</w:t>
      </w:r>
    </w:p>
    <w:p w14:paraId="57781730" w14:textId="54A15754" w:rsidR="00375C62" w:rsidRPr="00A55D57" w:rsidRDefault="003B784F" w:rsidP="00375C62">
      <w:pPr>
        <w:spacing w:after="140"/>
        <w:ind w:left="-567" w:right="-478"/>
        <w:rPr>
          <w:rFonts w:ascii="Arial" w:eastAsia="Times New Roman" w:hAnsi="Arial" w:cs="Arial"/>
          <w:b/>
          <w:bCs/>
          <w:color w:val="000000"/>
          <w:sz w:val="22"/>
          <w:szCs w:val="22"/>
          <w:lang w:val="en-GB" w:eastAsia="en-GB"/>
        </w:rPr>
      </w:pPr>
      <w:r w:rsidRPr="00A55D57">
        <w:rPr>
          <w:rFonts w:ascii="Arial" w:hAnsi="Arial"/>
          <w:i/>
          <w:sz w:val="23"/>
          <w:lang w:val="en-GB"/>
        </w:rPr>
        <w:t xml:space="preserve">Spectacular net take-up of 3.5 million sqm at the end of Q3 </w:t>
      </w:r>
      <w:r w:rsidR="005B41F0">
        <w:rPr>
          <w:rFonts w:ascii="Arial" w:hAnsi="Arial"/>
          <w:i/>
          <w:sz w:val="23"/>
          <w:lang w:val="en-GB"/>
        </w:rPr>
        <w:t>was</w:t>
      </w:r>
      <w:r w:rsidRPr="00A55D57">
        <w:rPr>
          <w:rFonts w:ascii="Arial" w:hAnsi="Arial"/>
          <w:i/>
          <w:sz w:val="23"/>
          <w:lang w:val="en-GB"/>
        </w:rPr>
        <w:t xml:space="preserve"> better than </w:t>
      </w:r>
      <w:r w:rsidR="00D67C3C">
        <w:rPr>
          <w:rFonts w:ascii="Arial" w:hAnsi="Arial"/>
          <w:i/>
          <w:sz w:val="23"/>
          <w:lang w:val="en-GB"/>
        </w:rPr>
        <w:t xml:space="preserve">any other </w:t>
      </w:r>
      <w:r w:rsidR="005B41F0">
        <w:rPr>
          <w:rFonts w:ascii="Arial" w:hAnsi="Arial"/>
          <w:i/>
          <w:sz w:val="23"/>
          <w:lang w:val="en-GB"/>
        </w:rPr>
        <w:t>total for the first three quarters of a year</w:t>
      </w:r>
      <w:r w:rsidRPr="00A55D57">
        <w:rPr>
          <w:rFonts w:ascii="Arial" w:hAnsi="Arial"/>
          <w:i/>
          <w:sz w:val="23"/>
          <w:lang w:val="en-GB"/>
        </w:rPr>
        <w:t xml:space="preserve">. The Polish market </w:t>
      </w:r>
      <w:r w:rsidR="00243B5F">
        <w:rPr>
          <w:rFonts w:ascii="Arial" w:hAnsi="Arial"/>
          <w:i/>
          <w:sz w:val="23"/>
          <w:lang w:val="en-GB"/>
        </w:rPr>
        <w:t>was</w:t>
      </w:r>
      <w:r w:rsidRPr="00A55D57">
        <w:rPr>
          <w:rFonts w:ascii="Arial" w:hAnsi="Arial"/>
          <w:i/>
          <w:sz w:val="23"/>
          <w:lang w:val="en-GB"/>
        </w:rPr>
        <w:t xml:space="preserve"> also one of the driving forces behind the record demand in Europe.</w:t>
      </w:r>
    </w:p>
    <w:p w14:paraId="72A417A9" w14:textId="357B55BA" w:rsidR="00950734" w:rsidRPr="00A55D57" w:rsidRDefault="00950734" w:rsidP="00375C62">
      <w:pPr>
        <w:ind w:left="-567" w:right="-618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  <w:r w:rsidRPr="00A55D57">
        <w:rPr>
          <w:rFonts w:ascii="Arial" w:eastAsia="Times New Roman" w:hAnsi="Arial" w:cs="Arial"/>
          <w:b/>
          <w:bCs/>
          <w:color w:val="000000"/>
          <w:sz w:val="22"/>
          <w:szCs w:val="22"/>
          <w:lang w:val="en-GB" w:eastAsia="en-GB"/>
        </w:rPr>
        <w:t>WARSAW, 3 December 2021</w:t>
      </w:r>
      <w:r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– </w:t>
      </w: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Advisory company JLL analyses the industrial market at the end of Q3 2021 and outlines the key trends and developments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for</w:t>
      </w:r>
      <w:r w:rsidR="00AE3CC6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the sector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in </w:t>
      </w: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the coming months.</w:t>
      </w:r>
    </w:p>
    <w:p w14:paraId="2C39C965" w14:textId="57949CF5" w:rsidR="00950734" w:rsidRPr="00A55D57" w:rsidRDefault="00950734" w:rsidP="00375C62">
      <w:pPr>
        <w:spacing w:before="120"/>
        <w:ind w:left="-567" w:right="-618"/>
        <w:rPr>
          <w:rFonts w:ascii="Arial" w:eastAsia="Times New Roman" w:hAnsi="Arial" w:cs="Arial"/>
          <w:b/>
          <w:bCs/>
          <w:color w:val="000000"/>
          <w:sz w:val="22"/>
          <w:szCs w:val="22"/>
          <w:lang w:val="en-GB" w:eastAsia="en-GB"/>
        </w:rPr>
      </w:pPr>
      <w:r w:rsidRPr="00A55D57">
        <w:rPr>
          <w:rFonts w:ascii="Arial" w:eastAsia="Times New Roman" w:hAnsi="Arial" w:cs="Arial"/>
          <w:b/>
          <w:bCs/>
          <w:color w:val="000000"/>
          <w:sz w:val="22"/>
          <w:szCs w:val="22"/>
          <w:lang w:val="en-GB" w:eastAsia="en-GB"/>
        </w:rPr>
        <w:t>The dominance of the Big Five and the continued impact of e-commerce on demand</w:t>
      </w:r>
    </w:p>
    <w:p w14:paraId="71C5090D" w14:textId="73677A5D" w:rsidR="0086258A" w:rsidRPr="00A55D57" w:rsidRDefault="006B1D45" w:rsidP="00375C62">
      <w:pPr>
        <w:spacing w:before="120"/>
        <w:ind w:left="-567" w:right="-618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“</w:t>
      </w:r>
      <w:r w:rsidR="0086258A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For another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successive </w:t>
      </w:r>
      <w:r w:rsidR="0086258A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quarter, we have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seen</w:t>
      </w:r>
      <w:r w:rsidR="00AE3CC6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86258A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record-breaking results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in</w:t>
      </w:r>
      <w:r w:rsidR="00AE3CC6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Poland’s</w:t>
      </w:r>
      <w:r w:rsidR="00AE3CC6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86258A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industrial market. </w:t>
      </w:r>
      <w:r w:rsidR="0086258A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The record net take-up of 3.5 million sqm at the end of Q3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could well</w:t>
      </w:r>
      <w:r w:rsidR="00AE3CC6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86258A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be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topped up </w:t>
      </w:r>
      <w:r w:rsidR="0086258A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by </w:t>
      </w:r>
      <w:r w:rsidR="003406C3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another</w:t>
      </w:r>
      <w:r w:rsidR="003406C3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86258A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1.1 million sqm </w:t>
      </w:r>
      <w:r w:rsidR="003406C3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plus </w:t>
      </w:r>
      <w:r w:rsidR="0086258A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from contract renegotiations and extensions.</w:t>
      </w:r>
      <w:r w:rsid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The</w:t>
      </w:r>
      <w:r w:rsidR="0086258A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total take-up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of</w:t>
      </w:r>
      <w:r w:rsidR="00AE3CC6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86258A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4.7 million sqm</w:t>
      </w:r>
      <w:r w:rsid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AE3CC6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would be </w:t>
      </w:r>
      <w:r w:rsidR="0086258A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a 35% increase </w:t>
      </w:r>
      <w:r w:rsidR="00547CF1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on</w:t>
      </w:r>
      <w:r w:rsidR="0086258A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the same period last year. This means that </w:t>
      </w:r>
      <w:r w:rsidR="00547CF1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there will be another record set </w:t>
      </w:r>
      <w:r w:rsidR="0086258A" w:rsidRP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at the end of 2021</w:t>
      </w:r>
      <w:r w:rsidR="0086258A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”, says </w:t>
      </w:r>
      <w:r w:rsidR="0086258A" w:rsidRPr="00A55D57">
        <w:rPr>
          <w:rFonts w:ascii="Arial" w:eastAsia="Times New Roman" w:hAnsi="Arial" w:cs="Arial"/>
          <w:b/>
          <w:bCs/>
          <w:color w:val="000000"/>
          <w:sz w:val="22"/>
          <w:szCs w:val="22"/>
          <w:lang w:val="en-GB" w:eastAsia="en-GB"/>
        </w:rPr>
        <w:t>Tomasz Mika, Head of Industrial Poland, JLL.</w:t>
      </w:r>
    </w:p>
    <w:p w14:paraId="503027C2" w14:textId="31E1CEF7" w:rsidR="0086258A" w:rsidRPr="00A55D57" w:rsidRDefault="0086258A" w:rsidP="00375C62">
      <w:pPr>
        <w:spacing w:before="120"/>
        <w:ind w:left="-567" w:right="-618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The first nine months of 2021 were </w:t>
      </w:r>
      <w:r w:rsidR="00547CF1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inevitably</w:t>
      </w:r>
      <w:r w:rsidR="00547CF1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dominated by the Big Five markets (</w:t>
      </w:r>
      <w:proofErr w:type="spellStart"/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Poznań</w:t>
      </w:r>
      <w:proofErr w:type="spellEnd"/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, Upper Silesia, </w:t>
      </w:r>
      <w:proofErr w:type="spellStart"/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Wrocław</w:t>
      </w:r>
      <w:proofErr w:type="spellEnd"/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, Warsaw and Central Poland) accounting for 73% of new demand. </w:t>
      </w:r>
      <w:proofErr w:type="spellStart"/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Poznań</w:t>
      </w:r>
      <w:proofErr w:type="spellEnd"/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5A7B6E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came in first </w:t>
      </w:r>
      <w:r w:rsidR="00547CF1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with</w:t>
      </w:r>
      <w:r w:rsidR="00547CF1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over 600,000</w:t>
      </w:r>
      <w:r w:rsidR="0009204E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sqm</w:t>
      </w: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in Q1-Q3 2021.</w:t>
      </w:r>
    </w:p>
    <w:p w14:paraId="24B42B48" w14:textId="66F590E6" w:rsidR="0086258A" w:rsidRPr="00340797" w:rsidRDefault="0086258A" w:rsidP="00375C62">
      <w:pPr>
        <w:spacing w:before="120"/>
        <w:ind w:left="-567" w:right="-618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“</w:t>
      </w:r>
      <w:r w:rsidRPr="00A55D57">
        <w:rPr>
          <w:rFonts w:ascii="Arial" w:hAnsi="Arial" w:cs="Arial"/>
          <w:sz w:val="22"/>
          <w:szCs w:val="22"/>
          <w:lang w:val="en-GB"/>
        </w:rPr>
        <w:t xml:space="preserve">Upper Silesia, the Warsaw area and </w:t>
      </w:r>
      <w:proofErr w:type="spellStart"/>
      <w:r w:rsidRPr="00A55D57">
        <w:rPr>
          <w:rFonts w:ascii="Arial" w:hAnsi="Arial" w:cs="Arial"/>
          <w:sz w:val="22"/>
          <w:szCs w:val="22"/>
          <w:lang w:val="en-GB"/>
        </w:rPr>
        <w:t>Wrocław</w:t>
      </w:r>
      <w:proofErr w:type="spellEnd"/>
      <w:r w:rsidRPr="00A55D57">
        <w:rPr>
          <w:rFonts w:ascii="Arial" w:hAnsi="Arial" w:cs="Arial"/>
          <w:sz w:val="22"/>
          <w:szCs w:val="22"/>
          <w:lang w:val="en-GB"/>
        </w:rPr>
        <w:t xml:space="preserve"> also recorded a very good third quarter, narrowing the gap </w:t>
      </w:r>
      <w:r w:rsidR="00547CF1">
        <w:rPr>
          <w:rFonts w:ascii="Arial" w:hAnsi="Arial" w:cs="Arial"/>
          <w:sz w:val="22"/>
          <w:szCs w:val="22"/>
          <w:lang w:val="en-GB"/>
        </w:rPr>
        <w:t>between the</w:t>
      </w:r>
      <w:r w:rsidR="0009204E">
        <w:rPr>
          <w:rFonts w:ascii="Arial" w:hAnsi="Arial" w:cs="Arial"/>
          <w:sz w:val="22"/>
          <w:szCs w:val="22"/>
          <w:lang w:val="en-GB"/>
        </w:rPr>
        <w:t>se</w:t>
      </w:r>
      <w:r w:rsidR="00547CF1">
        <w:rPr>
          <w:rFonts w:ascii="Arial" w:hAnsi="Arial" w:cs="Arial"/>
          <w:sz w:val="22"/>
          <w:szCs w:val="22"/>
          <w:lang w:val="en-GB"/>
        </w:rPr>
        <w:t xml:space="preserve"> three markets and </w:t>
      </w:r>
      <w:proofErr w:type="spellStart"/>
      <w:r w:rsidR="00547CF1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Poznań</w:t>
      </w:r>
      <w:proofErr w:type="spellEnd"/>
      <w:r w:rsidR="003406C3">
        <w:rPr>
          <w:rFonts w:ascii="Arial" w:hAnsi="Arial" w:cs="Arial"/>
          <w:sz w:val="22"/>
          <w:szCs w:val="22"/>
          <w:lang w:val="en-GB"/>
        </w:rPr>
        <w:t xml:space="preserve">. </w:t>
      </w:r>
      <w:r w:rsidRPr="00A55D57">
        <w:rPr>
          <w:rFonts w:ascii="Arial" w:hAnsi="Arial" w:cs="Arial"/>
          <w:sz w:val="22"/>
          <w:szCs w:val="22"/>
          <w:lang w:val="en-GB"/>
        </w:rPr>
        <w:t xml:space="preserve">Almost one million sqm of space </w:t>
      </w:r>
      <w:r w:rsidR="00547CF1">
        <w:rPr>
          <w:rFonts w:ascii="Arial" w:hAnsi="Arial" w:cs="Arial"/>
          <w:sz w:val="22"/>
          <w:szCs w:val="22"/>
          <w:lang w:val="en-GB"/>
        </w:rPr>
        <w:t xml:space="preserve">for logistics </w:t>
      </w:r>
      <w:r w:rsidRPr="00A55D57">
        <w:rPr>
          <w:rFonts w:ascii="Arial" w:hAnsi="Arial" w:cs="Arial"/>
          <w:sz w:val="22"/>
          <w:szCs w:val="22"/>
          <w:lang w:val="en-GB"/>
        </w:rPr>
        <w:t>was leased outside the Big Five markets.</w:t>
      </w:r>
      <w:r w:rsidR="00D647BD">
        <w:rPr>
          <w:rFonts w:ascii="Arial" w:hAnsi="Arial" w:cs="Arial"/>
          <w:sz w:val="22"/>
          <w:szCs w:val="22"/>
          <w:lang w:val="en-GB"/>
        </w:rPr>
        <w:t xml:space="preserve"> </w:t>
      </w:r>
      <w:r w:rsidR="00D647BD" w:rsidRPr="00D647BD">
        <w:rPr>
          <w:rFonts w:ascii="Arial" w:hAnsi="Arial" w:cs="Arial"/>
          <w:sz w:val="22"/>
          <w:szCs w:val="22"/>
          <w:lang w:val="en-GB"/>
        </w:rPr>
        <w:t>The markets in the northern regions of Poland</w:t>
      </w:r>
      <w:r w:rsidR="00340797">
        <w:rPr>
          <w:rFonts w:ascii="Arial" w:hAnsi="Arial" w:cs="Arial"/>
          <w:sz w:val="22"/>
          <w:szCs w:val="22"/>
          <w:lang w:val="en-GB"/>
        </w:rPr>
        <w:t xml:space="preserve"> – </w:t>
      </w:r>
      <w:proofErr w:type="spellStart"/>
      <w:r w:rsidR="00D647BD" w:rsidRPr="00D647BD">
        <w:rPr>
          <w:rFonts w:ascii="Arial" w:hAnsi="Arial" w:cs="Arial"/>
          <w:sz w:val="22"/>
          <w:szCs w:val="22"/>
          <w:lang w:val="en-GB"/>
        </w:rPr>
        <w:t>Kujawy</w:t>
      </w:r>
      <w:proofErr w:type="spellEnd"/>
      <w:r w:rsidR="00D647BD" w:rsidRPr="00D647BD">
        <w:rPr>
          <w:rFonts w:ascii="Arial" w:hAnsi="Arial" w:cs="Arial"/>
          <w:sz w:val="22"/>
          <w:szCs w:val="22"/>
          <w:lang w:val="en-GB"/>
        </w:rPr>
        <w:t>, Tri</w:t>
      </w:r>
      <w:r w:rsidR="0009204E">
        <w:rPr>
          <w:rFonts w:ascii="Arial" w:hAnsi="Arial" w:cs="Arial"/>
          <w:sz w:val="22"/>
          <w:szCs w:val="22"/>
          <w:lang w:val="en-GB"/>
        </w:rPr>
        <w:t>-C</w:t>
      </w:r>
      <w:r w:rsidR="00D647BD" w:rsidRPr="00D647BD">
        <w:rPr>
          <w:rFonts w:ascii="Arial" w:hAnsi="Arial" w:cs="Arial"/>
          <w:sz w:val="22"/>
          <w:szCs w:val="22"/>
          <w:lang w:val="en-GB"/>
        </w:rPr>
        <w:t xml:space="preserve">ity and Szczecin, where a total of over 550,000 sqm was leased, </w:t>
      </w:r>
      <w:r w:rsidR="00547CF1">
        <w:rPr>
          <w:rFonts w:ascii="Arial" w:hAnsi="Arial" w:cs="Arial"/>
          <w:sz w:val="22"/>
          <w:szCs w:val="22"/>
          <w:lang w:val="en-GB"/>
        </w:rPr>
        <w:t xml:space="preserve">really </w:t>
      </w:r>
      <w:r w:rsidR="00D647BD" w:rsidRPr="00D647BD">
        <w:rPr>
          <w:rFonts w:ascii="Arial" w:hAnsi="Arial" w:cs="Arial"/>
          <w:sz w:val="22"/>
          <w:szCs w:val="22"/>
          <w:lang w:val="en-GB"/>
        </w:rPr>
        <w:t>stood out</w:t>
      </w:r>
      <w:r w:rsidR="00D647BD">
        <w:rPr>
          <w:rFonts w:ascii="Arial" w:hAnsi="Arial" w:cs="Arial"/>
          <w:sz w:val="22"/>
          <w:szCs w:val="22"/>
          <w:lang w:val="en-GB"/>
        </w:rPr>
        <w:t xml:space="preserve">”, explains </w:t>
      </w:r>
      <w:r w:rsidR="00D647BD" w:rsidRPr="00340797">
        <w:rPr>
          <w:rFonts w:ascii="Arial" w:hAnsi="Arial" w:cs="Arial"/>
          <w:b/>
          <w:bCs/>
          <w:sz w:val="22"/>
          <w:szCs w:val="22"/>
          <w:lang w:val="en-GB"/>
        </w:rPr>
        <w:t xml:space="preserve">Maciej </w:t>
      </w:r>
      <w:proofErr w:type="spellStart"/>
      <w:r w:rsidR="00D647BD" w:rsidRPr="00340797">
        <w:rPr>
          <w:rFonts w:ascii="Arial" w:hAnsi="Arial" w:cs="Arial"/>
          <w:b/>
          <w:bCs/>
          <w:sz w:val="22"/>
          <w:szCs w:val="22"/>
          <w:lang w:val="en-GB"/>
        </w:rPr>
        <w:t>Kotowski</w:t>
      </w:r>
      <w:proofErr w:type="spellEnd"/>
      <w:r w:rsidR="00D647BD" w:rsidRPr="00340797">
        <w:rPr>
          <w:rFonts w:ascii="Arial" w:hAnsi="Arial" w:cs="Arial"/>
          <w:b/>
          <w:bCs/>
          <w:sz w:val="22"/>
          <w:szCs w:val="22"/>
          <w:lang w:val="en-GB"/>
        </w:rPr>
        <w:t>, Senior Research Analyst, JLL.</w:t>
      </w:r>
    </w:p>
    <w:p w14:paraId="1BAEFFC9" w14:textId="538E05FC" w:rsidR="00D647BD" w:rsidRPr="00A55D57" w:rsidRDefault="00D647BD" w:rsidP="00375C62">
      <w:pPr>
        <w:spacing w:before="120"/>
        <w:ind w:left="-567" w:right="-618"/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</w:pP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The continued </w:t>
      </w:r>
      <w:r w:rsidR="00547CF1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rapid</w:t>
      </w:r>
      <w:r w:rsidR="00547CF1"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growth of e-commerce is reflected in </w:t>
      </w:r>
      <w:r w:rsidR="00E758D0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the increased operational levels</w:t>
      </w: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from logistics companies and retail chains, which accounted for 70% of </w:t>
      </w:r>
      <w:r w:rsidR="00E758D0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the </w:t>
      </w:r>
      <w:r w:rsidRPr="00A55D57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new demand.</w:t>
      </w:r>
      <w:r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="00E758D0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Furthermore, these two</w:t>
      </w:r>
      <w:r w:rsidRPr="00D647B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sectors </w:t>
      </w:r>
      <w:r w:rsidR="002B51C0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attracted</w:t>
      </w:r>
      <w:r w:rsidR="002B51C0" w:rsidRPr="00D647B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Pr="00D647B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this year's 20 largest contracts </w:t>
      </w:r>
      <w:r w:rsidR="002B51C0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totalling</w:t>
      </w:r>
      <w:r w:rsidRPr="00D647B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1.1 million sqm.</w:t>
      </w:r>
      <w:r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Pr="00D647B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These included new contracts </w:t>
      </w:r>
      <w:r w:rsidR="002B51C0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involving</w:t>
      </w:r>
      <w:r w:rsidR="002B51C0" w:rsidRPr="00D647B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</w:t>
      </w:r>
      <w:r w:rsidRPr="00D647B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Action, Amazon, Arvato, Auchan, DHL, ID Logistics, JYSK, </w:t>
      </w:r>
      <w:proofErr w:type="spellStart"/>
      <w:r w:rsidRPr="00D647B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Westwing</w:t>
      </w:r>
      <w:proofErr w:type="spellEnd"/>
      <w:r w:rsidRPr="00D647BD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 xml:space="preserve"> and Zalando</w:t>
      </w:r>
      <w:r w:rsidR="002B51C0">
        <w:rPr>
          <w:rFonts w:ascii="Arial" w:eastAsia="Times New Roman" w:hAnsi="Arial" w:cs="Arial"/>
          <w:color w:val="000000"/>
          <w:sz w:val="22"/>
          <w:szCs w:val="22"/>
          <w:lang w:val="en-GB" w:eastAsia="en-GB"/>
        </w:rPr>
        <w:t>.</w:t>
      </w:r>
    </w:p>
    <w:p w14:paraId="4A79B997" w14:textId="40C3D5BA" w:rsidR="00375C62" w:rsidRPr="00A55D57" w:rsidRDefault="00903133" w:rsidP="00375C62">
      <w:pPr>
        <w:spacing w:before="120"/>
        <w:ind w:left="-567" w:right="-618"/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</w:pPr>
      <w:r w:rsidRPr="00A55D57">
        <w:rPr>
          <w:rFonts w:ascii="Arial" w:hAnsi="Arial" w:cs="Arial"/>
          <w:b/>
          <w:bCs/>
          <w:sz w:val="22"/>
          <w:szCs w:val="22"/>
          <w:lang w:val="en-GB"/>
        </w:rPr>
        <w:t>Another 3</w:t>
      </w:r>
      <w:r w:rsidR="0043111A">
        <w:rPr>
          <w:rFonts w:ascii="Arial" w:hAnsi="Arial" w:cs="Arial"/>
          <w:b/>
          <w:bCs/>
          <w:sz w:val="22"/>
          <w:szCs w:val="22"/>
          <w:lang w:val="en-GB"/>
        </w:rPr>
        <w:t>.4 million</w:t>
      </w:r>
      <w:r w:rsidRPr="00A55D57">
        <w:rPr>
          <w:rFonts w:ascii="Arial" w:hAnsi="Arial" w:cs="Arial"/>
          <w:b/>
          <w:bCs/>
          <w:sz w:val="22"/>
          <w:szCs w:val="22"/>
          <w:lang w:val="en-GB"/>
        </w:rPr>
        <w:t xml:space="preserve"> sqm of industrial space under construction</w:t>
      </w:r>
    </w:p>
    <w:p w14:paraId="62F31732" w14:textId="3CB94C4E" w:rsidR="00903133" w:rsidRPr="00A55D57" w:rsidRDefault="00903133" w:rsidP="00375C62">
      <w:pPr>
        <w:spacing w:before="120"/>
        <w:ind w:left="-567" w:right="-618"/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</w:pPr>
      <w:r w:rsidRPr="00A55D57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Developers </w:t>
      </w:r>
      <w:r w:rsidR="00243B5F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were</w:t>
      </w:r>
      <w:r w:rsidR="002B51C0" w:rsidRPr="00A55D57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keeping</w:t>
      </w:r>
      <w:r w:rsidR="002B51C0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up with demand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– </w:t>
      </w:r>
      <w:r w:rsidRPr="00A55D57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between January and the end of September as much as </w:t>
      </w:r>
      <w:r w:rsidR="003406C3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two</w:t>
      </w:r>
      <w:r w:rsidR="003406C3" w:rsidRPr="00A55D57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</w:t>
      </w:r>
      <w:r w:rsidRPr="00A55D57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million sqm was delivered to the market.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</w:t>
      </w:r>
      <w:r w:rsidRPr="00903133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As a result, the total</w:t>
      </w:r>
      <w:r w:rsidR="0043111A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industrial</w:t>
      </w:r>
      <w:r w:rsidRPr="00903133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stock in Poland </w:t>
      </w:r>
      <w:r w:rsidR="000846B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stood</w:t>
      </w:r>
      <w:r w:rsidR="002B51C0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at</w:t>
      </w:r>
      <w:r w:rsidRPr="00903133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22.9 million sqm, an increase of around 12% y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-o-y</w:t>
      </w:r>
      <w:r w:rsidRPr="00903133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.</w:t>
      </w:r>
      <w:r w:rsid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</w:t>
      </w:r>
      <w:r w:rsidR="007923DE" w:rsidRP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The Big Five markets accounted for as much as 80% of this stock</w:t>
      </w:r>
      <w:r w:rsidR="002B51C0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with</w:t>
      </w:r>
      <w:r w:rsidRPr="00903133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Upper Silesia</w:t>
      </w:r>
      <w:r w:rsid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</w:t>
      </w:r>
      <w:r w:rsidR="002B51C0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seeing the biggest increase</w:t>
      </w:r>
      <w:r w:rsidR="00340797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</w:t>
      </w:r>
      <w:r w:rsid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– </w:t>
      </w:r>
      <w:r w:rsidRPr="00903133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by 400,000 sqm over the three quarters.</w:t>
      </w:r>
      <w:r w:rsid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</w:t>
      </w:r>
      <w:proofErr w:type="spellStart"/>
      <w:r w:rsidR="007923DE" w:rsidRP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Lubuskie</w:t>
      </w:r>
      <w:proofErr w:type="spellEnd"/>
      <w:r w:rsidR="007923DE" w:rsidRP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took second place, mainly due to the completion of an </w:t>
      </w:r>
      <w:r w:rsidR="005A7B6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Amazon </w:t>
      </w:r>
      <w:r w:rsidR="007923DE" w:rsidRP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investment</w:t>
      </w:r>
      <w:r w:rsidR="005A7B6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.</w:t>
      </w:r>
      <w:r w:rsidR="007923DE" w:rsidRP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At the end of September, most of the new </w:t>
      </w:r>
      <w:r w:rsidR="000B5C84" w:rsidRPr="000B5C84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warehousing</w:t>
      </w:r>
      <w:r w:rsidR="000B5C84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</w:t>
      </w:r>
      <w:r w:rsidR="007923DE" w:rsidRP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space, totalling over 500,000 sqm,</w:t>
      </w:r>
      <w:r w:rsidR="00916596" w:rsidRPr="00916596">
        <w:t xml:space="preserve"> </w:t>
      </w:r>
      <w:r w:rsidR="00916596" w:rsidRPr="00916596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was being built in the </w:t>
      </w:r>
      <w:proofErr w:type="spellStart"/>
      <w:r w:rsidR="00916596" w:rsidRPr="00916596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Wrocław</w:t>
      </w:r>
      <w:proofErr w:type="spellEnd"/>
      <w:r w:rsidR="00916596" w:rsidRPr="00916596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and </w:t>
      </w:r>
      <w:proofErr w:type="spellStart"/>
      <w:r w:rsidR="00916596" w:rsidRPr="00916596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Poznań</w:t>
      </w:r>
      <w:proofErr w:type="spellEnd"/>
      <w:r w:rsidR="00916596" w:rsidRPr="00916596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 xml:space="preserve"> markets</w:t>
      </w:r>
      <w:r w:rsidR="007923DE" w:rsidRPr="007923DE">
        <w:rPr>
          <w:rFonts w:ascii="Arial" w:eastAsia="+mn-ea" w:hAnsi="Arial" w:cs="Arial"/>
          <w:color w:val="000000"/>
          <w:kern w:val="24"/>
          <w:sz w:val="22"/>
          <w:szCs w:val="22"/>
          <w:lang w:val="en-GB"/>
        </w:rPr>
        <w:t>.</w:t>
      </w:r>
    </w:p>
    <w:p w14:paraId="1731A9A7" w14:textId="77777777" w:rsidR="00375C62" w:rsidRPr="00A55D57" w:rsidRDefault="00375C62" w:rsidP="00375C62">
      <w:pPr>
        <w:ind w:left="-567" w:right="-618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C85B96B" w14:textId="410E8424" w:rsidR="00D34FDE" w:rsidRPr="00A55D57" w:rsidRDefault="00D34FDE" w:rsidP="00D34FDE">
      <w:pPr>
        <w:ind w:left="-567" w:right="-618"/>
        <w:rPr>
          <w:rFonts w:ascii="Arial" w:hAnsi="Arial" w:cs="Arial"/>
          <w:b/>
          <w:bCs/>
          <w:sz w:val="22"/>
          <w:szCs w:val="22"/>
          <w:lang w:val="en-GB"/>
        </w:rPr>
      </w:pPr>
      <w:r w:rsidRPr="00D34FDE">
        <w:rPr>
          <w:rFonts w:ascii="Arial" w:hAnsi="Arial" w:cs="Arial"/>
          <w:sz w:val="22"/>
          <w:szCs w:val="22"/>
          <w:lang w:val="en-GB"/>
        </w:rPr>
        <w:t>"</w:t>
      </w:r>
      <w:r w:rsidR="000B5C84" w:rsidRPr="00A55D57">
        <w:rPr>
          <w:rFonts w:ascii="Arial" w:hAnsi="Arial" w:cs="Arial"/>
          <w:sz w:val="22"/>
          <w:szCs w:val="22"/>
          <w:lang w:val="en-GB"/>
        </w:rPr>
        <w:t xml:space="preserve">The first three quarters </w:t>
      </w:r>
      <w:r w:rsidR="005A7B6E">
        <w:rPr>
          <w:rFonts w:ascii="Arial" w:hAnsi="Arial" w:cs="Arial"/>
          <w:sz w:val="22"/>
          <w:szCs w:val="22"/>
          <w:lang w:val="en-GB"/>
        </w:rPr>
        <w:t>saw</w:t>
      </w:r>
      <w:r w:rsidR="000B5C84" w:rsidRPr="00A55D57">
        <w:rPr>
          <w:rFonts w:ascii="Arial" w:hAnsi="Arial" w:cs="Arial"/>
          <w:sz w:val="22"/>
          <w:szCs w:val="22"/>
          <w:lang w:val="en-GB"/>
        </w:rPr>
        <w:t xml:space="preserve"> record levels of development activity with 3.4 million sqm under construction at the end of September.</w:t>
      </w:r>
      <w:r w:rsidR="00D47078">
        <w:rPr>
          <w:rFonts w:ascii="Arial" w:hAnsi="Arial" w:cs="Arial"/>
          <w:sz w:val="22"/>
          <w:szCs w:val="22"/>
          <w:lang w:val="en-GB"/>
        </w:rPr>
        <w:t xml:space="preserve"> </w:t>
      </w:r>
      <w:r w:rsidR="00D47078" w:rsidRPr="00D47078">
        <w:rPr>
          <w:rFonts w:ascii="Arial" w:hAnsi="Arial" w:cs="Arial"/>
          <w:sz w:val="22"/>
          <w:szCs w:val="22"/>
          <w:lang w:val="en-GB"/>
        </w:rPr>
        <w:t xml:space="preserve">In addition, it is worth noting that the positive sentiment is also reflected in the </w:t>
      </w:r>
      <w:r w:rsidR="003406C3">
        <w:rPr>
          <w:rFonts w:ascii="Arial" w:hAnsi="Arial" w:cs="Arial"/>
          <w:sz w:val="22"/>
          <w:szCs w:val="22"/>
          <w:lang w:val="en-GB"/>
        </w:rPr>
        <w:t>greater</w:t>
      </w:r>
      <w:r w:rsidR="003406C3" w:rsidRPr="00D47078">
        <w:rPr>
          <w:rFonts w:ascii="Arial" w:hAnsi="Arial" w:cs="Arial"/>
          <w:sz w:val="22"/>
          <w:szCs w:val="22"/>
          <w:lang w:val="en-GB"/>
        </w:rPr>
        <w:t xml:space="preserve"> </w:t>
      </w:r>
      <w:r w:rsidR="00D47078" w:rsidRPr="00D47078">
        <w:rPr>
          <w:rFonts w:ascii="Arial" w:hAnsi="Arial" w:cs="Arial"/>
          <w:sz w:val="22"/>
          <w:szCs w:val="22"/>
          <w:lang w:val="en-GB"/>
        </w:rPr>
        <w:t>share of speculatively developed space</w:t>
      </w:r>
      <w:r w:rsidR="00D47078">
        <w:rPr>
          <w:rFonts w:ascii="Arial" w:hAnsi="Arial" w:cs="Arial"/>
          <w:sz w:val="22"/>
          <w:szCs w:val="22"/>
          <w:lang w:val="en-GB"/>
        </w:rPr>
        <w:t xml:space="preserve">. </w:t>
      </w:r>
      <w:r w:rsidR="00D47078" w:rsidRPr="00D47078">
        <w:rPr>
          <w:rFonts w:ascii="Arial" w:hAnsi="Arial" w:cs="Arial"/>
          <w:sz w:val="22"/>
          <w:szCs w:val="22"/>
          <w:lang w:val="en-GB"/>
        </w:rPr>
        <w:t xml:space="preserve">At the end of Q3 it was 43% compared to </w:t>
      </w:r>
      <w:r w:rsidR="005A7B6E">
        <w:rPr>
          <w:rFonts w:ascii="Arial" w:hAnsi="Arial" w:cs="Arial"/>
          <w:sz w:val="22"/>
          <w:szCs w:val="22"/>
          <w:lang w:val="en-GB"/>
        </w:rPr>
        <w:t xml:space="preserve">a </w:t>
      </w:r>
      <w:r w:rsidR="00D47078" w:rsidRPr="00D47078">
        <w:rPr>
          <w:rFonts w:ascii="Arial" w:hAnsi="Arial" w:cs="Arial"/>
          <w:sz w:val="22"/>
          <w:szCs w:val="22"/>
          <w:lang w:val="en-GB"/>
        </w:rPr>
        <w:t xml:space="preserve">30% </w:t>
      </w:r>
      <w:r w:rsidR="005A7B6E">
        <w:rPr>
          <w:rFonts w:ascii="Arial" w:hAnsi="Arial" w:cs="Arial"/>
          <w:sz w:val="22"/>
          <w:szCs w:val="22"/>
          <w:lang w:val="en-GB"/>
        </w:rPr>
        <w:t xml:space="preserve">share </w:t>
      </w:r>
      <w:r w:rsidR="00D47078" w:rsidRPr="00D47078">
        <w:rPr>
          <w:rFonts w:ascii="Arial" w:hAnsi="Arial" w:cs="Arial"/>
          <w:sz w:val="22"/>
          <w:szCs w:val="22"/>
          <w:lang w:val="en-GB"/>
        </w:rPr>
        <w:t>at the end of 2020. That's almost 1.5 million sqm available for lease.</w:t>
      </w:r>
      <w:r w:rsidR="00D47078">
        <w:rPr>
          <w:rFonts w:ascii="Arial" w:hAnsi="Arial" w:cs="Arial"/>
          <w:sz w:val="22"/>
          <w:szCs w:val="22"/>
          <w:lang w:val="en-GB"/>
        </w:rPr>
        <w:t xml:space="preserve"> </w:t>
      </w:r>
      <w:r w:rsidR="005A7B6E">
        <w:rPr>
          <w:rFonts w:ascii="Arial" w:hAnsi="Arial" w:cs="Arial"/>
          <w:sz w:val="22"/>
          <w:szCs w:val="22"/>
          <w:lang w:val="en-GB"/>
        </w:rPr>
        <w:t>Each</w:t>
      </w:r>
      <w:r w:rsidR="00D47078" w:rsidRPr="00D47078">
        <w:rPr>
          <w:rFonts w:ascii="Arial" w:hAnsi="Arial" w:cs="Arial"/>
          <w:sz w:val="22"/>
          <w:szCs w:val="22"/>
          <w:lang w:val="en-GB"/>
        </w:rPr>
        <w:t xml:space="preserve"> of the four largest speculative projects exceed 50,000 sqm</w:t>
      </w:r>
      <w:r w:rsidR="00243B5F">
        <w:rPr>
          <w:rFonts w:ascii="Arial" w:hAnsi="Arial" w:cs="Arial"/>
          <w:sz w:val="22"/>
          <w:szCs w:val="22"/>
          <w:lang w:val="en-GB"/>
        </w:rPr>
        <w:t xml:space="preserve"> </w:t>
      </w:r>
      <w:r w:rsidR="005A7B6E">
        <w:rPr>
          <w:rFonts w:ascii="Arial" w:hAnsi="Arial" w:cs="Arial"/>
          <w:sz w:val="22"/>
          <w:szCs w:val="22"/>
          <w:lang w:val="en-GB"/>
        </w:rPr>
        <w:t>and are</w:t>
      </w:r>
      <w:r w:rsidR="005A7B6E" w:rsidRPr="00D47078">
        <w:rPr>
          <w:rFonts w:ascii="Arial" w:hAnsi="Arial" w:cs="Arial"/>
          <w:sz w:val="22"/>
          <w:szCs w:val="22"/>
          <w:lang w:val="en-GB"/>
        </w:rPr>
        <w:t xml:space="preserve"> </w:t>
      </w:r>
      <w:r w:rsidR="00D47078" w:rsidRPr="00D47078">
        <w:rPr>
          <w:rFonts w:ascii="Arial" w:hAnsi="Arial" w:cs="Arial"/>
          <w:sz w:val="22"/>
          <w:szCs w:val="22"/>
          <w:lang w:val="en-GB"/>
        </w:rPr>
        <w:t>very likely to attract e-commerce players</w:t>
      </w:r>
      <w:r>
        <w:rPr>
          <w:rFonts w:ascii="Arial" w:hAnsi="Arial" w:cs="Arial"/>
          <w:sz w:val="22"/>
          <w:szCs w:val="22"/>
          <w:lang w:val="en-GB"/>
        </w:rPr>
        <w:t xml:space="preserve">”, says </w:t>
      </w:r>
      <w:r w:rsidRPr="00A55D57">
        <w:rPr>
          <w:rFonts w:ascii="Arial" w:hAnsi="Arial" w:cs="Arial"/>
          <w:b/>
          <w:bCs/>
          <w:sz w:val="22"/>
          <w:szCs w:val="22"/>
          <w:lang w:val="en-GB"/>
        </w:rPr>
        <w:t xml:space="preserve">Maciej </w:t>
      </w:r>
      <w:proofErr w:type="spellStart"/>
      <w:r w:rsidRPr="00A55D57">
        <w:rPr>
          <w:rFonts w:ascii="Arial" w:hAnsi="Arial" w:cs="Arial"/>
          <w:b/>
          <w:bCs/>
          <w:sz w:val="22"/>
          <w:szCs w:val="22"/>
          <w:lang w:val="en-GB"/>
        </w:rPr>
        <w:t>Kotowski</w:t>
      </w:r>
      <w:proofErr w:type="spellEnd"/>
      <w:r w:rsidRPr="00A55D57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6746262F" w14:textId="1CF822A3" w:rsidR="00375C62" w:rsidRPr="00A55D57" w:rsidRDefault="00375C62" w:rsidP="00375C62">
      <w:pPr>
        <w:ind w:left="-567" w:right="-618"/>
        <w:rPr>
          <w:rFonts w:ascii="Arial" w:hAnsi="Arial" w:cs="Arial"/>
          <w:sz w:val="22"/>
          <w:szCs w:val="22"/>
          <w:lang w:val="en-GB"/>
        </w:rPr>
      </w:pPr>
    </w:p>
    <w:p w14:paraId="58D7AB55" w14:textId="64F030D1" w:rsidR="00E97A50" w:rsidRPr="00A55D57" w:rsidRDefault="00E97A50" w:rsidP="00375C62">
      <w:pPr>
        <w:ind w:left="-567" w:right="-618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A55D57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Rents up </w:t>
      </w:r>
      <w:r w:rsidR="005A7B6E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while</w:t>
      </w:r>
      <w:r w:rsidRPr="00A55D57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vacancy rates down again</w:t>
      </w:r>
    </w:p>
    <w:p w14:paraId="245733A6" w14:textId="77777777" w:rsidR="00375C62" w:rsidRPr="00A55D57" w:rsidRDefault="00375C62" w:rsidP="00375C62">
      <w:pPr>
        <w:ind w:left="-567" w:right="-618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67538B9B" w14:textId="70A57172" w:rsidR="0049097F" w:rsidRPr="00A55D57" w:rsidRDefault="0049097F" w:rsidP="00375C62">
      <w:pPr>
        <w:ind w:left="-567" w:right="-618"/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</w:pPr>
      <w:r w:rsidRPr="00A55D57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  <w:t xml:space="preserve">New projects </w:t>
      </w:r>
      <w:r w:rsidR="00243B5F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  <w:t>drove</w:t>
      </w:r>
      <w:r w:rsidR="005A7B6E" w:rsidRPr="00A55D57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  <w:t xml:space="preserve"> </w:t>
      </w:r>
      <w:r w:rsidRPr="00A55D57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  <w:t>up rates. Urban locations remain the most expensive</w:t>
      </w:r>
      <w:r w:rsidR="005A7B6E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  <w:t xml:space="preserve"> destinations</w:t>
      </w:r>
      <w:r w:rsidRPr="00A55D57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  <w:t>, with base rents in Warsaw ranging between 4.2 and 5.50 euro/sqm/month.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  <w:t xml:space="preserve"> </w:t>
      </w:r>
      <w:r w:rsidRPr="0049097F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  <w:t xml:space="preserve">The most attractive financial conditions </w:t>
      </w:r>
      <w:r w:rsidR="00243B5F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  <w:t xml:space="preserve">were </w:t>
      </w:r>
      <w:r w:rsidRPr="0049097F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GB" w:eastAsia="pl-PL"/>
        </w:rPr>
        <w:t>offered by big-box facilities in Central Poland (2.6 to 3.60 euro/sqm/month).</w:t>
      </w:r>
    </w:p>
    <w:p w14:paraId="054AB398" w14:textId="77777777" w:rsidR="00375C62" w:rsidRPr="00A55D57" w:rsidRDefault="00375C62" w:rsidP="00375C62">
      <w:pPr>
        <w:ind w:left="-567" w:right="-618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012DDAC1" w14:textId="0EB2C911" w:rsidR="0049097F" w:rsidRPr="00A55D57" w:rsidRDefault="0049097F" w:rsidP="00375C62">
      <w:pPr>
        <w:ind w:left="-567" w:right="-6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>“</w:t>
      </w:r>
      <w:r w:rsidRPr="00A55D57">
        <w:rPr>
          <w:rFonts w:ascii="Arial" w:hAnsi="Arial" w:cs="Arial"/>
          <w:sz w:val="22"/>
          <w:szCs w:val="22"/>
          <w:lang w:val="en-GB"/>
        </w:rPr>
        <w:t xml:space="preserve">Currently, only 6.2% of existing industrial space in Poland remains vacant. Strong demand and a slightly smaller share of speculatively built space in 2020 led to another reduction in the vacancy rate. </w:t>
      </w:r>
      <w:r w:rsidR="00DD23D8">
        <w:rPr>
          <w:rFonts w:ascii="Arial" w:hAnsi="Arial" w:cs="Arial"/>
          <w:sz w:val="22"/>
          <w:szCs w:val="22"/>
          <w:lang w:val="en-GB"/>
        </w:rPr>
        <w:t>Total</w:t>
      </w:r>
      <w:r w:rsidRPr="00A55D57">
        <w:rPr>
          <w:rFonts w:ascii="Arial" w:hAnsi="Arial" w:cs="Arial"/>
          <w:sz w:val="22"/>
          <w:szCs w:val="22"/>
          <w:lang w:val="en-GB"/>
        </w:rPr>
        <w:t xml:space="preserve"> vacant space </w:t>
      </w:r>
      <w:r w:rsidR="00DD23D8">
        <w:rPr>
          <w:rFonts w:ascii="Arial" w:hAnsi="Arial" w:cs="Arial"/>
          <w:sz w:val="22"/>
          <w:szCs w:val="22"/>
          <w:lang w:val="en-GB"/>
        </w:rPr>
        <w:t xml:space="preserve">along </w:t>
      </w:r>
      <w:r w:rsidRPr="00A55D57">
        <w:rPr>
          <w:rFonts w:ascii="Arial" w:hAnsi="Arial" w:cs="Arial"/>
          <w:sz w:val="22"/>
          <w:szCs w:val="22"/>
          <w:lang w:val="en-GB"/>
        </w:rPr>
        <w:t xml:space="preserve">with speculative developments under construction, </w:t>
      </w:r>
      <w:r w:rsidR="00DD23D8">
        <w:rPr>
          <w:rFonts w:ascii="Arial" w:hAnsi="Arial" w:cs="Arial"/>
          <w:sz w:val="22"/>
          <w:szCs w:val="22"/>
          <w:lang w:val="en-GB"/>
        </w:rPr>
        <w:t>meant</w:t>
      </w:r>
      <w:r w:rsidRPr="00A55D57">
        <w:rPr>
          <w:rFonts w:ascii="Arial" w:hAnsi="Arial" w:cs="Arial"/>
          <w:sz w:val="22"/>
          <w:szCs w:val="22"/>
          <w:lang w:val="en-GB"/>
        </w:rPr>
        <w:t xml:space="preserve"> 2.9 million sqm of</w:t>
      </w:r>
      <w:r w:rsidR="00DD23D8">
        <w:rPr>
          <w:rFonts w:ascii="Arial" w:hAnsi="Arial" w:cs="Arial"/>
          <w:sz w:val="22"/>
          <w:szCs w:val="22"/>
          <w:lang w:val="en-GB"/>
        </w:rPr>
        <w:t xml:space="preserve"> </w:t>
      </w:r>
      <w:r w:rsidRPr="00A55D57">
        <w:rPr>
          <w:rFonts w:ascii="Arial" w:hAnsi="Arial" w:cs="Arial"/>
          <w:sz w:val="22"/>
          <w:szCs w:val="22"/>
          <w:lang w:val="en-GB"/>
        </w:rPr>
        <w:t xml:space="preserve">stock </w:t>
      </w:r>
      <w:r w:rsidR="00DD23D8">
        <w:rPr>
          <w:rFonts w:ascii="Arial" w:hAnsi="Arial" w:cs="Arial"/>
          <w:sz w:val="22"/>
          <w:szCs w:val="22"/>
          <w:lang w:val="en-GB"/>
        </w:rPr>
        <w:t xml:space="preserve">was available </w:t>
      </w:r>
      <w:r w:rsidRPr="00A55D57">
        <w:rPr>
          <w:rFonts w:ascii="Arial" w:hAnsi="Arial" w:cs="Arial"/>
          <w:sz w:val="22"/>
          <w:szCs w:val="22"/>
          <w:lang w:val="en-GB"/>
        </w:rPr>
        <w:t>at the end of September.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49097F">
        <w:rPr>
          <w:rFonts w:ascii="Arial" w:hAnsi="Arial" w:cs="Arial"/>
          <w:sz w:val="22"/>
          <w:szCs w:val="22"/>
          <w:lang w:val="en-GB"/>
        </w:rPr>
        <w:t xml:space="preserve">However, it is worth noting that there are few large spaces available on the market, </w:t>
      </w:r>
      <w:r w:rsidR="00DD23D8">
        <w:rPr>
          <w:rFonts w:ascii="Arial" w:hAnsi="Arial" w:cs="Arial"/>
          <w:sz w:val="22"/>
          <w:szCs w:val="22"/>
          <w:lang w:val="en-GB"/>
        </w:rPr>
        <w:t>even though</w:t>
      </w:r>
      <w:r w:rsidR="00DD23D8" w:rsidRPr="0049097F">
        <w:rPr>
          <w:rFonts w:ascii="Arial" w:hAnsi="Arial" w:cs="Arial"/>
          <w:sz w:val="22"/>
          <w:szCs w:val="22"/>
          <w:lang w:val="en-GB"/>
        </w:rPr>
        <w:t xml:space="preserve"> </w:t>
      </w:r>
      <w:r w:rsidR="00DD23D8">
        <w:rPr>
          <w:rFonts w:ascii="Arial" w:hAnsi="Arial" w:cs="Arial"/>
          <w:sz w:val="22"/>
          <w:szCs w:val="22"/>
          <w:lang w:val="en-GB"/>
        </w:rPr>
        <w:t>this</w:t>
      </w:r>
      <w:r w:rsidR="00DD23D8" w:rsidRPr="0049097F">
        <w:rPr>
          <w:rFonts w:ascii="Arial" w:hAnsi="Arial" w:cs="Arial"/>
          <w:sz w:val="22"/>
          <w:szCs w:val="22"/>
          <w:lang w:val="en-GB"/>
        </w:rPr>
        <w:t xml:space="preserve"> </w:t>
      </w:r>
      <w:r w:rsidR="00DD23D8">
        <w:rPr>
          <w:rFonts w:ascii="Arial" w:hAnsi="Arial" w:cs="Arial"/>
          <w:sz w:val="22"/>
          <w:szCs w:val="22"/>
          <w:lang w:val="en-GB"/>
        </w:rPr>
        <w:t>format</w:t>
      </w:r>
      <w:r w:rsidRPr="0049097F">
        <w:rPr>
          <w:rFonts w:ascii="Arial" w:hAnsi="Arial" w:cs="Arial"/>
          <w:sz w:val="22"/>
          <w:szCs w:val="22"/>
          <w:lang w:val="en-GB"/>
        </w:rPr>
        <w:t xml:space="preserve"> </w:t>
      </w:r>
      <w:r w:rsidR="00DD23D8">
        <w:rPr>
          <w:rFonts w:ascii="Arial" w:hAnsi="Arial" w:cs="Arial"/>
          <w:sz w:val="22"/>
          <w:szCs w:val="22"/>
          <w:lang w:val="en-GB"/>
        </w:rPr>
        <w:t xml:space="preserve">is </w:t>
      </w:r>
      <w:r w:rsidRPr="0049097F">
        <w:rPr>
          <w:rFonts w:ascii="Arial" w:hAnsi="Arial" w:cs="Arial"/>
          <w:sz w:val="22"/>
          <w:szCs w:val="22"/>
          <w:lang w:val="en-GB"/>
        </w:rPr>
        <w:t>most in demand</w:t>
      </w:r>
      <w:r w:rsidR="00906E10">
        <w:rPr>
          <w:rFonts w:ascii="Arial" w:hAnsi="Arial" w:cs="Arial"/>
          <w:sz w:val="22"/>
          <w:szCs w:val="22"/>
          <w:lang w:val="en-GB"/>
        </w:rPr>
        <w:t xml:space="preserve">”, explains </w:t>
      </w:r>
      <w:r w:rsidR="00906E10" w:rsidRPr="00A55D57">
        <w:rPr>
          <w:rFonts w:ascii="Arial" w:hAnsi="Arial" w:cs="Arial"/>
          <w:b/>
          <w:bCs/>
          <w:sz w:val="22"/>
          <w:szCs w:val="22"/>
          <w:lang w:val="en-GB"/>
        </w:rPr>
        <w:t>Tomasz Mika.</w:t>
      </w:r>
    </w:p>
    <w:p w14:paraId="3702EDD8" w14:textId="7BD83F54" w:rsidR="00D979DE" w:rsidRPr="00A55D57" w:rsidRDefault="00D979DE" w:rsidP="00375C62">
      <w:pPr>
        <w:spacing w:before="120"/>
        <w:ind w:left="-567" w:right="-618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A55D57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Record prices and the second</w:t>
      </w:r>
      <w:r w:rsidR="009530D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-</w:t>
      </w:r>
      <w:r w:rsidRPr="00A55D57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best performance in </w:t>
      </w:r>
      <w:r w:rsidR="00DD23D8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Poland’s</w:t>
      </w:r>
      <w:r w:rsidRPr="00A55D57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investment market</w:t>
      </w:r>
      <w:r w:rsidR="00DD23D8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history</w:t>
      </w:r>
    </w:p>
    <w:p w14:paraId="575EE0EC" w14:textId="5B742A08" w:rsidR="009530DB" w:rsidRDefault="00D979DE" w:rsidP="009530DB">
      <w:pPr>
        <w:spacing w:before="120"/>
        <w:ind w:left="-567" w:right="-618"/>
        <w:rPr>
          <w:rFonts w:ascii="Arial" w:hAnsi="Arial"/>
          <w:b/>
          <w:sz w:val="22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“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Portfolio transactions continue to dominate the industrial </w:t>
      </w:r>
      <w:r w:rsidR="0043111A">
        <w:rPr>
          <w:rFonts w:ascii="Arial" w:eastAsia="Times New Roman" w:hAnsi="Arial" w:cs="Arial"/>
          <w:sz w:val="22"/>
          <w:szCs w:val="22"/>
          <w:lang w:val="en-GB" w:eastAsia="en-GB"/>
        </w:rPr>
        <w:t>investment market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. Since the beginning of the year, </w:t>
      </w:r>
      <w:r w:rsidR="0043111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assets 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with a total value of over 1.6 billion </w:t>
      </w:r>
      <w:r w:rsidR="0034079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euro 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have changed hands. Huge investor interest combined with a shortage of prime product has resulted in prices rising to record levels. Moreover, the strong competition in the sector is expected to continue into next year, as </w:t>
      </w:r>
      <w:r w:rsidR="006927B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illustrated 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>by the aggressive bidding for ongoing projects</w:t>
      </w:r>
      <w:r w:rsidR="009530DB">
        <w:rPr>
          <w:rFonts w:ascii="Arial" w:eastAsia="Times New Roman" w:hAnsi="Arial" w:cs="Arial"/>
          <w:sz w:val="22"/>
          <w:szCs w:val="22"/>
          <w:lang w:val="en-GB" w:eastAsia="en-GB"/>
        </w:rPr>
        <w:t>”,</w:t>
      </w:r>
      <w:r w:rsidR="0094288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="009530D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comments </w:t>
      </w:r>
      <w:r w:rsidR="009530DB">
        <w:rPr>
          <w:rFonts w:ascii="Arial" w:hAnsi="Arial"/>
          <w:b/>
          <w:sz w:val="22"/>
        </w:rPr>
        <w:t xml:space="preserve">Sławomir </w:t>
      </w:r>
      <w:proofErr w:type="spellStart"/>
      <w:r w:rsidR="009530DB">
        <w:rPr>
          <w:rFonts w:ascii="Arial" w:hAnsi="Arial"/>
          <w:b/>
          <w:sz w:val="22"/>
        </w:rPr>
        <w:t>Jędrzejewski</w:t>
      </w:r>
      <w:proofErr w:type="spellEnd"/>
      <w:r w:rsidR="009530DB">
        <w:rPr>
          <w:rFonts w:ascii="Arial" w:hAnsi="Arial"/>
          <w:b/>
          <w:sz w:val="22"/>
        </w:rPr>
        <w:t xml:space="preserve">, Head of Industrial </w:t>
      </w:r>
      <w:r w:rsidR="009530DB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Investment</w:t>
      </w:r>
      <w:r w:rsidR="009530DB">
        <w:rPr>
          <w:rFonts w:ascii="Arial" w:hAnsi="Arial"/>
          <w:b/>
          <w:sz w:val="22"/>
        </w:rPr>
        <w:t xml:space="preserve">, JLL.  </w:t>
      </w:r>
    </w:p>
    <w:p w14:paraId="4449FF67" w14:textId="191512E7" w:rsidR="009530DB" w:rsidRPr="00A55D57" w:rsidRDefault="009530DB" w:rsidP="00375C62">
      <w:pPr>
        <w:spacing w:before="120"/>
        <w:ind w:left="-567" w:right="-618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The largest transaction in the first three months of the year was the acquisition of four </w:t>
      </w:r>
      <w:r w:rsidR="00864213">
        <w:rPr>
          <w:rFonts w:ascii="Arial" w:eastAsia="Times New Roman" w:hAnsi="Arial" w:cs="Arial"/>
          <w:sz w:val="22"/>
          <w:szCs w:val="22"/>
          <w:lang w:val="en-GB" w:eastAsia="en-GB"/>
        </w:rPr>
        <w:t>schemes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from Panattoni by Ares Group. Q3</w:t>
      </w:r>
      <w:r w:rsidR="006927B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’s </w:t>
      </w:r>
      <w:r w:rsidR="006927BA" w:rsidRPr="00A55D57">
        <w:rPr>
          <w:rFonts w:ascii="Arial" w:eastAsia="Times New Roman" w:hAnsi="Arial" w:cs="Arial"/>
          <w:sz w:val="22"/>
          <w:szCs w:val="22"/>
          <w:lang w:val="en-GB" w:eastAsia="en-GB"/>
        </w:rPr>
        <w:t>landmark transaction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was the acquisition of A2 Warsaw Park by Savills Investment Management from Invesco Real Estate. </w:t>
      </w:r>
      <w:r w:rsidR="00456EFC" w:rsidRPr="00456EFC">
        <w:rPr>
          <w:rFonts w:ascii="Arial" w:eastAsia="Times New Roman" w:hAnsi="Arial" w:cs="Arial"/>
          <w:sz w:val="22"/>
          <w:szCs w:val="22"/>
          <w:lang w:val="en-GB" w:eastAsia="en-GB"/>
        </w:rPr>
        <w:t xml:space="preserve">The transaction’s value of </w:t>
      </w:r>
      <w:r w:rsidR="00FD1DD0">
        <w:rPr>
          <w:rFonts w:ascii="Arial" w:eastAsia="Times New Roman" w:hAnsi="Arial" w:cs="Arial"/>
          <w:sz w:val="22"/>
          <w:szCs w:val="22"/>
          <w:lang w:val="en-GB" w:eastAsia="en-GB"/>
        </w:rPr>
        <w:t xml:space="preserve">approximately </w:t>
      </w:r>
      <w:r w:rsidR="00456EFC" w:rsidRPr="00456EFC">
        <w:rPr>
          <w:rFonts w:ascii="Arial" w:eastAsia="Times New Roman" w:hAnsi="Arial" w:cs="Arial"/>
          <w:sz w:val="22"/>
          <w:szCs w:val="22"/>
          <w:lang w:val="en-GB" w:eastAsia="en-GB"/>
        </w:rPr>
        <w:t>112.5</w:t>
      </w:r>
      <w:r w:rsidR="00FD1DD0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="00456EFC" w:rsidRPr="00456EFC">
        <w:rPr>
          <w:rFonts w:ascii="Arial" w:eastAsia="Times New Roman" w:hAnsi="Arial" w:cs="Arial"/>
          <w:sz w:val="22"/>
          <w:szCs w:val="22"/>
          <w:lang w:val="en-GB" w:eastAsia="en-GB"/>
        </w:rPr>
        <w:t>million</w:t>
      </w:r>
      <w:r w:rsidR="0034079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euro</w:t>
      </w:r>
      <w:r w:rsidR="00456EFC" w:rsidRPr="00456EFC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translated into an unprecedented cap rate for a multi</w:t>
      </w:r>
      <w:r w:rsidR="00770A02">
        <w:rPr>
          <w:rFonts w:ascii="Arial" w:eastAsia="Times New Roman" w:hAnsi="Arial" w:cs="Arial"/>
          <w:sz w:val="22"/>
          <w:szCs w:val="22"/>
          <w:lang w:val="en-GB" w:eastAsia="en-GB"/>
        </w:rPr>
        <w:t>-</w:t>
      </w:r>
      <w:r w:rsidR="00456EFC" w:rsidRPr="00456EFC">
        <w:rPr>
          <w:rFonts w:ascii="Arial" w:eastAsia="Times New Roman" w:hAnsi="Arial" w:cs="Arial"/>
          <w:sz w:val="22"/>
          <w:szCs w:val="22"/>
          <w:lang w:val="en-GB" w:eastAsia="en-GB"/>
        </w:rPr>
        <w:t>tenant warehouse.</w:t>
      </w:r>
      <w:r w:rsidR="00456EFC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</w:p>
    <w:p w14:paraId="1361D872" w14:textId="273D6E20" w:rsidR="00456EFC" w:rsidRPr="00A55D57" w:rsidRDefault="00456EFC" w:rsidP="00456EFC">
      <w:pPr>
        <w:spacing w:before="120"/>
        <w:ind w:left="-567" w:right="-618"/>
        <w:rPr>
          <w:rFonts w:ascii="Arial" w:eastAsia="Times New Roman" w:hAnsi="Arial" w:cs="Arial"/>
          <w:sz w:val="22"/>
          <w:szCs w:val="22"/>
          <w:lang w:val="en-GB" w:eastAsia="en-GB"/>
        </w:rPr>
      </w:pPr>
      <w:bookmarkStart w:id="0" w:name="_Hlk89426112"/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>At the end of Q3 2021, prime warehouse yields for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>multi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-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tenant schemes with </w:t>
      </w:r>
      <w:r w:rsidR="007429FA">
        <w:rPr>
          <w:rFonts w:ascii="Arial" w:eastAsia="Times New Roman" w:hAnsi="Arial" w:cs="Arial"/>
          <w:sz w:val="22"/>
          <w:szCs w:val="22"/>
          <w:lang w:eastAsia="en-GB"/>
        </w:rPr>
        <w:t xml:space="preserve">an average </w:t>
      </w:r>
      <w:r w:rsidR="006927BA">
        <w:rPr>
          <w:rFonts w:ascii="Arial" w:eastAsia="Times New Roman" w:hAnsi="Arial" w:cs="Arial"/>
          <w:sz w:val="22"/>
          <w:szCs w:val="22"/>
          <w:lang w:eastAsia="en-GB"/>
        </w:rPr>
        <w:t>of five</w:t>
      </w:r>
      <w:r w:rsidR="007429FA">
        <w:rPr>
          <w:rFonts w:ascii="Arial" w:eastAsia="Times New Roman" w:hAnsi="Arial" w:cs="Arial"/>
          <w:sz w:val="22"/>
          <w:szCs w:val="22"/>
          <w:lang w:eastAsia="en-GB"/>
        </w:rPr>
        <w:t xml:space="preserve">-year lease 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agreements, 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were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estimated at around 5.25%</w:t>
      </w:r>
      <w:r w:rsidR="00FD1DD0">
        <w:rPr>
          <w:rFonts w:ascii="Arial" w:eastAsia="Times New Roman" w:hAnsi="Arial" w:cs="Arial"/>
          <w:sz w:val="22"/>
          <w:szCs w:val="22"/>
          <w:lang w:val="en-GB" w:eastAsia="en-GB"/>
        </w:rPr>
        <w:t xml:space="preserve">. </w:t>
      </w:r>
      <w:bookmarkEnd w:id="0"/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Warsaw projects </w:t>
      </w:r>
      <w:r w:rsidR="00243B5F">
        <w:rPr>
          <w:rFonts w:ascii="Arial" w:eastAsia="Times New Roman" w:hAnsi="Arial" w:cs="Arial"/>
          <w:sz w:val="22"/>
          <w:szCs w:val="22"/>
          <w:lang w:val="en-GB" w:eastAsia="en-GB"/>
        </w:rPr>
        <w:t>stood</w:t>
      </w:r>
      <w:r w:rsidR="00243B5F"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at approx. 4.50%. </w:t>
      </w:r>
      <w:r w:rsidR="007429FA" w:rsidRPr="00A55D57">
        <w:rPr>
          <w:rFonts w:ascii="Arial" w:eastAsia="Times New Roman" w:hAnsi="Arial" w:cs="Arial"/>
          <w:sz w:val="22"/>
          <w:szCs w:val="22"/>
          <w:lang w:val="en-GB" w:eastAsia="en-GB"/>
        </w:rPr>
        <w:t>Facilities with long leases (10 years) achieve</w:t>
      </w:r>
      <w:r w:rsidR="005B41F0">
        <w:rPr>
          <w:rFonts w:ascii="Arial" w:eastAsia="Times New Roman" w:hAnsi="Arial" w:cs="Arial"/>
          <w:sz w:val="22"/>
          <w:szCs w:val="22"/>
          <w:lang w:val="en-GB" w:eastAsia="en-GB"/>
        </w:rPr>
        <w:t>d</w:t>
      </w:r>
      <w:r w:rsidR="007429FA"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rates below 4.50% and exceptional projects leased for more than 15 years </w:t>
      </w:r>
      <w:r w:rsidR="006927BA">
        <w:rPr>
          <w:rFonts w:ascii="Arial" w:eastAsia="Times New Roman" w:hAnsi="Arial" w:cs="Arial"/>
          <w:sz w:val="22"/>
          <w:szCs w:val="22"/>
          <w:lang w:val="en-GB" w:eastAsia="en-GB"/>
        </w:rPr>
        <w:t>may</w:t>
      </w:r>
      <w:r w:rsidR="00770A02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even be</w:t>
      </w:r>
      <w:r w:rsidR="007429FA"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4</w:t>
      </w:r>
      <w:r w:rsidR="00B61E7B">
        <w:rPr>
          <w:rFonts w:ascii="Arial" w:eastAsia="Times New Roman" w:hAnsi="Arial" w:cs="Arial"/>
          <w:sz w:val="22"/>
          <w:szCs w:val="22"/>
          <w:lang w:val="en-GB" w:eastAsia="en-GB"/>
        </w:rPr>
        <w:t>.00</w:t>
      </w:r>
      <w:r w:rsidR="007429FA" w:rsidRPr="00A55D57">
        <w:rPr>
          <w:rFonts w:ascii="Arial" w:eastAsia="Times New Roman" w:hAnsi="Arial" w:cs="Arial"/>
          <w:sz w:val="22"/>
          <w:szCs w:val="22"/>
          <w:lang w:val="en-GB" w:eastAsia="en-GB"/>
        </w:rPr>
        <w:t xml:space="preserve">% with further </w:t>
      </w:r>
      <w:r w:rsidR="006927B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prospects of </w:t>
      </w:r>
      <w:r w:rsidR="007429FA" w:rsidRPr="00A55D57">
        <w:rPr>
          <w:rFonts w:ascii="Arial" w:eastAsia="Times New Roman" w:hAnsi="Arial" w:cs="Arial"/>
          <w:sz w:val="22"/>
          <w:szCs w:val="22"/>
          <w:lang w:val="en-GB" w:eastAsia="en-GB"/>
        </w:rPr>
        <w:t>compression</w:t>
      </w:r>
      <w:r w:rsidR="006927BA">
        <w:rPr>
          <w:rFonts w:ascii="Arial" w:eastAsia="Times New Roman" w:hAnsi="Arial" w:cs="Arial"/>
          <w:sz w:val="22"/>
          <w:szCs w:val="22"/>
          <w:lang w:val="en-GB" w:eastAsia="en-GB"/>
        </w:rPr>
        <w:t>.</w:t>
      </w:r>
    </w:p>
    <w:p w14:paraId="62201D9E" w14:textId="77777777" w:rsidR="00375C62" w:rsidRPr="00A55D57" w:rsidRDefault="00375C62" w:rsidP="00F50B9C">
      <w:pPr>
        <w:ind w:left="-567" w:right="-618"/>
        <w:rPr>
          <w:rFonts w:ascii="Arial" w:hAnsi="Arial" w:cs="Arial"/>
          <w:sz w:val="22"/>
          <w:szCs w:val="22"/>
          <w:lang w:val="en-GB"/>
        </w:rPr>
      </w:pPr>
    </w:p>
    <w:p w14:paraId="1F07F38B" w14:textId="3F204968" w:rsidR="00F50B9C" w:rsidRPr="00EE3C56" w:rsidRDefault="00F50B9C" w:rsidP="00F50B9C">
      <w:pPr>
        <w:ind w:left="-567" w:right="-618"/>
        <w:rPr>
          <w:rFonts w:ascii="Arial" w:hAnsi="Arial" w:cs="Arial"/>
          <w:sz w:val="22"/>
          <w:szCs w:val="22"/>
        </w:rPr>
      </w:pPr>
      <w:r w:rsidRPr="00EE3C56">
        <w:rPr>
          <w:rFonts w:ascii="Arial" w:hAnsi="Arial" w:cs="Arial"/>
          <w:sz w:val="22"/>
          <w:szCs w:val="22"/>
        </w:rPr>
        <w:t xml:space="preserve">More reports and analyses of the office market can be found on </w:t>
      </w:r>
      <w:hyperlink r:id="rId11" w:history="1">
        <w:r w:rsidR="00FD1DD0" w:rsidRPr="00340797">
          <w:rPr>
            <w:rStyle w:val="Hipercze"/>
            <w:rFonts w:ascii="Arial" w:hAnsi="Arial" w:cs="Arial"/>
            <w:sz w:val="22"/>
            <w:szCs w:val="22"/>
          </w:rPr>
          <w:t>www.warehousefinder.pl</w:t>
        </w:r>
      </w:hyperlink>
      <w:r w:rsidRPr="00EE3C56">
        <w:rPr>
          <w:rFonts w:ascii="Arial" w:hAnsi="Arial" w:cs="Arial"/>
          <w:sz w:val="22"/>
          <w:szCs w:val="22"/>
        </w:rPr>
        <w:t>.</w:t>
      </w:r>
    </w:p>
    <w:p w14:paraId="1F664479" w14:textId="77777777" w:rsidR="00DE538D" w:rsidRPr="00DB20E3" w:rsidRDefault="00DE538D" w:rsidP="00DE538D">
      <w:pPr>
        <w:pStyle w:val="Akapitzlist"/>
        <w:ind w:left="-567" w:right="-618"/>
        <w:jc w:val="center"/>
        <w:rPr>
          <w:rFonts w:ascii="Arial" w:hAnsi="Arial" w:cs="Arial"/>
          <w:sz w:val="22"/>
          <w:szCs w:val="22"/>
        </w:rPr>
      </w:pPr>
    </w:p>
    <w:p w14:paraId="62B5C3A3" w14:textId="1A2E08DB" w:rsidR="00DE538D" w:rsidRPr="004C6EDE" w:rsidRDefault="00DE538D" w:rsidP="00DE538D">
      <w:pPr>
        <w:pStyle w:val="Akapitzlist"/>
        <w:ind w:left="-567" w:right="-618"/>
        <w:jc w:val="center"/>
        <w:rPr>
          <w:rFonts w:ascii="Arial" w:hAnsi="Arial" w:cs="Arial"/>
          <w:sz w:val="22"/>
          <w:szCs w:val="22"/>
          <w:lang w:val="en-GB"/>
        </w:rPr>
      </w:pPr>
      <w:r w:rsidRPr="00D44028">
        <w:rPr>
          <w:rFonts w:ascii="Arial" w:hAnsi="Arial" w:cs="Arial"/>
          <w:sz w:val="22"/>
          <w:szCs w:val="22"/>
          <w:lang w:val="en-GB"/>
        </w:rPr>
        <w:t>– ends –</w:t>
      </w:r>
    </w:p>
    <w:p w14:paraId="5A10DBF7" w14:textId="77777777" w:rsidR="00375C62" w:rsidRDefault="00375C62" w:rsidP="00375C62">
      <w:pPr>
        <w:pStyle w:val="Akapitzlist"/>
        <w:ind w:left="-567" w:right="-618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  <w:bookmarkStart w:id="1" w:name="_Hlk89333658"/>
      <w:r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  <w:t>About JLL</w:t>
      </w:r>
    </w:p>
    <w:p w14:paraId="53D36F6A" w14:textId="77777777" w:rsidR="00375C62" w:rsidRDefault="00375C62" w:rsidP="00375C62">
      <w:pPr>
        <w:pStyle w:val="Akapitzlist"/>
        <w:ind w:left="-567" w:right="-618"/>
        <w:rPr>
          <w:rFonts w:ascii="Arial" w:eastAsia="Arial" w:hAnsi="Arial" w:cs="Arial"/>
          <w:kern w:val="16"/>
          <w:sz w:val="22"/>
          <w:szCs w:val="22"/>
          <w:lang w:val="en-GB" w:eastAsia="en-US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JLL (NYSE: JLL) is a leading professional services firm that specializes in real estate and investment management. JLL shapes the future of real estate for a better world by using the most advanced technology to create rewarding opportunities, amazing spaces and sustainable real estate solutions for our customers, our people and our communities. JLL is a Fortune 500 company with annual revenue of $16.6 billion in 2020, operations in over 80 countries and a global workforce more than 95,000 as of September 30, 2021. JLL is the brand name, and a registered trademark, of Jones Lang LaSalle Incorporated. For further information, visit </w:t>
      </w:r>
      <w:hyperlink r:id="rId12" w:history="1">
        <w:r>
          <w:rPr>
            <w:rStyle w:val="Hipercze"/>
            <w:rFonts w:ascii="Arial" w:eastAsia="Arial" w:hAnsi="Arial" w:cs="Arial"/>
            <w:kern w:val="16"/>
            <w:sz w:val="22"/>
            <w:szCs w:val="22"/>
            <w:lang w:val="en-GB" w:eastAsia="en-US"/>
          </w:rPr>
          <w:t>www.jll.pl</w:t>
        </w:r>
      </w:hyperlink>
      <w:r>
        <w:rPr>
          <w:rFonts w:ascii="Arial" w:eastAsia="Arial" w:hAnsi="Arial" w:cs="Arial"/>
          <w:kern w:val="16"/>
          <w:sz w:val="22"/>
          <w:szCs w:val="22"/>
          <w:lang w:val="en-GB" w:eastAsia="en-US"/>
        </w:rPr>
        <w:t>.</w:t>
      </w:r>
    </w:p>
    <w:p w14:paraId="716629CB" w14:textId="77777777" w:rsidR="00375C62" w:rsidRDefault="00375C62" w:rsidP="00375C62">
      <w:pPr>
        <w:pStyle w:val="Akapitzlist"/>
        <w:ind w:left="-567" w:right="-618"/>
        <w:rPr>
          <w:rFonts w:ascii="Arial" w:hAnsi="Arial" w:cs="Arial"/>
          <w:b/>
          <w:bCs/>
          <w:sz w:val="22"/>
          <w:lang w:val="en-GB"/>
        </w:rPr>
      </w:pPr>
    </w:p>
    <w:p w14:paraId="775E4D59" w14:textId="77777777" w:rsidR="00375C62" w:rsidRDefault="00375C62" w:rsidP="00375C62">
      <w:pPr>
        <w:pStyle w:val="Akapitzlist"/>
        <w:ind w:left="-567" w:right="-6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Contact:</w:t>
      </w:r>
      <w:r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Anna Podolak</w:t>
      </w:r>
    </w:p>
    <w:p w14:paraId="77CA523B" w14:textId="77777777" w:rsidR="00375C62" w:rsidRDefault="00375C62" w:rsidP="00375C62">
      <w:pPr>
        <w:pStyle w:val="Akapitzlist"/>
        <w:ind w:left="-567" w:right="-618"/>
        <w:rPr>
          <w:rFonts w:ascii="Arial" w:hAnsi="Arial" w:cs="Arial"/>
          <w:noProof/>
          <w:color w:val="000000"/>
          <w:sz w:val="22"/>
          <w:szCs w:val="22"/>
          <w:lang w:val="en-GB" w:eastAsia="pl-PL"/>
        </w:rPr>
      </w:pPr>
      <w:r>
        <w:rPr>
          <w:rFonts w:ascii="Arial" w:hAnsi="Arial" w:cs="Arial"/>
          <w:b/>
          <w:bCs/>
          <w:sz w:val="22"/>
          <w:lang w:val="en-GB"/>
        </w:rPr>
        <w:t>Phone:</w:t>
      </w:r>
      <w:r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+48 </w:t>
      </w:r>
      <w:r>
        <w:rPr>
          <w:rFonts w:ascii="Arial" w:hAnsi="Arial" w:cs="Arial"/>
          <w:noProof/>
          <w:color w:val="000000"/>
          <w:sz w:val="22"/>
          <w:szCs w:val="22"/>
          <w:lang w:val="en-GB" w:eastAsia="pl-PL"/>
        </w:rPr>
        <w:t>502 220 557</w:t>
      </w:r>
    </w:p>
    <w:p w14:paraId="27C187DD" w14:textId="77777777" w:rsidR="00375C62" w:rsidRDefault="00375C62" w:rsidP="00375C62">
      <w:pPr>
        <w:pStyle w:val="Akapitzlist"/>
        <w:ind w:left="-567" w:right="-618"/>
        <w:rPr>
          <w:rStyle w:val="Hipercze"/>
        </w:rPr>
      </w:pPr>
      <w:r>
        <w:rPr>
          <w:rFonts w:ascii="Arial" w:hAnsi="Arial" w:cs="Arial"/>
          <w:b/>
          <w:bCs/>
          <w:sz w:val="22"/>
          <w:lang w:val="en-GB"/>
        </w:rPr>
        <w:t>Email:</w:t>
      </w:r>
      <w:r>
        <w:rPr>
          <w:rFonts w:ascii="Arial" w:hAnsi="Arial" w:cs="Arial"/>
          <w:sz w:val="22"/>
          <w:lang w:val="en-GB"/>
        </w:rPr>
        <w:t xml:space="preserve"> </w:t>
      </w:r>
      <w:hyperlink r:id="rId13" w:history="1">
        <w:r>
          <w:rPr>
            <w:rStyle w:val="Hipercze"/>
            <w:rFonts w:ascii="Arial" w:hAnsi="Arial" w:cs="Arial"/>
            <w:sz w:val="22"/>
            <w:szCs w:val="22"/>
            <w:lang w:val="en-GB"/>
          </w:rPr>
          <w:t>anna.podolak@eu.jll.com</w:t>
        </w:r>
      </w:hyperlink>
    </w:p>
    <w:p w14:paraId="4685E873" w14:textId="77777777" w:rsidR="00375C62" w:rsidRDefault="00375C62" w:rsidP="00375C62">
      <w:pPr>
        <w:ind w:left="-567" w:right="-618"/>
        <w:jc w:val="both"/>
        <w:rPr>
          <w:rFonts w:eastAsia="Calibri"/>
          <w:b/>
          <w:color w:val="000000"/>
          <w:lang w:eastAsia="en-US"/>
        </w:rPr>
      </w:pPr>
    </w:p>
    <w:p w14:paraId="1A336257" w14:textId="77777777" w:rsidR="00375C62" w:rsidRDefault="00375C62" w:rsidP="00375C62">
      <w:pPr>
        <w:pStyle w:val="Akapitzlist"/>
        <w:ind w:left="-567" w:right="-6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Contact:</w:t>
      </w:r>
      <w:r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Magdalena Ossowska</w:t>
      </w:r>
    </w:p>
    <w:p w14:paraId="40505FEC" w14:textId="77777777" w:rsidR="00375C62" w:rsidRDefault="00375C62" w:rsidP="00375C62">
      <w:pPr>
        <w:pStyle w:val="Akapitzlist"/>
        <w:ind w:left="-567" w:right="-618"/>
        <w:rPr>
          <w:rFonts w:ascii="Arial" w:hAnsi="Arial" w:cs="Arial"/>
          <w:noProof/>
          <w:color w:val="000000"/>
          <w:sz w:val="22"/>
          <w:szCs w:val="22"/>
          <w:lang w:val="en-GB" w:eastAsia="pl-PL"/>
        </w:rPr>
      </w:pPr>
      <w:r>
        <w:rPr>
          <w:rFonts w:ascii="Arial" w:hAnsi="Arial" w:cs="Arial"/>
          <w:b/>
          <w:bCs/>
          <w:sz w:val="22"/>
          <w:lang w:val="en-GB"/>
        </w:rPr>
        <w:t>Phone:</w:t>
      </w:r>
      <w:r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+48 502 556 846</w:t>
      </w:r>
    </w:p>
    <w:p w14:paraId="667CC30A" w14:textId="77777777" w:rsidR="00375C62" w:rsidRDefault="00375C62" w:rsidP="00375C62">
      <w:pPr>
        <w:pStyle w:val="Akapitzlist"/>
        <w:ind w:left="-567" w:right="-6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>Email:</w:t>
      </w:r>
      <w:r>
        <w:rPr>
          <w:rFonts w:ascii="Arial" w:hAnsi="Arial" w:cs="Arial"/>
          <w:sz w:val="22"/>
          <w:lang w:val="en-GB"/>
        </w:rPr>
        <w:t xml:space="preserve"> </w:t>
      </w:r>
      <w:hyperlink r:id="rId14" w:history="1">
        <w:r>
          <w:rPr>
            <w:rStyle w:val="Hipercze"/>
            <w:rFonts w:ascii="Arial" w:hAnsi="Arial" w:cs="Arial"/>
            <w:sz w:val="22"/>
            <w:szCs w:val="22"/>
            <w:lang w:val="en-GB"/>
          </w:rPr>
          <w:t>magdalena.ossowska@linkleaders.pl</w:t>
        </w:r>
      </w:hyperlink>
    </w:p>
    <w:p w14:paraId="5B533C76" w14:textId="77777777" w:rsidR="00375C62" w:rsidRDefault="00375C62" w:rsidP="00375C62">
      <w:pPr>
        <w:ind w:left="-567" w:right="-618"/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</w:pPr>
    </w:p>
    <w:p w14:paraId="23434EF0" w14:textId="77777777" w:rsidR="00375C62" w:rsidRDefault="00375C62" w:rsidP="00375C62">
      <w:pPr>
        <w:ind w:left="-567" w:right="-618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val="en-GB"/>
        </w:rPr>
        <w:t>Contact</w:t>
      </w:r>
      <w:r>
        <w:rPr>
          <w:rFonts w:ascii="Arial" w:eastAsia="Times New Roman" w:hAnsi="Arial" w:cs="Arial"/>
          <w:bCs/>
          <w:color w:val="000000"/>
          <w:sz w:val="22"/>
          <w:szCs w:val="22"/>
          <w:lang w:val="en-GB"/>
        </w:rPr>
        <w:t>: Anna Drzewiecka</w:t>
      </w:r>
    </w:p>
    <w:p w14:paraId="68381F62" w14:textId="77777777" w:rsidR="00375C62" w:rsidRDefault="00375C62" w:rsidP="00375C62">
      <w:pPr>
        <w:ind w:left="-567" w:right="-618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t>Phone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: +48 504 020 522</w:t>
      </w:r>
    </w:p>
    <w:p w14:paraId="4C18D668" w14:textId="77777777" w:rsidR="00375C62" w:rsidRDefault="00375C62" w:rsidP="00375C62">
      <w:pPr>
        <w:ind w:left="-567" w:right="-618"/>
        <w:jc w:val="both"/>
        <w:rPr>
          <w:rStyle w:val="Hipercze"/>
          <w:color w:val="0070C0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t>Email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: </w:t>
      </w:r>
      <w:hyperlink r:id="rId15" w:history="1">
        <w:r>
          <w:rPr>
            <w:rStyle w:val="Hipercze"/>
            <w:rFonts w:ascii="Arial" w:eastAsia="Times New Roman" w:hAnsi="Arial" w:cs="Arial"/>
            <w:bCs/>
            <w:color w:val="0070C0"/>
            <w:sz w:val="22"/>
            <w:szCs w:val="22"/>
          </w:rPr>
          <w:t>anna.drzewiecka@linkleaders.pl</w:t>
        </w:r>
      </w:hyperlink>
      <w:bookmarkEnd w:id="1"/>
    </w:p>
    <w:p w14:paraId="142747D2" w14:textId="33E101DA" w:rsidR="00DE538D" w:rsidRDefault="00DE538D" w:rsidP="00DE538D">
      <w:pPr>
        <w:ind w:left="-567" w:right="-618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</w:p>
    <w:p w14:paraId="41FB0E11" w14:textId="77777777" w:rsidR="00DE538D" w:rsidRPr="001D3A65" w:rsidRDefault="00DE538D" w:rsidP="00DE538D">
      <w:pPr>
        <w:ind w:left="-567"/>
        <w:rPr>
          <w:rFonts w:ascii="Arial" w:hAnsi="Arial" w:cs="Arial"/>
          <w:sz w:val="22"/>
          <w:szCs w:val="22"/>
        </w:rPr>
      </w:pPr>
    </w:p>
    <w:p w14:paraId="54B0E6EF" w14:textId="77777777" w:rsidR="00306DC9" w:rsidRPr="00DE538D" w:rsidRDefault="00306DC9" w:rsidP="00DE7680">
      <w:pPr>
        <w:ind w:right="-618"/>
        <w:rPr>
          <w:rFonts w:ascii="Arial" w:hAnsi="Arial" w:cs="Arial"/>
          <w:sz w:val="22"/>
          <w:szCs w:val="22"/>
        </w:rPr>
      </w:pPr>
    </w:p>
    <w:sectPr w:rsidR="00306DC9" w:rsidRPr="00DE538D" w:rsidSect="00EB06EE">
      <w:headerReference w:type="default" r:id="rId16"/>
      <w:headerReference w:type="first" r:id="rId17"/>
      <w:pgSz w:w="11900" w:h="16840"/>
      <w:pgMar w:top="1440" w:right="1440" w:bottom="1440" w:left="1440" w:header="330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8461B" w14:textId="77777777" w:rsidR="00D75882" w:rsidRDefault="00D75882" w:rsidP="0045426F">
      <w:r>
        <w:separator/>
      </w:r>
    </w:p>
  </w:endnote>
  <w:endnote w:type="continuationSeparator" w:id="0">
    <w:p w14:paraId="252DA302" w14:textId="77777777" w:rsidR="00D75882" w:rsidRDefault="00D75882" w:rsidP="0045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5AB5" w14:textId="77777777" w:rsidR="00D75882" w:rsidRDefault="00D75882" w:rsidP="0045426F">
      <w:r>
        <w:separator/>
      </w:r>
    </w:p>
  </w:footnote>
  <w:footnote w:type="continuationSeparator" w:id="0">
    <w:p w14:paraId="4877005F" w14:textId="77777777" w:rsidR="00D75882" w:rsidRDefault="00D75882" w:rsidP="0045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19C0" w14:textId="77777777" w:rsidR="000602CB" w:rsidRDefault="000602CB" w:rsidP="00F12B14">
    <w:pPr>
      <w:pStyle w:val="Nagwek"/>
      <w:tabs>
        <w:tab w:val="clear" w:pos="9026"/>
      </w:tabs>
      <w:ind w:left="-851" w:right="-1045"/>
    </w:pPr>
    <w:r w:rsidRPr="00293E5E">
      <w:rPr>
        <w:noProof/>
        <w:lang w:val="en-GB" w:eastAsia="en-GB"/>
      </w:rPr>
      <w:drawing>
        <wp:inline distT="0" distB="0" distL="0" distR="0" wp14:anchorId="6E2A0381" wp14:editId="5CD54F97">
          <wp:extent cx="7200900" cy="914400"/>
          <wp:effectExtent l="0" t="0" r="0" b="0"/>
          <wp:docPr id="13" name="Picture 9" descr="/Users/karakeough/Box Sync/2016/Brand/New Materials/Press Release/PressRelease-Header-0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/Users/karakeough/Box Sync/2016/Brand/New Materials/Press Release/PressRelease-Header-0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50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CF2C" w14:textId="77777777" w:rsidR="000602CB" w:rsidRDefault="000602CB" w:rsidP="00F30A2E">
    <w:pPr>
      <w:pStyle w:val="Nagwek"/>
      <w:ind w:left="-851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5B4B10" wp14:editId="0F5BA4A5">
              <wp:simplePos x="0" y="0"/>
              <wp:positionH relativeFrom="column">
                <wp:posOffset>-442127</wp:posOffset>
              </wp:positionH>
              <wp:positionV relativeFrom="paragraph">
                <wp:posOffset>544076</wp:posOffset>
              </wp:positionV>
              <wp:extent cx="3788228" cy="63246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8228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5D09EA" w14:textId="0DC218C5" w:rsidR="000602CB" w:rsidRPr="00D5237E" w:rsidRDefault="00DE538D">
                          <w:pPr>
                            <w:rPr>
                              <w:rFonts w:ascii="Arial" w:hAnsi="Arial" w:cs="Arial"/>
                              <w:sz w:val="60"/>
                              <w:szCs w:val="60"/>
                              <w:lang w:val="pl-PL"/>
                            </w:rPr>
                          </w:pPr>
                          <w:r w:rsidRPr="00DE538D">
                            <w:rPr>
                              <w:rFonts w:ascii="Arial" w:hAnsi="Arial" w:cs="Arial"/>
                              <w:sz w:val="60"/>
                              <w:szCs w:val="60"/>
                              <w:lang w:val="pl-PL"/>
                            </w:rPr>
                            <w:t>News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5B4B1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34.8pt;margin-top:42.85pt;width:298.3pt;height:4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" filled="f" stroked="f">
              <v:textbox>
                <w:txbxContent>
                  <w:p w14:paraId="325D09EA" w14:textId="0DC218C5" w:rsidR="000602CB" w:rsidRPr="00D5237E" w:rsidRDefault="00DE538D">
                    <w:pPr>
                      <w:rPr>
                        <w:rFonts w:ascii="Arial" w:hAnsi="Arial" w:cs="Arial"/>
                        <w:sz w:val="60"/>
                        <w:szCs w:val="60"/>
                        <w:lang w:val="pl-PL"/>
                      </w:rPr>
                    </w:pPr>
                    <w:r w:rsidRPr="00DE538D">
                      <w:rPr>
                        <w:rFonts w:ascii="Arial" w:hAnsi="Arial" w:cs="Arial"/>
                        <w:sz w:val="60"/>
                        <w:szCs w:val="60"/>
                        <w:lang w:val="pl-PL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Pr="00293E5E">
      <w:rPr>
        <w:noProof/>
        <w:lang w:val="en-GB" w:eastAsia="en-GB"/>
      </w:rPr>
      <w:drawing>
        <wp:inline distT="0" distB="0" distL="0" distR="0" wp14:anchorId="49C7FCEC" wp14:editId="183EBF4E">
          <wp:extent cx="6832600" cy="1143000"/>
          <wp:effectExtent l="0" t="0" r="0" b="0"/>
          <wp:docPr id="15" name="Picture 13" descr="/Users/karakeough/Box Sync/2016/Brand/New Materials/Press Release/PR-Header-FIN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/Users/karakeough/Box Sync/2016/Brand/New Materials/Press Release/PR-Header-FINAL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01CD"/>
    <w:multiLevelType w:val="hybridMultilevel"/>
    <w:tmpl w:val="053C2168"/>
    <w:lvl w:ilvl="0" w:tplc="A2EA7CBE">
      <w:start w:val="1"/>
      <w:numFmt w:val="bullet"/>
      <w:lvlText w:val="-"/>
      <w:lvlJc w:val="left"/>
      <w:pPr>
        <w:ind w:left="-207" w:hanging="360"/>
      </w:pPr>
      <w:rPr>
        <w:rFonts w:ascii="Source Sans Pro Light" w:eastAsia="DengXian" w:hAnsi="Source Sans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9A97656"/>
    <w:multiLevelType w:val="hybridMultilevel"/>
    <w:tmpl w:val="32F8A838"/>
    <w:lvl w:ilvl="0" w:tplc="414A35B8">
      <w:start w:val="1"/>
      <w:numFmt w:val="bullet"/>
      <w:lvlText w:val="-"/>
      <w:lvlJc w:val="left"/>
      <w:pPr>
        <w:ind w:left="420" w:hanging="360"/>
      </w:pPr>
      <w:rPr>
        <w:rFonts w:ascii="Source Sans Pro Light" w:eastAsia="DengXian" w:hAnsi="Source Sans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484CEB"/>
    <w:multiLevelType w:val="hybridMultilevel"/>
    <w:tmpl w:val="3340778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08D330D"/>
    <w:multiLevelType w:val="hybridMultilevel"/>
    <w:tmpl w:val="224E6456"/>
    <w:lvl w:ilvl="0" w:tplc="2056DE34">
      <w:start w:val="1"/>
      <w:numFmt w:val="bullet"/>
      <w:lvlText w:val="-"/>
      <w:lvlJc w:val="left"/>
      <w:pPr>
        <w:ind w:left="780" w:hanging="360"/>
      </w:pPr>
      <w:rPr>
        <w:rFonts w:ascii="Source Sans Pro Light" w:eastAsia="DengXian" w:hAnsi="Source Sans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77"/>
    <w:rsid w:val="000162F3"/>
    <w:rsid w:val="00017220"/>
    <w:rsid w:val="00023ACC"/>
    <w:rsid w:val="00023C49"/>
    <w:rsid w:val="0002564F"/>
    <w:rsid w:val="00030912"/>
    <w:rsid w:val="0003109A"/>
    <w:rsid w:val="00036169"/>
    <w:rsid w:val="000535EF"/>
    <w:rsid w:val="00055B26"/>
    <w:rsid w:val="00056165"/>
    <w:rsid w:val="000602CB"/>
    <w:rsid w:val="00060660"/>
    <w:rsid w:val="00066C53"/>
    <w:rsid w:val="00067977"/>
    <w:rsid w:val="00067C9F"/>
    <w:rsid w:val="000755D4"/>
    <w:rsid w:val="000846BE"/>
    <w:rsid w:val="00091829"/>
    <w:rsid w:val="00091D99"/>
    <w:rsid w:val="0009204E"/>
    <w:rsid w:val="000960D1"/>
    <w:rsid w:val="00096E10"/>
    <w:rsid w:val="000A11C9"/>
    <w:rsid w:val="000A2352"/>
    <w:rsid w:val="000A66BF"/>
    <w:rsid w:val="000B417F"/>
    <w:rsid w:val="000B5C84"/>
    <w:rsid w:val="000C10E5"/>
    <w:rsid w:val="000C4937"/>
    <w:rsid w:val="000C6A56"/>
    <w:rsid w:val="000D18D4"/>
    <w:rsid w:val="000D32A0"/>
    <w:rsid w:val="000D5C08"/>
    <w:rsid w:val="000D6180"/>
    <w:rsid w:val="000E46A3"/>
    <w:rsid w:val="000E6B42"/>
    <w:rsid w:val="000F2798"/>
    <w:rsid w:val="000F4944"/>
    <w:rsid w:val="00101AA9"/>
    <w:rsid w:val="00127717"/>
    <w:rsid w:val="00132F3A"/>
    <w:rsid w:val="00150D5A"/>
    <w:rsid w:val="001551A7"/>
    <w:rsid w:val="00162882"/>
    <w:rsid w:val="0016315B"/>
    <w:rsid w:val="00166961"/>
    <w:rsid w:val="001708A4"/>
    <w:rsid w:val="00172523"/>
    <w:rsid w:val="00176D20"/>
    <w:rsid w:val="001A1FEC"/>
    <w:rsid w:val="001B597D"/>
    <w:rsid w:val="001B6C70"/>
    <w:rsid w:val="001C4F9C"/>
    <w:rsid w:val="001D0734"/>
    <w:rsid w:val="001D0A81"/>
    <w:rsid w:val="001D1A5C"/>
    <w:rsid w:val="001D4B70"/>
    <w:rsid w:val="001F0B91"/>
    <w:rsid w:val="00206EB4"/>
    <w:rsid w:val="00210E97"/>
    <w:rsid w:val="00212F93"/>
    <w:rsid w:val="002130B5"/>
    <w:rsid w:val="0021394C"/>
    <w:rsid w:val="00213EC7"/>
    <w:rsid w:val="002152F7"/>
    <w:rsid w:val="00216366"/>
    <w:rsid w:val="00220D65"/>
    <w:rsid w:val="002301E1"/>
    <w:rsid w:val="0023325D"/>
    <w:rsid w:val="0023378B"/>
    <w:rsid w:val="00234C8B"/>
    <w:rsid w:val="00243B5F"/>
    <w:rsid w:val="0024659F"/>
    <w:rsid w:val="00251F56"/>
    <w:rsid w:val="00255C7C"/>
    <w:rsid w:val="00260D09"/>
    <w:rsid w:val="00262153"/>
    <w:rsid w:val="0026745A"/>
    <w:rsid w:val="00274AEE"/>
    <w:rsid w:val="00281113"/>
    <w:rsid w:val="00281865"/>
    <w:rsid w:val="00286681"/>
    <w:rsid w:val="00290E89"/>
    <w:rsid w:val="00290F7D"/>
    <w:rsid w:val="00297FB5"/>
    <w:rsid w:val="002A1BC4"/>
    <w:rsid w:val="002B51C0"/>
    <w:rsid w:val="002C262B"/>
    <w:rsid w:val="002C42D1"/>
    <w:rsid w:val="002D2589"/>
    <w:rsid w:val="00302408"/>
    <w:rsid w:val="00306DC9"/>
    <w:rsid w:val="003252A2"/>
    <w:rsid w:val="00334370"/>
    <w:rsid w:val="003406C3"/>
    <w:rsid w:val="00340797"/>
    <w:rsid w:val="0034093E"/>
    <w:rsid w:val="003513B4"/>
    <w:rsid w:val="00363342"/>
    <w:rsid w:val="00370372"/>
    <w:rsid w:val="00371B4D"/>
    <w:rsid w:val="003745AB"/>
    <w:rsid w:val="00375C62"/>
    <w:rsid w:val="00382FD7"/>
    <w:rsid w:val="003878B7"/>
    <w:rsid w:val="003947F4"/>
    <w:rsid w:val="003A5E2F"/>
    <w:rsid w:val="003A6CB2"/>
    <w:rsid w:val="003B2FA0"/>
    <w:rsid w:val="003B784F"/>
    <w:rsid w:val="003C12EE"/>
    <w:rsid w:val="003C154A"/>
    <w:rsid w:val="003C7982"/>
    <w:rsid w:val="003D26BC"/>
    <w:rsid w:val="003E539F"/>
    <w:rsid w:val="00400FD3"/>
    <w:rsid w:val="00406508"/>
    <w:rsid w:val="00406841"/>
    <w:rsid w:val="004104B8"/>
    <w:rsid w:val="00416B35"/>
    <w:rsid w:val="00430AE6"/>
    <w:rsid w:val="0043111A"/>
    <w:rsid w:val="00432EFC"/>
    <w:rsid w:val="00444F24"/>
    <w:rsid w:val="00445D4F"/>
    <w:rsid w:val="00446229"/>
    <w:rsid w:val="0045426F"/>
    <w:rsid w:val="00456EFC"/>
    <w:rsid w:val="00473BFA"/>
    <w:rsid w:val="00473D27"/>
    <w:rsid w:val="00474AA1"/>
    <w:rsid w:val="004865D2"/>
    <w:rsid w:val="0049097F"/>
    <w:rsid w:val="004921CA"/>
    <w:rsid w:val="00496391"/>
    <w:rsid w:val="004A1C1B"/>
    <w:rsid w:val="004C4C26"/>
    <w:rsid w:val="004D2CC0"/>
    <w:rsid w:val="004D4D44"/>
    <w:rsid w:val="004E71E0"/>
    <w:rsid w:val="004E757D"/>
    <w:rsid w:val="004F4E86"/>
    <w:rsid w:val="0052070A"/>
    <w:rsid w:val="00526273"/>
    <w:rsid w:val="00527539"/>
    <w:rsid w:val="005306D7"/>
    <w:rsid w:val="00534AF7"/>
    <w:rsid w:val="00534D0F"/>
    <w:rsid w:val="0053633B"/>
    <w:rsid w:val="00545A8D"/>
    <w:rsid w:val="00547CF1"/>
    <w:rsid w:val="00551C44"/>
    <w:rsid w:val="00556AD9"/>
    <w:rsid w:val="005674C6"/>
    <w:rsid w:val="00573705"/>
    <w:rsid w:val="005756DE"/>
    <w:rsid w:val="00576FAA"/>
    <w:rsid w:val="0058367F"/>
    <w:rsid w:val="005A00E1"/>
    <w:rsid w:val="005A2D8B"/>
    <w:rsid w:val="005A7B6E"/>
    <w:rsid w:val="005B0E5B"/>
    <w:rsid w:val="005B0E8B"/>
    <w:rsid w:val="005B41F0"/>
    <w:rsid w:val="005B5677"/>
    <w:rsid w:val="005B6E25"/>
    <w:rsid w:val="005D21DB"/>
    <w:rsid w:val="005D5D95"/>
    <w:rsid w:val="005E126D"/>
    <w:rsid w:val="005E32DD"/>
    <w:rsid w:val="005F0F26"/>
    <w:rsid w:val="00633242"/>
    <w:rsid w:val="0063438F"/>
    <w:rsid w:val="00637C75"/>
    <w:rsid w:val="00641344"/>
    <w:rsid w:val="00641D78"/>
    <w:rsid w:val="0065252C"/>
    <w:rsid w:val="00654F28"/>
    <w:rsid w:val="00660E89"/>
    <w:rsid w:val="00666620"/>
    <w:rsid w:val="00666D28"/>
    <w:rsid w:val="0067327A"/>
    <w:rsid w:val="00675944"/>
    <w:rsid w:val="00675F94"/>
    <w:rsid w:val="00683A50"/>
    <w:rsid w:val="00691ACF"/>
    <w:rsid w:val="006927BA"/>
    <w:rsid w:val="006A1FD8"/>
    <w:rsid w:val="006A4D08"/>
    <w:rsid w:val="006A7D36"/>
    <w:rsid w:val="006B1D45"/>
    <w:rsid w:val="006B2BFE"/>
    <w:rsid w:val="006C52C6"/>
    <w:rsid w:val="006D36D4"/>
    <w:rsid w:val="006D4DEF"/>
    <w:rsid w:val="006D5A66"/>
    <w:rsid w:val="006E1B86"/>
    <w:rsid w:val="006E1BB3"/>
    <w:rsid w:val="006E65E6"/>
    <w:rsid w:val="006F0B40"/>
    <w:rsid w:val="006F4B3A"/>
    <w:rsid w:val="006F583B"/>
    <w:rsid w:val="00705D36"/>
    <w:rsid w:val="00715985"/>
    <w:rsid w:val="007179AE"/>
    <w:rsid w:val="0072333D"/>
    <w:rsid w:val="007249CA"/>
    <w:rsid w:val="0072519C"/>
    <w:rsid w:val="00730369"/>
    <w:rsid w:val="0073222C"/>
    <w:rsid w:val="007333F6"/>
    <w:rsid w:val="00734525"/>
    <w:rsid w:val="00736263"/>
    <w:rsid w:val="007429FA"/>
    <w:rsid w:val="00745C15"/>
    <w:rsid w:val="00765FF8"/>
    <w:rsid w:val="00770A02"/>
    <w:rsid w:val="007740A7"/>
    <w:rsid w:val="00790D21"/>
    <w:rsid w:val="007923DE"/>
    <w:rsid w:val="00792FA0"/>
    <w:rsid w:val="00795CC1"/>
    <w:rsid w:val="00796639"/>
    <w:rsid w:val="007A0BEE"/>
    <w:rsid w:val="007D1FA3"/>
    <w:rsid w:val="007D3B50"/>
    <w:rsid w:val="007E3ED5"/>
    <w:rsid w:val="007F101E"/>
    <w:rsid w:val="007F2A61"/>
    <w:rsid w:val="007F43C6"/>
    <w:rsid w:val="00802EEA"/>
    <w:rsid w:val="00810349"/>
    <w:rsid w:val="00815EF9"/>
    <w:rsid w:val="0081677E"/>
    <w:rsid w:val="00825257"/>
    <w:rsid w:val="00827982"/>
    <w:rsid w:val="00831272"/>
    <w:rsid w:val="008349FE"/>
    <w:rsid w:val="00837C56"/>
    <w:rsid w:val="00847545"/>
    <w:rsid w:val="008529BA"/>
    <w:rsid w:val="00855AA2"/>
    <w:rsid w:val="0086258A"/>
    <w:rsid w:val="00864213"/>
    <w:rsid w:val="00870285"/>
    <w:rsid w:val="00870DA9"/>
    <w:rsid w:val="0089013E"/>
    <w:rsid w:val="008937A2"/>
    <w:rsid w:val="00896FDA"/>
    <w:rsid w:val="008A413D"/>
    <w:rsid w:val="008A7CCF"/>
    <w:rsid w:val="008B358C"/>
    <w:rsid w:val="008B3752"/>
    <w:rsid w:val="008E3E98"/>
    <w:rsid w:val="008E738D"/>
    <w:rsid w:val="008F091A"/>
    <w:rsid w:val="008F5E05"/>
    <w:rsid w:val="008F73A4"/>
    <w:rsid w:val="009011CD"/>
    <w:rsid w:val="00901905"/>
    <w:rsid w:val="00903133"/>
    <w:rsid w:val="00905D58"/>
    <w:rsid w:val="00906E10"/>
    <w:rsid w:val="00916596"/>
    <w:rsid w:val="0092467C"/>
    <w:rsid w:val="00924C5A"/>
    <w:rsid w:val="0094288A"/>
    <w:rsid w:val="00943E15"/>
    <w:rsid w:val="00946385"/>
    <w:rsid w:val="00950734"/>
    <w:rsid w:val="009530DB"/>
    <w:rsid w:val="009557CC"/>
    <w:rsid w:val="009561BF"/>
    <w:rsid w:val="00966D93"/>
    <w:rsid w:val="009674FD"/>
    <w:rsid w:val="009702AF"/>
    <w:rsid w:val="00972494"/>
    <w:rsid w:val="00977264"/>
    <w:rsid w:val="00981DCD"/>
    <w:rsid w:val="009823EE"/>
    <w:rsid w:val="00992062"/>
    <w:rsid w:val="00994741"/>
    <w:rsid w:val="009A1507"/>
    <w:rsid w:val="009B306D"/>
    <w:rsid w:val="009C0EB4"/>
    <w:rsid w:val="009D33FF"/>
    <w:rsid w:val="009E4B14"/>
    <w:rsid w:val="009E6F8D"/>
    <w:rsid w:val="009F131A"/>
    <w:rsid w:val="009F1320"/>
    <w:rsid w:val="009F5868"/>
    <w:rsid w:val="00A12AFE"/>
    <w:rsid w:val="00A30C25"/>
    <w:rsid w:val="00A327AF"/>
    <w:rsid w:val="00A32B8B"/>
    <w:rsid w:val="00A55D57"/>
    <w:rsid w:val="00A7785E"/>
    <w:rsid w:val="00A83C14"/>
    <w:rsid w:val="00A85457"/>
    <w:rsid w:val="00A85797"/>
    <w:rsid w:val="00A9022B"/>
    <w:rsid w:val="00A9047D"/>
    <w:rsid w:val="00A90F62"/>
    <w:rsid w:val="00A96839"/>
    <w:rsid w:val="00AA0D12"/>
    <w:rsid w:val="00AA1892"/>
    <w:rsid w:val="00AA505D"/>
    <w:rsid w:val="00AB2A4D"/>
    <w:rsid w:val="00AB2FAE"/>
    <w:rsid w:val="00AB37E9"/>
    <w:rsid w:val="00AB5EDD"/>
    <w:rsid w:val="00AC0F88"/>
    <w:rsid w:val="00AC561E"/>
    <w:rsid w:val="00AD1281"/>
    <w:rsid w:val="00AD1C04"/>
    <w:rsid w:val="00AD5C94"/>
    <w:rsid w:val="00AE3CC6"/>
    <w:rsid w:val="00AE641D"/>
    <w:rsid w:val="00B04A5A"/>
    <w:rsid w:val="00B05AD9"/>
    <w:rsid w:val="00B25901"/>
    <w:rsid w:val="00B25A25"/>
    <w:rsid w:val="00B305A2"/>
    <w:rsid w:val="00B42089"/>
    <w:rsid w:val="00B452C4"/>
    <w:rsid w:val="00B470C4"/>
    <w:rsid w:val="00B4722E"/>
    <w:rsid w:val="00B51022"/>
    <w:rsid w:val="00B539F3"/>
    <w:rsid w:val="00B612EF"/>
    <w:rsid w:val="00B61CEA"/>
    <w:rsid w:val="00B61E7B"/>
    <w:rsid w:val="00B66EC1"/>
    <w:rsid w:val="00B7357B"/>
    <w:rsid w:val="00B744AA"/>
    <w:rsid w:val="00B7467E"/>
    <w:rsid w:val="00B75B40"/>
    <w:rsid w:val="00B83455"/>
    <w:rsid w:val="00B85389"/>
    <w:rsid w:val="00B8550D"/>
    <w:rsid w:val="00B87C64"/>
    <w:rsid w:val="00B95546"/>
    <w:rsid w:val="00B96035"/>
    <w:rsid w:val="00BA0AD6"/>
    <w:rsid w:val="00BA6150"/>
    <w:rsid w:val="00BA752B"/>
    <w:rsid w:val="00BB3B73"/>
    <w:rsid w:val="00BD2781"/>
    <w:rsid w:val="00BD488A"/>
    <w:rsid w:val="00BE3489"/>
    <w:rsid w:val="00BF3ABA"/>
    <w:rsid w:val="00BF41C9"/>
    <w:rsid w:val="00BF4F81"/>
    <w:rsid w:val="00C0535F"/>
    <w:rsid w:val="00C07BF0"/>
    <w:rsid w:val="00C101A2"/>
    <w:rsid w:val="00C138D1"/>
    <w:rsid w:val="00C17B0F"/>
    <w:rsid w:val="00C21EC1"/>
    <w:rsid w:val="00C22C93"/>
    <w:rsid w:val="00C318A3"/>
    <w:rsid w:val="00C541B2"/>
    <w:rsid w:val="00C577E8"/>
    <w:rsid w:val="00C57C8D"/>
    <w:rsid w:val="00C668B8"/>
    <w:rsid w:val="00C67050"/>
    <w:rsid w:val="00C72D1B"/>
    <w:rsid w:val="00C762D8"/>
    <w:rsid w:val="00C775BB"/>
    <w:rsid w:val="00C82285"/>
    <w:rsid w:val="00C82EB5"/>
    <w:rsid w:val="00C92585"/>
    <w:rsid w:val="00CA0B90"/>
    <w:rsid w:val="00CB45D6"/>
    <w:rsid w:val="00CB4B12"/>
    <w:rsid w:val="00CB706F"/>
    <w:rsid w:val="00CB73FD"/>
    <w:rsid w:val="00CC3D1C"/>
    <w:rsid w:val="00CC4B94"/>
    <w:rsid w:val="00CC7E45"/>
    <w:rsid w:val="00CD580E"/>
    <w:rsid w:val="00CE5499"/>
    <w:rsid w:val="00CE670A"/>
    <w:rsid w:val="00CE6F15"/>
    <w:rsid w:val="00CF1550"/>
    <w:rsid w:val="00CF7BEE"/>
    <w:rsid w:val="00D03DB4"/>
    <w:rsid w:val="00D149C5"/>
    <w:rsid w:val="00D14BD1"/>
    <w:rsid w:val="00D169E4"/>
    <w:rsid w:val="00D16FDD"/>
    <w:rsid w:val="00D22F23"/>
    <w:rsid w:val="00D27B24"/>
    <w:rsid w:val="00D31019"/>
    <w:rsid w:val="00D31EF0"/>
    <w:rsid w:val="00D333EC"/>
    <w:rsid w:val="00D34FDE"/>
    <w:rsid w:val="00D45726"/>
    <w:rsid w:val="00D47078"/>
    <w:rsid w:val="00D47DA7"/>
    <w:rsid w:val="00D5237E"/>
    <w:rsid w:val="00D528DC"/>
    <w:rsid w:val="00D53974"/>
    <w:rsid w:val="00D5472E"/>
    <w:rsid w:val="00D5524A"/>
    <w:rsid w:val="00D647BD"/>
    <w:rsid w:val="00D67C3C"/>
    <w:rsid w:val="00D74B43"/>
    <w:rsid w:val="00D75882"/>
    <w:rsid w:val="00D901F6"/>
    <w:rsid w:val="00D94774"/>
    <w:rsid w:val="00D979DE"/>
    <w:rsid w:val="00DA00E9"/>
    <w:rsid w:val="00DB1BA5"/>
    <w:rsid w:val="00DB20E3"/>
    <w:rsid w:val="00DC01FF"/>
    <w:rsid w:val="00DC3002"/>
    <w:rsid w:val="00DD0688"/>
    <w:rsid w:val="00DD23D8"/>
    <w:rsid w:val="00DD3693"/>
    <w:rsid w:val="00DD7B56"/>
    <w:rsid w:val="00DE1D0C"/>
    <w:rsid w:val="00DE538D"/>
    <w:rsid w:val="00DE7680"/>
    <w:rsid w:val="00DF3204"/>
    <w:rsid w:val="00DF34E8"/>
    <w:rsid w:val="00DF44A7"/>
    <w:rsid w:val="00E06AC3"/>
    <w:rsid w:val="00E0778B"/>
    <w:rsid w:val="00E14D12"/>
    <w:rsid w:val="00E21067"/>
    <w:rsid w:val="00E35E75"/>
    <w:rsid w:val="00E36E4E"/>
    <w:rsid w:val="00E40E8C"/>
    <w:rsid w:val="00E453F9"/>
    <w:rsid w:val="00E52256"/>
    <w:rsid w:val="00E6497E"/>
    <w:rsid w:val="00E66398"/>
    <w:rsid w:val="00E67AAF"/>
    <w:rsid w:val="00E72BEE"/>
    <w:rsid w:val="00E74DCE"/>
    <w:rsid w:val="00E758D0"/>
    <w:rsid w:val="00E806AF"/>
    <w:rsid w:val="00E847A1"/>
    <w:rsid w:val="00E85BE2"/>
    <w:rsid w:val="00E929B0"/>
    <w:rsid w:val="00E96D91"/>
    <w:rsid w:val="00E97A50"/>
    <w:rsid w:val="00EA4DFD"/>
    <w:rsid w:val="00EB06EE"/>
    <w:rsid w:val="00EC2548"/>
    <w:rsid w:val="00ED1981"/>
    <w:rsid w:val="00ED2805"/>
    <w:rsid w:val="00EE3C56"/>
    <w:rsid w:val="00EE3D92"/>
    <w:rsid w:val="00EF21CC"/>
    <w:rsid w:val="00EF5331"/>
    <w:rsid w:val="00F05753"/>
    <w:rsid w:val="00F12B14"/>
    <w:rsid w:val="00F20B9D"/>
    <w:rsid w:val="00F24AF3"/>
    <w:rsid w:val="00F2576D"/>
    <w:rsid w:val="00F309B9"/>
    <w:rsid w:val="00F30A2E"/>
    <w:rsid w:val="00F36112"/>
    <w:rsid w:val="00F432FB"/>
    <w:rsid w:val="00F4382B"/>
    <w:rsid w:val="00F44223"/>
    <w:rsid w:val="00F50B9C"/>
    <w:rsid w:val="00F51FD7"/>
    <w:rsid w:val="00F610C1"/>
    <w:rsid w:val="00F61415"/>
    <w:rsid w:val="00F616A6"/>
    <w:rsid w:val="00F64448"/>
    <w:rsid w:val="00F653BE"/>
    <w:rsid w:val="00F7462F"/>
    <w:rsid w:val="00F81D03"/>
    <w:rsid w:val="00F87964"/>
    <w:rsid w:val="00F90B76"/>
    <w:rsid w:val="00F97B9C"/>
    <w:rsid w:val="00FA4F72"/>
    <w:rsid w:val="00FA7F6E"/>
    <w:rsid w:val="00FB42F9"/>
    <w:rsid w:val="00FD1DD0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F650D"/>
  <w14:defaultImageDpi w14:val="32767"/>
  <w15:chartTrackingRefBased/>
  <w15:docId w15:val="{D5D84341-3E3A-4980-9561-6AECFA24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426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26F"/>
  </w:style>
  <w:style w:type="paragraph" w:styleId="Stopka">
    <w:name w:val="footer"/>
    <w:basedOn w:val="Normalny"/>
    <w:link w:val="StopkaZnak"/>
    <w:uiPriority w:val="99"/>
    <w:unhideWhenUsed/>
    <w:rsid w:val="0045426F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26F"/>
  </w:style>
  <w:style w:type="paragraph" w:customStyle="1" w:styleId="PressRelease-Heading">
    <w:name w:val="Press Release-Heading"/>
    <w:basedOn w:val="Normalny"/>
    <w:qFormat/>
    <w:rsid w:val="00AB37E9"/>
    <w:pPr>
      <w:ind w:left="-567" w:right="-619"/>
    </w:pPr>
    <w:rPr>
      <w:rFonts w:ascii="Source Sans Pro SemiBold" w:hAnsi="Source Sans Pro SemiBold"/>
      <w:b/>
      <w:bCs/>
      <w:sz w:val="32"/>
    </w:rPr>
  </w:style>
  <w:style w:type="paragraph" w:customStyle="1" w:styleId="PressRelease-Subhead">
    <w:name w:val="Press Release-Subhead"/>
    <w:basedOn w:val="Normalny"/>
    <w:qFormat/>
    <w:rsid w:val="0045426F"/>
    <w:pPr>
      <w:spacing w:before="120"/>
      <w:ind w:left="-567" w:right="-618"/>
    </w:pPr>
    <w:rPr>
      <w:rFonts w:ascii="Times New Roman" w:hAnsi="Times New Roman"/>
      <w:i/>
      <w:iCs/>
      <w:sz w:val="28"/>
    </w:rPr>
  </w:style>
  <w:style w:type="paragraph" w:customStyle="1" w:styleId="City">
    <w:name w:val="City"/>
    <w:basedOn w:val="Normalny"/>
    <w:qFormat/>
    <w:rsid w:val="0063438F"/>
    <w:pPr>
      <w:spacing w:before="120"/>
      <w:ind w:left="-567" w:right="-618"/>
    </w:pPr>
    <w:rPr>
      <w:rFonts w:ascii="Source Sans Pro" w:hAnsi="Source Sans Pro"/>
      <w:sz w:val="28"/>
    </w:rPr>
  </w:style>
  <w:style w:type="paragraph" w:customStyle="1" w:styleId="BodyCopy">
    <w:name w:val="Body Copy"/>
    <w:basedOn w:val="Normalny"/>
    <w:qFormat/>
    <w:rsid w:val="0063438F"/>
    <w:pPr>
      <w:spacing w:before="120"/>
      <w:ind w:left="-567" w:right="-618"/>
    </w:pPr>
    <w:rPr>
      <w:rFonts w:ascii="Source Sans Pro Light" w:hAnsi="Source Sans Pro Light"/>
      <w:sz w:val="28"/>
    </w:rPr>
  </w:style>
  <w:style w:type="paragraph" w:customStyle="1" w:styleId="PressRelease-Body">
    <w:name w:val="Press Release-Body"/>
    <w:basedOn w:val="Normalny"/>
    <w:qFormat/>
    <w:rsid w:val="00AB37E9"/>
    <w:pPr>
      <w:spacing w:before="120"/>
      <w:ind w:left="-567" w:right="-618"/>
    </w:pPr>
    <w:rPr>
      <w:rFonts w:ascii="Source Sans Pro Light" w:hAnsi="Source Sans Pro Light"/>
      <w:sz w:val="22"/>
    </w:rPr>
  </w:style>
  <w:style w:type="paragraph" w:customStyle="1" w:styleId="PressRelease-City">
    <w:name w:val="Press Release-City"/>
    <w:basedOn w:val="Normalny"/>
    <w:qFormat/>
    <w:rsid w:val="002C262B"/>
    <w:pPr>
      <w:spacing w:before="120"/>
      <w:ind w:left="-567" w:right="-618"/>
    </w:pPr>
    <w:rPr>
      <w:rFonts w:ascii="Source Sans Pro" w:hAnsi="Source Sans Pro"/>
      <w:sz w:val="28"/>
    </w:rPr>
  </w:style>
  <w:style w:type="character" w:styleId="Hipercze">
    <w:name w:val="Hyperlink"/>
    <w:uiPriority w:val="99"/>
    <w:unhideWhenUsed/>
    <w:rsid w:val="00AB37E9"/>
    <w:rPr>
      <w:color w:val="0000FF"/>
      <w:u w:val="single"/>
    </w:rPr>
  </w:style>
  <w:style w:type="paragraph" w:customStyle="1" w:styleId="PressRelease-Boilerplate">
    <w:name w:val="Press Release-Boilerplate"/>
    <w:basedOn w:val="Normalny"/>
    <w:qFormat/>
    <w:rsid w:val="00AB37E9"/>
    <w:pPr>
      <w:ind w:left="-567" w:right="-619"/>
    </w:pPr>
    <w:rPr>
      <w:rFonts w:ascii="Source Sans Pro Light" w:eastAsia="Times New Roman" w:hAnsi="Source Sans Pro Light" w:cs="Arial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B37E9"/>
    <w:pPr>
      <w:ind w:left="720"/>
      <w:contextualSpacing/>
    </w:pPr>
  </w:style>
  <w:style w:type="table" w:styleId="Tabela-Siatka">
    <w:name w:val="Table Grid"/>
    <w:basedOn w:val="Standardowy"/>
    <w:uiPriority w:val="39"/>
    <w:rsid w:val="0073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3FF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3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3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33F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3F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3FF"/>
    <w:rPr>
      <w:rFonts w:ascii="Segoe UI" w:hAnsi="Segoe UI" w:cs="Segoe UI"/>
      <w:sz w:val="18"/>
      <w:szCs w:val="18"/>
    </w:rPr>
  </w:style>
  <w:style w:type="table" w:styleId="Tabelalisty4akcent1">
    <w:name w:val="List Table 4 Accent 1"/>
    <w:basedOn w:val="Standardowy"/>
    <w:uiPriority w:val="49"/>
    <w:rsid w:val="00B04A5A"/>
    <w:rPr>
      <w:rFonts w:ascii="Times New Roman" w:eastAsia="Times New Roman" w:hAnsi="Times New Roman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613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4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45A"/>
  </w:style>
  <w:style w:type="character" w:styleId="Odwoanieprzypisudolnego">
    <w:name w:val="footnote reference"/>
    <w:basedOn w:val="Domylnaczcionkaakapitu"/>
    <w:uiPriority w:val="99"/>
    <w:semiHidden/>
    <w:unhideWhenUsed/>
    <w:rsid w:val="0026745A"/>
    <w:rPr>
      <w:vertAlign w:val="superscript"/>
    </w:rPr>
  </w:style>
  <w:style w:type="paragraph" w:customStyle="1" w:styleId="REPORTTEXT">
    <w:name w:val="REPORT TEXT"/>
    <w:basedOn w:val="Normalny"/>
    <w:link w:val="REPORTTEXTChar"/>
    <w:uiPriority w:val="1"/>
    <w:qFormat/>
    <w:rsid w:val="005E126D"/>
    <w:pPr>
      <w:widowControl w:val="0"/>
      <w:autoSpaceDE w:val="0"/>
      <w:autoSpaceDN w:val="0"/>
    </w:pPr>
    <w:rPr>
      <w:rFonts w:ascii="Source Sans Pro Light" w:eastAsia="Source Sans Pro Light" w:hAnsi="Source Sans Pro Light" w:cs="Source Sans Pro Light"/>
      <w:color w:val="231F20"/>
      <w:spacing w:val="-2"/>
      <w:sz w:val="18"/>
      <w:szCs w:val="22"/>
      <w:lang w:eastAsia="en-US"/>
    </w:rPr>
  </w:style>
  <w:style w:type="character" w:customStyle="1" w:styleId="REPORTTEXTChar">
    <w:name w:val="REPORT TEXT Char"/>
    <w:basedOn w:val="Domylnaczcionkaakapitu"/>
    <w:link w:val="REPORTTEXT"/>
    <w:uiPriority w:val="1"/>
    <w:rsid w:val="005E126D"/>
    <w:rPr>
      <w:rFonts w:ascii="Source Sans Pro Light" w:eastAsia="Source Sans Pro Light" w:hAnsi="Source Sans Pro Light" w:cs="Source Sans Pro Light"/>
      <w:color w:val="231F20"/>
      <w:spacing w:val="-2"/>
      <w:sz w:val="18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D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D99"/>
  </w:style>
  <w:style w:type="character" w:styleId="Odwoanieprzypisukocowego">
    <w:name w:val="endnote reference"/>
    <w:basedOn w:val="Domylnaczcionkaakapitu"/>
    <w:uiPriority w:val="99"/>
    <w:semiHidden/>
    <w:unhideWhenUsed/>
    <w:rsid w:val="00091D9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4AF7"/>
    <w:pPr>
      <w:spacing w:after="120"/>
    </w:pPr>
    <w:rPr>
      <w:rFonts w:eastAsiaTheme="minorHAnsi" w:cs="Calibri"/>
      <w:sz w:val="22"/>
      <w:szCs w:val="22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4AF7"/>
    <w:rPr>
      <w:rFonts w:eastAsiaTheme="minorHAnsi" w:cs="Calibri"/>
      <w:sz w:val="22"/>
      <w:szCs w:val="22"/>
      <w:lang w:val="pl-PL" w:eastAsia="pl-PL"/>
    </w:rPr>
  </w:style>
  <w:style w:type="paragraph" w:customStyle="1" w:styleId="xmsonormal">
    <w:name w:val="x_msonormal"/>
    <w:basedOn w:val="Normalny"/>
    <w:rsid w:val="005B0E5B"/>
    <w:rPr>
      <w:rFonts w:eastAsiaTheme="minorHAnsi" w:cs="Calibri"/>
      <w:sz w:val="22"/>
      <w:szCs w:val="22"/>
      <w:lang w:val="pl-PL" w:eastAsia="pl-PL"/>
    </w:rPr>
  </w:style>
  <w:style w:type="character" w:customStyle="1" w:styleId="xreporttextchar">
    <w:name w:val="x_reporttextchar"/>
    <w:basedOn w:val="Domylnaczcionkaakapitu"/>
    <w:rsid w:val="005B0E5B"/>
  </w:style>
  <w:style w:type="paragraph" w:styleId="NormalnyWeb">
    <w:name w:val="Normal (Web)"/>
    <w:basedOn w:val="Normalny"/>
    <w:uiPriority w:val="99"/>
    <w:semiHidden/>
    <w:unhideWhenUsed/>
    <w:rsid w:val="008B3752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paragraph" w:styleId="Poprawka">
    <w:name w:val="Revision"/>
    <w:hidden/>
    <w:uiPriority w:val="99"/>
    <w:semiHidden/>
    <w:rsid w:val="00847545"/>
    <w:rPr>
      <w:sz w:val="24"/>
      <w:szCs w:val="24"/>
    </w:rPr>
  </w:style>
  <w:style w:type="paragraph" w:customStyle="1" w:styleId="paragraph">
    <w:name w:val="paragraph"/>
    <w:basedOn w:val="Normalny"/>
    <w:rsid w:val="00F50B9C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podolak@eu.j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ll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arehousefinder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na.drzewiecka@linkleaders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gdalena.ossowska@linkleader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.bustos\AppData\Local\Temp\wz6bec\JLL-Global-News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8FD4AF5002B43A21702C2338CB095" ma:contentTypeVersion="13" ma:contentTypeDescription="Create a new document." ma:contentTypeScope="" ma:versionID="2a3fc2f2d5397e96ce74e7276619cb31">
  <xsd:schema xmlns:xsd="http://www.w3.org/2001/XMLSchema" xmlns:xs="http://www.w3.org/2001/XMLSchema" xmlns:p="http://schemas.microsoft.com/office/2006/metadata/properties" xmlns:ns3="c007fd3d-931a-4b53-a78d-9d1ad45c6c6d" xmlns:ns4="18a10087-571d-4794-850a-3a7377fcaf1b" targetNamespace="http://schemas.microsoft.com/office/2006/metadata/properties" ma:root="true" ma:fieldsID="5d40e90990ecb1dff88604a0cf4ab558" ns3:_="" ns4:_="">
    <xsd:import namespace="c007fd3d-931a-4b53-a78d-9d1ad45c6c6d"/>
    <xsd:import namespace="18a10087-571d-4794-850a-3a7377fcaf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7fd3d-931a-4b53-a78d-9d1ad45c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10087-571d-4794-850a-3a7377fca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26BB8-985A-426E-AE35-65561239F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FF295-F234-493C-B2C2-3954ACEEC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7fd3d-931a-4b53-a78d-9d1ad45c6c6d"/>
    <ds:schemaRef ds:uri="18a10087-571d-4794-850a-3a7377fca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AD822-FBA1-447C-A5A7-D6FFE9A6E1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E2881-82F3-40EB-9CA4-99ED2D0149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JLL-Global-NewsRelease.dotx</Template>
  <TotalTime>18</TotalTime>
  <Pages>2</Pages>
  <Words>957</Words>
  <Characters>5745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JLL</Company>
  <LinksUpToDate>false</LinksUpToDate>
  <CharactersWithSpaces>6689</CharactersWithSpaces>
  <SharedDoc>false</SharedDoc>
  <HLinks>
    <vt:vector size="12" baseType="variant">
      <vt:variant>
        <vt:i4>2097256</vt:i4>
      </vt:variant>
      <vt:variant>
        <vt:i4>3</vt:i4>
      </vt:variant>
      <vt:variant>
        <vt:i4>0</vt:i4>
      </vt:variant>
      <vt:variant>
        <vt:i4>5</vt:i4>
      </vt:variant>
      <vt:variant>
        <vt:lpwstr>mailto:Full.Name@ap.jll.com</vt:lpwstr>
      </vt:variant>
      <vt:variant>
        <vt:lpwstr/>
      </vt:variant>
      <vt:variant>
        <vt:i4>2293842</vt:i4>
      </vt:variant>
      <vt:variant>
        <vt:i4>0</vt:i4>
      </vt:variant>
      <vt:variant>
        <vt:i4>0</vt:i4>
      </vt:variant>
      <vt:variant>
        <vt:i4>5</vt:i4>
      </vt:variant>
      <vt:variant>
        <vt:lpwstr>http://www.jll.com/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Bustos</dc:creator>
  <cp:keywords/>
  <dc:description/>
  <cp:lastModifiedBy>Ania Drzewiecka</cp:lastModifiedBy>
  <cp:revision>5</cp:revision>
  <cp:lastPrinted>2018-05-14T08:45:00Z</cp:lastPrinted>
  <dcterms:created xsi:type="dcterms:W3CDTF">2021-12-03T11:03:00Z</dcterms:created>
  <dcterms:modified xsi:type="dcterms:W3CDTF">2021-12-03T11:44:00Z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0x0101005528FD4AF5002B43A21702C2338CB095</vt:lpwstr>
  </property>
</Properties>
</file>