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B4C9" w14:textId="77777777" w:rsidR="009A233D" w:rsidRDefault="009A233D" w:rsidP="009B622E">
      <w:pPr>
        <w:spacing w:before="240" w:after="240" w:line="276" w:lineRule="auto"/>
        <w:rPr>
          <w:rFonts w:eastAsia="Times New Roman" w:cs="Calibri"/>
          <w:b/>
          <w:bCs/>
          <w:color w:val="000000"/>
          <w:sz w:val="32"/>
          <w:szCs w:val="32"/>
          <w:lang w:eastAsia="pl-PL"/>
        </w:rPr>
        <w:sectPr w:rsidR="009A233D" w:rsidSect="00F15856">
          <w:headerReference w:type="even" r:id="rId7"/>
          <w:headerReference w:type="default" r:id="rId8"/>
          <w:headerReference w:type="first" r:id="rId9"/>
          <w:pgSz w:w="11906" w:h="16838"/>
          <w:pgMar w:top="993" w:right="1134" w:bottom="1701" w:left="1134" w:header="709" w:footer="709" w:gutter="0"/>
          <w:cols w:space="708"/>
          <w:titlePg/>
          <w:docGrid w:linePitch="360"/>
        </w:sectPr>
      </w:pPr>
      <w:bookmarkStart w:id="0" w:name="_Hlk73018783"/>
      <w:bookmarkStart w:id="1" w:name="_GoBack"/>
      <w:bookmarkEnd w:id="1"/>
      <w:r>
        <w:rPr>
          <w:rFonts w:eastAsia="Times New Roman" w:cs="Calibri"/>
          <w:b/>
          <w:noProof/>
          <w:color w:val="000000"/>
          <w:sz w:val="32"/>
          <w:szCs w:val="32"/>
          <w:lang w:val="en-US" w:eastAsia="pl-PL"/>
        </w:rPr>
        <w:drawing>
          <wp:inline distT="0" distB="0" distL="0" distR="0" wp14:anchorId="6D807E8B" wp14:editId="75839886">
            <wp:extent cx="6121400" cy="609600"/>
            <wp:effectExtent l="0" t="0" r="0" b="0"/>
            <wp:docPr id="1"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Logo PARP Grupa PF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0" cy="609600"/>
                    </a:xfrm>
                    <a:prstGeom prst="rect">
                      <a:avLst/>
                    </a:prstGeom>
                    <a:noFill/>
                    <a:ln>
                      <a:noFill/>
                    </a:ln>
                  </pic:spPr>
                </pic:pic>
              </a:graphicData>
            </a:graphic>
          </wp:inline>
        </w:drawing>
      </w:r>
    </w:p>
    <w:p w14:paraId="7A644447" w14:textId="77777777" w:rsidR="009A233D" w:rsidRPr="0058076F" w:rsidRDefault="009A233D" w:rsidP="009B622E">
      <w:pPr>
        <w:spacing w:after="0" w:line="276" w:lineRule="auto"/>
        <w:rPr>
          <w:rFonts w:cs="Calibri"/>
          <w:sz w:val="24"/>
          <w:szCs w:val="24"/>
        </w:rPr>
      </w:pPr>
    </w:p>
    <w:bookmarkEnd w:id="0"/>
    <w:p w14:paraId="739C6003" w14:textId="77777777" w:rsidR="009A233D" w:rsidRDefault="009A233D" w:rsidP="009B622E">
      <w:pPr>
        <w:spacing w:after="0" w:line="276" w:lineRule="auto"/>
        <w:rPr>
          <w:rFonts w:cs="Calibri"/>
          <w:sz w:val="24"/>
          <w:szCs w:val="24"/>
        </w:rPr>
      </w:pPr>
      <w:r>
        <w:rPr>
          <w:rFonts w:cs="Calibri"/>
          <w:sz w:val="24"/>
          <w:szCs w:val="24"/>
        </w:rPr>
        <w:t>Kontakt dla mediów:</w:t>
      </w:r>
    </w:p>
    <w:p w14:paraId="511C359F" w14:textId="2EFD080D" w:rsidR="009A233D" w:rsidRPr="00906693" w:rsidRDefault="00E14005" w:rsidP="009B622E">
      <w:pPr>
        <w:spacing w:after="0" w:line="276" w:lineRule="auto"/>
        <w:rPr>
          <w:rFonts w:eastAsia="Times New Roman" w:cs="Calibri"/>
          <w:b/>
          <w:bCs/>
          <w:color w:val="000000"/>
          <w:sz w:val="24"/>
          <w:szCs w:val="24"/>
          <w:lang w:eastAsia="pl-PL"/>
        </w:rPr>
      </w:pPr>
      <w:r>
        <w:rPr>
          <w:rFonts w:cs="Calibri"/>
          <w:sz w:val="24"/>
          <w:szCs w:val="24"/>
        </w:rPr>
        <w:t>Luiza Sosnowska</w:t>
      </w:r>
      <w:r w:rsidR="009A233D" w:rsidRPr="00906693">
        <w:rPr>
          <w:rFonts w:cs="Calibri"/>
          <w:sz w:val="24"/>
          <w:szCs w:val="24"/>
        </w:rPr>
        <w:t>, PARP</w:t>
      </w:r>
    </w:p>
    <w:p w14:paraId="4241E935" w14:textId="20E4E3FA" w:rsidR="009A233D" w:rsidRPr="00E14005" w:rsidRDefault="009A233D" w:rsidP="009B622E">
      <w:pPr>
        <w:spacing w:after="0" w:line="276" w:lineRule="auto"/>
        <w:rPr>
          <w:rFonts w:cs="Calibri"/>
          <w:sz w:val="24"/>
          <w:szCs w:val="24"/>
          <w:lang w:val="en-US"/>
        </w:rPr>
      </w:pPr>
      <w:r w:rsidRPr="00E14005">
        <w:rPr>
          <w:rFonts w:cs="Calibri"/>
          <w:sz w:val="24"/>
          <w:szCs w:val="24"/>
          <w:lang w:val="en-US"/>
        </w:rPr>
        <w:t xml:space="preserve">e-mail: </w:t>
      </w:r>
      <w:hyperlink r:id="rId11" w:history="1">
        <w:r w:rsidR="00E14005" w:rsidRPr="00E14005">
          <w:rPr>
            <w:rStyle w:val="Hipercze"/>
            <w:sz w:val="24"/>
            <w:szCs w:val="24"/>
            <w:lang w:val="en-US"/>
          </w:rPr>
          <w:t>luiza_sosnowska@parp.gov.pl</w:t>
        </w:r>
      </w:hyperlink>
      <w:r w:rsidR="00E14005" w:rsidRPr="00E14005">
        <w:rPr>
          <w:sz w:val="24"/>
          <w:szCs w:val="24"/>
          <w:lang w:val="en-US"/>
        </w:rPr>
        <w:t xml:space="preserve"> </w:t>
      </w:r>
    </w:p>
    <w:p w14:paraId="759C64ED" w14:textId="70FB0947" w:rsidR="009A233D" w:rsidRPr="00906693" w:rsidRDefault="009A233D" w:rsidP="009B622E">
      <w:pPr>
        <w:spacing w:after="0" w:line="276" w:lineRule="auto"/>
        <w:rPr>
          <w:rFonts w:cs="Calibri"/>
          <w:sz w:val="24"/>
          <w:szCs w:val="24"/>
        </w:rPr>
      </w:pPr>
      <w:r w:rsidRPr="00906693">
        <w:rPr>
          <w:rFonts w:cs="Calibri"/>
          <w:sz w:val="24"/>
          <w:szCs w:val="24"/>
        </w:rPr>
        <w:t xml:space="preserve">tel.: </w:t>
      </w:r>
      <w:r w:rsidR="00674E3A">
        <w:rPr>
          <w:rFonts w:cs="Calibri"/>
          <w:sz w:val="24"/>
          <w:szCs w:val="24"/>
        </w:rPr>
        <w:t>880 524 959</w:t>
      </w:r>
    </w:p>
    <w:p w14:paraId="0BD8CDAA" w14:textId="77777777" w:rsidR="009A233D" w:rsidRPr="00343AAD" w:rsidRDefault="009A233D" w:rsidP="009B622E">
      <w:pPr>
        <w:spacing w:after="0" w:line="276" w:lineRule="auto"/>
        <w:rPr>
          <w:rFonts w:cs="Calibri"/>
          <w:sz w:val="24"/>
          <w:szCs w:val="24"/>
        </w:rPr>
      </w:pPr>
    </w:p>
    <w:p w14:paraId="1756A616" w14:textId="77777777" w:rsidR="009A233D" w:rsidRPr="008614C9" w:rsidRDefault="009A233D" w:rsidP="009B622E">
      <w:pPr>
        <w:spacing w:after="0" w:line="276" w:lineRule="auto"/>
        <w:jc w:val="right"/>
        <w:rPr>
          <w:rFonts w:cs="Calibri"/>
          <w:sz w:val="24"/>
          <w:szCs w:val="24"/>
        </w:rPr>
      </w:pPr>
      <w:r w:rsidRPr="008614C9">
        <w:rPr>
          <w:rFonts w:cs="Calibri"/>
          <w:sz w:val="24"/>
          <w:szCs w:val="24"/>
        </w:rPr>
        <w:t>Informacja prasowa</w:t>
      </w:r>
    </w:p>
    <w:p w14:paraId="722E5DBA" w14:textId="1136A979" w:rsidR="009A233D" w:rsidRPr="008614C9" w:rsidRDefault="009A233D" w:rsidP="009B622E">
      <w:pPr>
        <w:spacing w:after="0" w:line="276" w:lineRule="auto"/>
        <w:jc w:val="right"/>
        <w:rPr>
          <w:rFonts w:cs="Calibri"/>
          <w:sz w:val="24"/>
          <w:szCs w:val="24"/>
        </w:rPr>
      </w:pPr>
      <w:r w:rsidRPr="008614C9">
        <w:rPr>
          <w:rFonts w:cs="Calibri"/>
          <w:sz w:val="24"/>
          <w:szCs w:val="24"/>
        </w:rPr>
        <w:t xml:space="preserve">Warszawa, </w:t>
      </w:r>
      <w:r w:rsidR="00E14005">
        <w:rPr>
          <w:rFonts w:cs="Calibri"/>
          <w:sz w:val="24"/>
          <w:szCs w:val="24"/>
        </w:rPr>
        <w:t>1</w:t>
      </w:r>
      <w:r w:rsidR="00EE7A07">
        <w:rPr>
          <w:rFonts w:cs="Calibri"/>
          <w:sz w:val="24"/>
          <w:szCs w:val="24"/>
        </w:rPr>
        <w:t>4</w:t>
      </w:r>
      <w:r w:rsidRPr="008614C9">
        <w:rPr>
          <w:rFonts w:cs="Calibri"/>
          <w:sz w:val="24"/>
          <w:szCs w:val="24"/>
        </w:rPr>
        <w:t>.</w:t>
      </w:r>
      <w:r w:rsidR="00343AAD">
        <w:rPr>
          <w:rFonts w:cs="Calibri"/>
          <w:sz w:val="24"/>
          <w:szCs w:val="24"/>
        </w:rPr>
        <w:t>1</w:t>
      </w:r>
      <w:r w:rsidR="009B622E">
        <w:rPr>
          <w:rFonts w:cs="Calibri"/>
          <w:sz w:val="24"/>
          <w:szCs w:val="24"/>
        </w:rPr>
        <w:t>2</w:t>
      </w:r>
      <w:r w:rsidRPr="008614C9">
        <w:rPr>
          <w:rFonts w:cs="Calibri"/>
          <w:sz w:val="24"/>
          <w:szCs w:val="24"/>
        </w:rPr>
        <w:t>.2021 r.</w:t>
      </w:r>
    </w:p>
    <w:p w14:paraId="77CE8A33" w14:textId="77777777" w:rsidR="009A233D" w:rsidRPr="008614C9" w:rsidRDefault="009A233D" w:rsidP="009B622E">
      <w:pPr>
        <w:spacing w:line="276" w:lineRule="auto"/>
        <w:rPr>
          <w:rFonts w:cs="Calibri"/>
          <w:sz w:val="18"/>
          <w:szCs w:val="18"/>
        </w:rPr>
      </w:pPr>
    </w:p>
    <w:p w14:paraId="4998BA71" w14:textId="77777777" w:rsidR="009A233D" w:rsidRDefault="009A233D" w:rsidP="009B622E">
      <w:pPr>
        <w:spacing w:line="276" w:lineRule="auto"/>
        <w:rPr>
          <w:b/>
          <w:sz w:val="34"/>
          <w:szCs w:val="34"/>
        </w:rPr>
        <w:sectPr w:rsidR="009A233D" w:rsidSect="00EE5BCB">
          <w:type w:val="continuous"/>
          <w:pgSz w:w="11906" w:h="16838"/>
          <w:pgMar w:top="1701" w:right="1134" w:bottom="1701" w:left="1134" w:header="709" w:footer="709" w:gutter="0"/>
          <w:cols w:num="2" w:space="708"/>
          <w:docGrid w:linePitch="360"/>
        </w:sectPr>
      </w:pPr>
    </w:p>
    <w:p w14:paraId="03355AE5" w14:textId="77777777" w:rsidR="009A233D" w:rsidRDefault="009A233D" w:rsidP="009B622E">
      <w:pPr>
        <w:pStyle w:val="NormalnyWeb"/>
        <w:shd w:val="clear" w:color="auto" w:fill="FFFFFF"/>
        <w:spacing w:before="0" w:beforeAutospacing="0" w:after="360" w:afterAutospacing="0" w:line="276" w:lineRule="auto"/>
        <w:rPr>
          <w:rFonts w:ascii="Calibri" w:hAnsi="Calibri" w:cs="Calibri"/>
          <w:color w:val="000000"/>
        </w:rPr>
      </w:pPr>
    </w:p>
    <w:p w14:paraId="1A19D2C2" w14:textId="484FABCC" w:rsidR="009B622E" w:rsidRPr="009B622E" w:rsidRDefault="009B622E" w:rsidP="009B622E">
      <w:pPr>
        <w:pStyle w:val="Nagwek1"/>
        <w:spacing w:after="240" w:line="276" w:lineRule="auto"/>
        <w:jc w:val="center"/>
        <w:rPr>
          <w:b/>
          <w:bCs/>
          <w:color w:val="000000" w:themeColor="text1"/>
        </w:rPr>
      </w:pPr>
      <w:r w:rsidRPr="009B622E">
        <w:rPr>
          <w:b/>
          <w:bCs/>
          <w:color w:val="000000" w:themeColor="text1"/>
        </w:rPr>
        <w:t>J</w:t>
      </w:r>
      <w:r w:rsidR="00E50A0C">
        <w:rPr>
          <w:b/>
          <w:bCs/>
          <w:color w:val="000000" w:themeColor="text1"/>
        </w:rPr>
        <w:t>est już</w:t>
      </w:r>
      <w:r w:rsidRPr="009B622E">
        <w:rPr>
          <w:b/>
          <w:bCs/>
          <w:color w:val="000000" w:themeColor="text1"/>
        </w:rPr>
        <w:t xml:space="preserve"> dostępna publikacja przedstawiająca projekty zrealizowane z Funduszy Europejskich</w:t>
      </w:r>
    </w:p>
    <w:p w14:paraId="59293090" w14:textId="5C9E077C" w:rsidR="009B622E" w:rsidRDefault="009B622E" w:rsidP="009B622E">
      <w:pPr>
        <w:spacing w:line="276" w:lineRule="auto"/>
        <w:rPr>
          <w:rFonts w:asciiTheme="majorHAnsi" w:hAnsiTheme="majorHAnsi" w:cs="Calibri"/>
          <w:b/>
          <w:bCs/>
          <w:sz w:val="24"/>
          <w:szCs w:val="24"/>
        </w:rPr>
      </w:pPr>
      <w:r w:rsidRPr="009B622E">
        <w:rPr>
          <w:rFonts w:asciiTheme="majorHAnsi" w:hAnsiTheme="majorHAnsi" w:cs="Calibri"/>
          <w:b/>
          <w:bCs/>
          <w:sz w:val="24"/>
          <w:szCs w:val="24"/>
        </w:rPr>
        <w:t xml:space="preserve">Polska Agencja Rozwoju Przedsiębiorczości (PARP) prezentuje publikację „Oglądamy wielkie zmiany. Projekty zrealizowane dzięki Funduszom Europejskim” współfinansowaną z środków Europejskiego Funduszu Rozwoju Regionalnego (EFRR) i Europejskiego Funduszu Społecznego (EFS). </w:t>
      </w:r>
      <w:r w:rsidR="00CC519E">
        <w:rPr>
          <w:rFonts w:asciiTheme="majorHAnsi" w:hAnsiTheme="majorHAnsi" w:cs="Calibri"/>
          <w:b/>
          <w:bCs/>
          <w:sz w:val="24"/>
          <w:szCs w:val="24"/>
        </w:rPr>
        <w:t>P</w:t>
      </w:r>
      <w:r w:rsidRPr="009B622E">
        <w:rPr>
          <w:rFonts w:asciiTheme="majorHAnsi" w:hAnsiTheme="majorHAnsi" w:cs="Calibri"/>
          <w:b/>
          <w:bCs/>
          <w:sz w:val="24"/>
          <w:szCs w:val="24"/>
        </w:rPr>
        <w:t>rzedstawia</w:t>
      </w:r>
      <w:r w:rsidR="00CC519E">
        <w:rPr>
          <w:rFonts w:asciiTheme="majorHAnsi" w:hAnsiTheme="majorHAnsi" w:cs="Calibri"/>
          <w:b/>
          <w:bCs/>
          <w:sz w:val="24"/>
          <w:szCs w:val="24"/>
        </w:rPr>
        <w:t xml:space="preserve"> ona</w:t>
      </w:r>
      <w:r w:rsidRPr="009B622E">
        <w:rPr>
          <w:rFonts w:asciiTheme="majorHAnsi" w:hAnsiTheme="majorHAnsi" w:cs="Calibri"/>
          <w:b/>
          <w:bCs/>
          <w:sz w:val="24"/>
          <w:szCs w:val="24"/>
        </w:rPr>
        <w:t xml:space="preserve"> inicjatywy, które zostały sfinansowane w latach 2014-2020</w:t>
      </w:r>
      <w:r w:rsidR="00F858FD">
        <w:rPr>
          <w:rFonts w:asciiTheme="majorHAnsi" w:hAnsiTheme="majorHAnsi" w:cs="Calibri"/>
          <w:b/>
          <w:bCs/>
          <w:sz w:val="24"/>
          <w:szCs w:val="24"/>
        </w:rPr>
        <w:t>.</w:t>
      </w:r>
      <w:r w:rsidR="00BE1BBB">
        <w:rPr>
          <w:rFonts w:asciiTheme="majorHAnsi" w:hAnsiTheme="majorHAnsi" w:cs="Calibri"/>
          <w:b/>
          <w:bCs/>
          <w:sz w:val="24"/>
          <w:szCs w:val="24"/>
        </w:rPr>
        <w:t xml:space="preserve"> Ponadto projekty realizowane dzięki środkom unijnym można zobaczyć na stronie „Przewodnik po sukcesach polskich firm”.</w:t>
      </w:r>
    </w:p>
    <w:p w14:paraId="3B76825A" w14:textId="77777777" w:rsidR="00114FBE" w:rsidRPr="00114FBE" w:rsidRDefault="009B622E" w:rsidP="004D6BB1">
      <w:pPr>
        <w:pStyle w:val="NormalnyWeb"/>
        <w:spacing w:before="0" w:beforeAutospacing="0" w:after="160" w:afterAutospacing="0" w:line="276" w:lineRule="auto"/>
        <w:rPr>
          <w:rFonts w:ascii="Calibri" w:eastAsiaTheme="minorHAnsi" w:hAnsi="Calibri" w:cs="Calibri"/>
          <w:sz w:val="22"/>
          <w:szCs w:val="22"/>
        </w:rPr>
      </w:pPr>
      <w:r w:rsidRPr="009B622E">
        <w:rPr>
          <w:rFonts w:asciiTheme="majorHAnsi" w:hAnsiTheme="majorHAnsi" w:cs="Calibri"/>
        </w:rPr>
        <w:t xml:space="preserve">– </w:t>
      </w:r>
      <w:r w:rsidR="00114FBE" w:rsidRPr="00114FBE">
        <w:rPr>
          <w:rFonts w:ascii="Calibri" w:hAnsi="Calibri" w:cs="Calibri"/>
        </w:rPr>
        <w:t xml:space="preserve">„Oglądamy wielkie zmiany. Projekty zrealizowane dzięki Funduszom Europejskim” opisuje inspirujące inwestycje dofinansowane z Funduszy Europejskich. W zestawieniu znajduje się tylko część inicjatyw, jednak pokazują one korzyści dla Polski z członkostwa w Unii Europejskiej – ocenia </w:t>
      </w:r>
      <w:r w:rsidR="00114FBE" w:rsidRPr="00114FBE">
        <w:rPr>
          <w:rFonts w:ascii="Calibri" w:hAnsi="Calibri" w:cs="Calibri"/>
          <w:b/>
          <w:bCs/>
        </w:rPr>
        <w:t>Małgorzata Jarosińska-Jedynak</w:t>
      </w:r>
      <w:r w:rsidR="00114FBE" w:rsidRPr="00114FBE">
        <w:rPr>
          <w:rFonts w:ascii="Calibri" w:hAnsi="Calibri" w:cs="Calibri"/>
        </w:rPr>
        <w:t>, sekretarz stanu w Ministerstwie Funduszy i Polityki Regionalnej.</w:t>
      </w:r>
    </w:p>
    <w:p w14:paraId="369C664E" w14:textId="135202C7" w:rsidR="009B622E" w:rsidRPr="009B622E" w:rsidRDefault="009B622E" w:rsidP="00114FBE">
      <w:pPr>
        <w:spacing w:line="276" w:lineRule="auto"/>
        <w:rPr>
          <w:rFonts w:asciiTheme="majorHAnsi" w:hAnsiTheme="majorHAnsi" w:cs="Calibri"/>
          <w:sz w:val="24"/>
          <w:szCs w:val="24"/>
        </w:rPr>
      </w:pPr>
      <w:r w:rsidRPr="009B622E">
        <w:rPr>
          <w:rFonts w:asciiTheme="majorHAnsi" w:hAnsiTheme="majorHAnsi" w:cs="Calibri"/>
          <w:sz w:val="24"/>
          <w:szCs w:val="24"/>
        </w:rPr>
        <w:t>Fundusze Europejskie oraz wy</w:t>
      </w:r>
      <w:r>
        <w:rPr>
          <w:rFonts w:asciiTheme="majorHAnsi" w:hAnsiTheme="majorHAnsi" w:cs="Calibri"/>
          <w:sz w:val="24"/>
          <w:szCs w:val="24"/>
        </w:rPr>
        <w:t>m</w:t>
      </w:r>
      <w:r w:rsidRPr="009B622E">
        <w:rPr>
          <w:rFonts w:asciiTheme="majorHAnsi" w:hAnsiTheme="majorHAnsi" w:cs="Calibri"/>
          <w:sz w:val="24"/>
          <w:szCs w:val="24"/>
        </w:rPr>
        <w:t>iana wiedzy z międzynarodowymi ośrodkami badawczymi i instytucjami przyczyniły się do rozwoju naszego kraju na wielu płaszczyznach. Skorzystała m.in. infrastruktura drogowa, przestrzeń publiczna, szkolnictwo oraz opieka medyczna. UE skupiła się również na wyrównywaniu różnic. Celem projektów było dążenie do stanu,</w:t>
      </w:r>
      <w:r>
        <w:rPr>
          <w:rFonts w:asciiTheme="majorHAnsi" w:hAnsiTheme="majorHAnsi" w:cs="Calibri"/>
          <w:sz w:val="24"/>
          <w:szCs w:val="24"/>
        </w:rPr>
        <w:t xml:space="preserve"> </w:t>
      </w:r>
      <w:r w:rsidRPr="009B622E">
        <w:rPr>
          <w:rFonts w:asciiTheme="majorHAnsi" w:hAnsiTheme="majorHAnsi" w:cs="Calibri"/>
          <w:sz w:val="24"/>
          <w:szCs w:val="24"/>
        </w:rPr>
        <w:t xml:space="preserve">w którym możliwie każdy Europejczyk i każdy region </w:t>
      </w:r>
      <w:r w:rsidR="00F858FD">
        <w:rPr>
          <w:rFonts w:asciiTheme="majorHAnsi" w:hAnsiTheme="majorHAnsi" w:cs="Calibri"/>
          <w:sz w:val="24"/>
          <w:szCs w:val="24"/>
        </w:rPr>
        <w:t>będą miały</w:t>
      </w:r>
      <w:r w:rsidRPr="009B622E">
        <w:rPr>
          <w:rFonts w:asciiTheme="majorHAnsi" w:hAnsiTheme="majorHAnsi" w:cs="Calibri"/>
          <w:sz w:val="24"/>
          <w:szCs w:val="24"/>
        </w:rPr>
        <w:t xml:space="preserve"> podobne i uczciwe szanse</w:t>
      </w:r>
      <w:r>
        <w:rPr>
          <w:rFonts w:asciiTheme="majorHAnsi" w:hAnsiTheme="majorHAnsi" w:cs="Calibri"/>
          <w:sz w:val="24"/>
          <w:szCs w:val="24"/>
        </w:rPr>
        <w:t xml:space="preserve"> </w:t>
      </w:r>
      <w:r w:rsidRPr="009B622E">
        <w:rPr>
          <w:rFonts w:asciiTheme="majorHAnsi" w:hAnsiTheme="majorHAnsi" w:cs="Calibri"/>
          <w:sz w:val="24"/>
          <w:szCs w:val="24"/>
        </w:rPr>
        <w:t>rozwoju.</w:t>
      </w:r>
    </w:p>
    <w:p w14:paraId="06356ED2" w14:textId="02A81C46" w:rsidR="009B622E" w:rsidRPr="009B622E" w:rsidRDefault="009B622E" w:rsidP="009B622E">
      <w:pPr>
        <w:spacing w:line="276" w:lineRule="auto"/>
        <w:rPr>
          <w:rFonts w:asciiTheme="majorHAnsi" w:hAnsiTheme="majorHAnsi" w:cs="Calibri"/>
          <w:sz w:val="24"/>
          <w:szCs w:val="24"/>
        </w:rPr>
      </w:pPr>
      <w:r w:rsidRPr="009B622E">
        <w:rPr>
          <w:rFonts w:asciiTheme="majorHAnsi" w:hAnsiTheme="majorHAnsi" w:cs="Calibri"/>
          <w:sz w:val="24"/>
          <w:szCs w:val="24"/>
        </w:rPr>
        <w:t xml:space="preserve">Publikacja przybliża projekty zrealizowane dzięki wsparciu w ramach Programów Polska Wschodnia, Inteligentny Rozwój oraz Wiedza Edukacja Rozwój. Inicjatywy są zaprezentowane w </w:t>
      </w:r>
      <w:r w:rsidR="00F858FD">
        <w:rPr>
          <w:rFonts w:asciiTheme="majorHAnsi" w:hAnsiTheme="majorHAnsi" w:cs="Calibri"/>
          <w:sz w:val="24"/>
          <w:szCs w:val="24"/>
        </w:rPr>
        <w:t>siedmiu</w:t>
      </w:r>
      <w:r w:rsidRPr="009B622E">
        <w:rPr>
          <w:rFonts w:asciiTheme="majorHAnsi" w:hAnsiTheme="majorHAnsi" w:cs="Calibri"/>
          <w:sz w:val="24"/>
          <w:szCs w:val="24"/>
        </w:rPr>
        <w:t xml:space="preserve"> obszarach tematycznych: infrastruktura, design, rozwój kompetencji, eksport, innowacje, startupy oraz cyfryzacja.</w:t>
      </w:r>
    </w:p>
    <w:p w14:paraId="4AE92A02" w14:textId="77777777" w:rsidR="009B622E" w:rsidRPr="009B622E" w:rsidRDefault="009B622E" w:rsidP="009B622E">
      <w:pPr>
        <w:pStyle w:val="Nagwek2"/>
        <w:spacing w:line="276" w:lineRule="auto"/>
        <w:rPr>
          <w:b/>
          <w:bCs/>
          <w:color w:val="000000" w:themeColor="text1"/>
          <w:sz w:val="28"/>
          <w:szCs w:val="28"/>
        </w:rPr>
      </w:pPr>
      <w:r w:rsidRPr="009B622E">
        <w:rPr>
          <w:b/>
          <w:bCs/>
          <w:color w:val="000000" w:themeColor="text1"/>
          <w:sz w:val="28"/>
          <w:szCs w:val="28"/>
        </w:rPr>
        <w:t>Infrastruktura</w:t>
      </w:r>
    </w:p>
    <w:p w14:paraId="2C4B43BD" w14:textId="747B2CE6" w:rsidR="009B622E" w:rsidRPr="009B622E" w:rsidRDefault="009B622E" w:rsidP="009B622E">
      <w:pPr>
        <w:spacing w:line="276" w:lineRule="auto"/>
        <w:rPr>
          <w:rFonts w:asciiTheme="majorHAnsi" w:hAnsiTheme="majorHAnsi" w:cs="Calibri"/>
          <w:sz w:val="24"/>
          <w:szCs w:val="24"/>
        </w:rPr>
      </w:pPr>
      <w:r w:rsidRPr="009B622E">
        <w:rPr>
          <w:rFonts w:asciiTheme="majorHAnsi" w:hAnsiTheme="majorHAnsi" w:cs="Calibri"/>
          <w:sz w:val="24"/>
          <w:szCs w:val="24"/>
        </w:rPr>
        <w:t xml:space="preserve">Zmiany, które dokonały się w obszarze infrastruktury od momentu wstąpienia Polski do UE są ogromne. Długość autostrad wzrosła trzykrotnie, a dróg krajowych – trzynastokrotnie. Dodatkowo wiele istniejących jezdni zyskało nowe nawierzchnie, dodatkowe pasy ruchu oraz bezpieczniejsze skrzyżowania i przejścia dla pieszych. Wsparciem infrastruktury zostały objęte 42 projekty. Łączna </w:t>
      </w:r>
      <w:r w:rsidRPr="009B622E">
        <w:rPr>
          <w:rFonts w:asciiTheme="majorHAnsi" w:hAnsiTheme="majorHAnsi" w:cs="Calibri"/>
          <w:sz w:val="24"/>
          <w:szCs w:val="24"/>
        </w:rPr>
        <w:lastRenderedPageBreak/>
        <w:t>wartość dofinansowania to niemal 4 mld. zł. Beneficjentami wsparcia był</w:t>
      </w:r>
      <w:r w:rsidR="00F858FD">
        <w:rPr>
          <w:rFonts w:asciiTheme="majorHAnsi" w:hAnsiTheme="majorHAnsi" w:cs="Calibri"/>
          <w:sz w:val="24"/>
          <w:szCs w:val="24"/>
        </w:rPr>
        <w:t>o</w:t>
      </w:r>
      <w:r w:rsidRPr="009B622E">
        <w:rPr>
          <w:rFonts w:asciiTheme="majorHAnsi" w:hAnsiTheme="majorHAnsi" w:cs="Calibri"/>
          <w:sz w:val="24"/>
          <w:szCs w:val="24"/>
        </w:rPr>
        <w:t xml:space="preserve"> m.in. miasto Białystok oraz gminy: Kielce, Lublin, Olsztyn oraz Rzeszów.</w:t>
      </w:r>
    </w:p>
    <w:p w14:paraId="5E727ACE" w14:textId="77777777" w:rsidR="009B622E" w:rsidRPr="009B622E" w:rsidRDefault="009B622E" w:rsidP="009B622E">
      <w:pPr>
        <w:pStyle w:val="Nagwek2"/>
        <w:spacing w:line="276" w:lineRule="auto"/>
        <w:rPr>
          <w:b/>
          <w:bCs/>
          <w:color w:val="000000" w:themeColor="text1"/>
          <w:sz w:val="28"/>
          <w:szCs w:val="28"/>
        </w:rPr>
      </w:pPr>
      <w:r w:rsidRPr="009B622E">
        <w:rPr>
          <w:b/>
          <w:bCs/>
          <w:color w:val="000000" w:themeColor="text1"/>
          <w:sz w:val="28"/>
          <w:szCs w:val="28"/>
        </w:rPr>
        <w:t>Design</w:t>
      </w:r>
    </w:p>
    <w:p w14:paraId="2D6B510F" w14:textId="02C295DE" w:rsidR="009B622E" w:rsidRPr="009B622E" w:rsidRDefault="009B622E" w:rsidP="009B622E">
      <w:pPr>
        <w:spacing w:line="276" w:lineRule="auto"/>
        <w:rPr>
          <w:rFonts w:asciiTheme="majorHAnsi" w:hAnsiTheme="majorHAnsi" w:cs="Calibri"/>
          <w:sz w:val="24"/>
          <w:szCs w:val="24"/>
        </w:rPr>
      </w:pPr>
      <w:r w:rsidRPr="009B622E">
        <w:rPr>
          <w:rFonts w:asciiTheme="majorHAnsi" w:hAnsiTheme="majorHAnsi" w:cs="Calibri"/>
          <w:sz w:val="24"/>
          <w:szCs w:val="24"/>
        </w:rPr>
        <w:t>Polskie wzornictwo ma wiele do zaoferowania. Nasi rodzimi twórcy nie tylko podążają za aktualnymi trendami, ale bardzo często sami je tworzą. Nie każdy ma jednak odpowiednie warunki do wprowadzania w życie nowatorskich pomysłów. Dzięki wsparciu Funduszy Unijnych aż 1275 projektów otrzymało dofinansowanie na swoje inicjatywy. Wiele z nich zostało nagrodzonych w konkursach branżowych. Beneficjantami byli m.in. marka odzieżowa MOON, któr</w:t>
      </w:r>
      <w:r w:rsidR="00F858FD">
        <w:rPr>
          <w:rFonts w:asciiTheme="majorHAnsi" w:hAnsiTheme="majorHAnsi" w:cs="Calibri"/>
          <w:sz w:val="24"/>
          <w:szCs w:val="24"/>
        </w:rPr>
        <w:t>a</w:t>
      </w:r>
      <w:r w:rsidRPr="009B622E">
        <w:rPr>
          <w:rFonts w:asciiTheme="majorHAnsi" w:hAnsiTheme="majorHAnsi" w:cs="Calibri"/>
          <w:sz w:val="24"/>
          <w:szCs w:val="24"/>
        </w:rPr>
        <w:t xml:space="preserve"> obecnie jest dostępna w 20 krajach na całym świecie oraz firma CAL</w:t>
      </w:r>
      <w:r w:rsidR="001D2CA0">
        <w:rPr>
          <w:rFonts w:asciiTheme="majorHAnsi" w:hAnsiTheme="majorHAnsi" w:cs="Calibri"/>
          <w:sz w:val="24"/>
          <w:szCs w:val="24"/>
        </w:rPr>
        <w:t>T</w:t>
      </w:r>
      <w:r w:rsidRPr="009B622E">
        <w:rPr>
          <w:rFonts w:asciiTheme="majorHAnsi" w:hAnsiTheme="majorHAnsi" w:cs="Calibri"/>
          <w:sz w:val="24"/>
          <w:szCs w:val="24"/>
        </w:rPr>
        <w:t xml:space="preserve">I </w:t>
      </w:r>
      <w:r w:rsidR="00CC519E">
        <w:rPr>
          <w:rFonts w:asciiTheme="majorHAnsi" w:hAnsiTheme="majorHAnsi" w:cs="Calibri"/>
          <w:sz w:val="24"/>
          <w:szCs w:val="24"/>
        </w:rPr>
        <w:t xml:space="preserve">- </w:t>
      </w:r>
      <w:r w:rsidRPr="009B622E">
        <w:rPr>
          <w:rFonts w:asciiTheme="majorHAnsi" w:hAnsiTheme="majorHAnsi" w:cs="Calibri"/>
          <w:sz w:val="24"/>
          <w:szCs w:val="24"/>
        </w:rPr>
        <w:t>wypełni</w:t>
      </w:r>
      <w:r w:rsidR="00CC519E">
        <w:rPr>
          <w:rFonts w:asciiTheme="majorHAnsi" w:hAnsiTheme="majorHAnsi" w:cs="Calibri"/>
          <w:sz w:val="24"/>
          <w:szCs w:val="24"/>
        </w:rPr>
        <w:t>ająca</w:t>
      </w:r>
      <w:r w:rsidRPr="009B622E">
        <w:rPr>
          <w:rFonts w:asciiTheme="majorHAnsi" w:hAnsiTheme="majorHAnsi" w:cs="Calibri"/>
          <w:sz w:val="24"/>
          <w:szCs w:val="24"/>
        </w:rPr>
        <w:t xml:space="preserve"> lukę na rynku związaną z wyposażeniem dla dzieci z niepełnosprawnościami.</w:t>
      </w:r>
    </w:p>
    <w:p w14:paraId="09117595" w14:textId="5BD603DD" w:rsidR="009B622E" w:rsidRPr="009B622E" w:rsidRDefault="009B622E" w:rsidP="009B622E">
      <w:pPr>
        <w:pStyle w:val="Nagwek2"/>
        <w:spacing w:line="276" w:lineRule="auto"/>
        <w:rPr>
          <w:b/>
          <w:bCs/>
          <w:color w:val="000000" w:themeColor="text1"/>
          <w:sz w:val="28"/>
          <w:szCs w:val="28"/>
        </w:rPr>
      </w:pPr>
      <w:r w:rsidRPr="009B622E">
        <w:rPr>
          <w:b/>
          <w:bCs/>
          <w:color w:val="000000" w:themeColor="text1"/>
          <w:sz w:val="28"/>
          <w:szCs w:val="28"/>
        </w:rPr>
        <w:t>Rozwój Kompetencji</w:t>
      </w:r>
    </w:p>
    <w:p w14:paraId="789B615B" w14:textId="3C5F1F9C" w:rsidR="009B622E" w:rsidRPr="009B622E" w:rsidRDefault="009B622E" w:rsidP="009B622E">
      <w:pPr>
        <w:spacing w:line="276" w:lineRule="auto"/>
        <w:rPr>
          <w:rFonts w:asciiTheme="majorHAnsi" w:hAnsiTheme="majorHAnsi" w:cs="Calibri"/>
          <w:sz w:val="24"/>
          <w:szCs w:val="24"/>
        </w:rPr>
      </w:pPr>
      <w:r w:rsidRPr="009B622E">
        <w:rPr>
          <w:rFonts w:asciiTheme="majorHAnsi" w:hAnsiTheme="majorHAnsi" w:cs="Calibri"/>
          <w:sz w:val="24"/>
          <w:szCs w:val="24"/>
        </w:rPr>
        <w:t>Światowa gospodarka rozwija się w bardzo szybkim tempie. Zmiany wymagają wdrożenia i dostosowania, a to rodzi potrzebę poszerzania wiedzy. Fundusze Europejskie wspierają przedsiębiorców w rozwoju kompetencji pracowników. Pomoc skupia się głównie na mikro, małych i średnich firmach, dla których zakup usług doradczych często jest barierą rozwojową. Spektrum pomocy jest bardzo szerokie, dotyczy m.in. transferu pokoleniowego biznesu, różnorodnych szkoleń podnoszących umiejętności czy kreowania ścieżki rozwoju. Wsparcie unijne otrzymali m.in. Ośrodek Doradztwa i Treningu Kierowniczego, PM Doradztwo Gospodarcze oraz Polska Izba Turystki.</w:t>
      </w:r>
    </w:p>
    <w:p w14:paraId="7BF2CDFA" w14:textId="77777777" w:rsidR="009B622E" w:rsidRPr="009B622E" w:rsidRDefault="009B622E" w:rsidP="009B622E">
      <w:pPr>
        <w:pStyle w:val="Nagwek2"/>
        <w:spacing w:line="276" w:lineRule="auto"/>
        <w:rPr>
          <w:b/>
          <w:bCs/>
          <w:color w:val="000000" w:themeColor="text1"/>
          <w:sz w:val="28"/>
          <w:szCs w:val="28"/>
        </w:rPr>
      </w:pPr>
      <w:r w:rsidRPr="009B622E">
        <w:rPr>
          <w:b/>
          <w:bCs/>
          <w:color w:val="000000" w:themeColor="text1"/>
          <w:sz w:val="28"/>
          <w:szCs w:val="28"/>
        </w:rPr>
        <w:t>Eksport</w:t>
      </w:r>
    </w:p>
    <w:p w14:paraId="7CFB0B1A" w14:textId="59F912FF" w:rsidR="009B622E" w:rsidRPr="009B622E" w:rsidRDefault="009B622E" w:rsidP="009B622E">
      <w:pPr>
        <w:spacing w:line="276" w:lineRule="auto"/>
        <w:rPr>
          <w:rFonts w:asciiTheme="majorHAnsi" w:hAnsiTheme="majorHAnsi" w:cs="Calibri"/>
          <w:sz w:val="24"/>
          <w:szCs w:val="24"/>
        </w:rPr>
      </w:pPr>
      <w:r w:rsidRPr="009B622E">
        <w:rPr>
          <w:rFonts w:asciiTheme="majorHAnsi" w:hAnsiTheme="majorHAnsi" w:cs="Calibri"/>
          <w:sz w:val="24"/>
          <w:szCs w:val="24"/>
        </w:rPr>
        <w:t xml:space="preserve">Dzięki przystąpieniu do UE, Polska może korzystać z przywilejów unii celnej w ramach Jednolitego Rynku Europejskiego. Fundusze Europejskie wpierają inicjatywy związane z ekspansją międzynarodową, a polskie firmy coraz chętniej wychodzą ze swoimi produktami poza granice kraju. Przedsiębiorcy otrzymują dofinansowanie na takie działania jak przygotowanie strategii rozwoju czy doradztwo. Z pomocy skorzystały m.in. firma </w:t>
      </w:r>
      <w:proofErr w:type="spellStart"/>
      <w:r w:rsidRPr="009B622E">
        <w:rPr>
          <w:rFonts w:asciiTheme="majorHAnsi" w:hAnsiTheme="majorHAnsi" w:cs="Calibri"/>
          <w:sz w:val="24"/>
          <w:szCs w:val="24"/>
        </w:rPr>
        <w:t>Bendex</w:t>
      </w:r>
      <w:proofErr w:type="spellEnd"/>
      <w:r w:rsidRPr="009B622E">
        <w:rPr>
          <w:rFonts w:asciiTheme="majorHAnsi" w:hAnsiTheme="majorHAnsi" w:cs="Calibri"/>
          <w:sz w:val="24"/>
          <w:szCs w:val="24"/>
        </w:rPr>
        <w:t xml:space="preserve">, </w:t>
      </w:r>
      <w:proofErr w:type="spellStart"/>
      <w:r w:rsidRPr="009B622E">
        <w:rPr>
          <w:rFonts w:asciiTheme="majorHAnsi" w:hAnsiTheme="majorHAnsi" w:cs="Calibri"/>
          <w:sz w:val="24"/>
          <w:szCs w:val="24"/>
        </w:rPr>
        <w:t>Prodromus</w:t>
      </w:r>
      <w:proofErr w:type="spellEnd"/>
      <w:r w:rsidRPr="009B622E">
        <w:rPr>
          <w:rFonts w:asciiTheme="majorHAnsi" w:hAnsiTheme="majorHAnsi" w:cs="Calibri"/>
          <w:sz w:val="24"/>
          <w:szCs w:val="24"/>
        </w:rPr>
        <w:t xml:space="preserve"> oraz Stara Mydlarnia.</w:t>
      </w:r>
    </w:p>
    <w:p w14:paraId="45E5CD32" w14:textId="08C76FE5" w:rsidR="009B622E" w:rsidRPr="009B622E" w:rsidRDefault="009B622E" w:rsidP="009B622E">
      <w:pPr>
        <w:pStyle w:val="Nagwek2"/>
        <w:spacing w:line="276" w:lineRule="auto"/>
        <w:rPr>
          <w:b/>
          <w:bCs/>
          <w:color w:val="000000" w:themeColor="text1"/>
          <w:sz w:val="28"/>
          <w:szCs w:val="28"/>
        </w:rPr>
      </w:pPr>
      <w:r w:rsidRPr="009B622E">
        <w:rPr>
          <w:b/>
          <w:bCs/>
          <w:color w:val="000000" w:themeColor="text1"/>
          <w:sz w:val="28"/>
          <w:szCs w:val="28"/>
        </w:rPr>
        <w:t>Innowacje</w:t>
      </w:r>
    </w:p>
    <w:p w14:paraId="72EBE92C" w14:textId="33CB751B" w:rsidR="009B622E" w:rsidRPr="009B622E" w:rsidRDefault="009B622E" w:rsidP="009B622E">
      <w:pPr>
        <w:spacing w:line="276" w:lineRule="auto"/>
        <w:rPr>
          <w:rFonts w:asciiTheme="majorHAnsi" w:hAnsiTheme="majorHAnsi" w:cs="Calibri"/>
          <w:sz w:val="24"/>
          <w:szCs w:val="24"/>
        </w:rPr>
      </w:pPr>
      <w:r w:rsidRPr="009B622E">
        <w:rPr>
          <w:rFonts w:asciiTheme="majorHAnsi" w:hAnsiTheme="majorHAnsi" w:cs="Calibri"/>
          <w:sz w:val="24"/>
          <w:szCs w:val="24"/>
        </w:rPr>
        <w:t xml:space="preserve">Coraz ważniejsze dla </w:t>
      </w:r>
      <w:r w:rsidR="00F858FD">
        <w:rPr>
          <w:rFonts w:asciiTheme="majorHAnsi" w:hAnsiTheme="majorHAnsi" w:cs="Calibri"/>
          <w:sz w:val="24"/>
          <w:szCs w:val="24"/>
        </w:rPr>
        <w:t>ludzi</w:t>
      </w:r>
      <w:r w:rsidRPr="009B622E">
        <w:rPr>
          <w:rFonts w:asciiTheme="majorHAnsi" w:hAnsiTheme="majorHAnsi" w:cs="Calibri"/>
          <w:sz w:val="24"/>
          <w:szCs w:val="24"/>
        </w:rPr>
        <w:t xml:space="preserve"> staje się zwracanie uwagi na ochronę środowiska. Pomoc UE sprzyja tworzeniu nowoczesnych produktów i technologii, które w</w:t>
      </w:r>
      <w:r w:rsidR="00F858FD">
        <w:rPr>
          <w:rFonts w:asciiTheme="majorHAnsi" w:hAnsiTheme="majorHAnsi" w:cs="Calibri"/>
          <w:sz w:val="24"/>
          <w:szCs w:val="24"/>
        </w:rPr>
        <w:t>s</w:t>
      </w:r>
      <w:r w:rsidRPr="009B622E">
        <w:rPr>
          <w:rFonts w:asciiTheme="majorHAnsi" w:hAnsiTheme="majorHAnsi" w:cs="Calibri"/>
          <w:sz w:val="24"/>
          <w:szCs w:val="24"/>
        </w:rPr>
        <w:t xml:space="preserve">pierają m.in. dbanie o naszą planetę. Dotacje otrzymały projekty, których specyfika związana jest z pracami badawczo-rozwojowych oraz odnajdowaniem rozwiązań różnych problemów społecznych. W ramach Funduszy Europejskich wsparcie otrzymało ponad 1800 projektów, w tym inicjatywy firm: </w:t>
      </w:r>
      <w:proofErr w:type="spellStart"/>
      <w:r w:rsidRPr="009B622E">
        <w:rPr>
          <w:rFonts w:asciiTheme="majorHAnsi" w:hAnsiTheme="majorHAnsi" w:cs="Calibri"/>
          <w:sz w:val="24"/>
          <w:szCs w:val="24"/>
        </w:rPr>
        <w:t>Subito</w:t>
      </w:r>
      <w:proofErr w:type="spellEnd"/>
      <w:r w:rsidRPr="009B622E">
        <w:rPr>
          <w:rFonts w:asciiTheme="majorHAnsi" w:hAnsiTheme="majorHAnsi" w:cs="Calibri"/>
          <w:sz w:val="24"/>
          <w:szCs w:val="24"/>
        </w:rPr>
        <w:t xml:space="preserve"> </w:t>
      </w:r>
      <w:proofErr w:type="spellStart"/>
      <w:r w:rsidRPr="009B622E">
        <w:rPr>
          <w:rFonts w:asciiTheme="majorHAnsi" w:hAnsiTheme="majorHAnsi" w:cs="Calibri"/>
          <w:sz w:val="24"/>
          <w:szCs w:val="24"/>
        </w:rPr>
        <w:t>Advising</w:t>
      </w:r>
      <w:proofErr w:type="spellEnd"/>
      <w:r w:rsidRPr="009B622E">
        <w:rPr>
          <w:rFonts w:asciiTheme="majorHAnsi" w:hAnsiTheme="majorHAnsi" w:cs="Calibri"/>
          <w:sz w:val="24"/>
          <w:szCs w:val="24"/>
        </w:rPr>
        <w:t xml:space="preserve">, IZOBLOK oraz </w:t>
      </w:r>
      <w:proofErr w:type="spellStart"/>
      <w:r w:rsidR="001D2CA0">
        <w:rPr>
          <w:rFonts w:asciiTheme="majorHAnsi" w:hAnsiTheme="majorHAnsi" w:cs="Calibri"/>
          <w:sz w:val="24"/>
          <w:szCs w:val="24"/>
        </w:rPr>
        <w:t>MEdical</w:t>
      </w:r>
      <w:proofErr w:type="spellEnd"/>
      <w:r w:rsidRPr="009B622E">
        <w:rPr>
          <w:rFonts w:asciiTheme="majorHAnsi" w:hAnsiTheme="majorHAnsi" w:cs="Calibri"/>
          <w:sz w:val="24"/>
          <w:szCs w:val="24"/>
        </w:rPr>
        <w:t xml:space="preserve"> </w:t>
      </w:r>
      <w:proofErr w:type="spellStart"/>
      <w:r w:rsidRPr="009B622E">
        <w:rPr>
          <w:rFonts w:asciiTheme="majorHAnsi" w:hAnsiTheme="majorHAnsi" w:cs="Calibri"/>
          <w:sz w:val="24"/>
          <w:szCs w:val="24"/>
        </w:rPr>
        <w:t>Inventi</w:t>
      </w:r>
      <w:proofErr w:type="spellEnd"/>
      <w:r w:rsidRPr="009B622E">
        <w:rPr>
          <w:rFonts w:asciiTheme="majorHAnsi" w:hAnsiTheme="majorHAnsi" w:cs="Calibri"/>
          <w:sz w:val="24"/>
          <w:szCs w:val="24"/>
        </w:rPr>
        <w:t>.</w:t>
      </w:r>
    </w:p>
    <w:p w14:paraId="5F5D2728" w14:textId="77777777" w:rsidR="009B622E" w:rsidRPr="009B622E" w:rsidRDefault="009B622E" w:rsidP="009B622E">
      <w:pPr>
        <w:pStyle w:val="Nagwek2"/>
        <w:spacing w:line="276" w:lineRule="auto"/>
        <w:rPr>
          <w:b/>
          <w:bCs/>
          <w:color w:val="000000" w:themeColor="text1"/>
          <w:sz w:val="28"/>
          <w:szCs w:val="28"/>
        </w:rPr>
      </w:pPr>
      <w:r w:rsidRPr="009B622E">
        <w:rPr>
          <w:b/>
          <w:bCs/>
          <w:color w:val="000000" w:themeColor="text1"/>
          <w:sz w:val="28"/>
          <w:szCs w:val="28"/>
        </w:rPr>
        <w:t>Startupy</w:t>
      </w:r>
    </w:p>
    <w:p w14:paraId="7E2B4B93" w14:textId="1F58642D" w:rsidR="009B622E" w:rsidRPr="009B622E" w:rsidRDefault="009B622E" w:rsidP="009B622E">
      <w:pPr>
        <w:spacing w:line="276" w:lineRule="auto"/>
        <w:rPr>
          <w:rFonts w:asciiTheme="majorHAnsi" w:hAnsiTheme="majorHAnsi" w:cs="Calibri"/>
          <w:sz w:val="24"/>
          <w:szCs w:val="24"/>
        </w:rPr>
      </w:pPr>
      <w:r w:rsidRPr="009B622E">
        <w:rPr>
          <w:rFonts w:asciiTheme="majorHAnsi" w:hAnsiTheme="majorHAnsi" w:cs="Calibri"/>
          <w:sz w:val="24"/>
          <w:szCs w:val="24"/>
        </w:rPr>
        <w:t>Na Polskim rynku działa niemal 5 tys. startupów. Wytwarzają on</w:t>
      </w:r>
      <w:r w:rsidR="00F858FD">
        <w:rPr>
          <w:rFonts w:asciiTheme="majorHAnsi" w:hAnsiTheme="majorHAnsi" w:cs="Calibri"/>
          <w:sz w:val="24"/>
          <w:szCs w:val="24"/>
        </w:rPr>
        <w:t>e</w:t>
      </w:r>
      <w:r w:rsidRPr="009B622E">
        <w:rPr>
          <w:rFonts w:asciiTheme="majorHAnsi" w:hAnsiTheme="majorHAnsi" w:cs="Calibri"/>
          <w:sz w:val="24"/>
          <w:szCs w:val="24"/>
        </w:rPr>
        <w:t xml:space="preserve"> bardzo dużą część wartości PKB. Fundusze Europejskie pomagają tym przedsiębiorstwom głównie za sprawą dwóch programów: – </w:t>
      </w:r>
      <w:r w:rsidRPr="009B622E">
        <w:rPr>
          <w:rFonts w:asciiTheme="majorHAnsi" w:hAnsiTheme="majorHAnsi" w:cs="Calibri"/>
          <w:sz w:val="24"/>
          <w:szCs w:val="24"/>
        </w:rPr>
        <w:lastRenderedPageBreak/>
        <w:t>Inteligentny Rozwój i Polska Wschodnia. W latach 2014-2020 ze wsparcia skorzystało 364 startupów. Beneficjentami byli m.in. REVA</w:t>
      </w:r>
      <w:r w:rsidR="001D2CA0">
        <w:rPr>
          <w:rFonts w:asciiTheme="majorHAnsi" w:hAnsiTheme="majorHAnsi" w:cs="Calibri"/>
          <w:sz w:val="24"/>
          <w:szCs w:val="24"/>
        </w:rPr>
        <w:t>S</w:t>
      </w:r>
      <w:r w:rsidRPr="009B622E">
        <w:rPr>
          <w:rFonts w:asciiTheme="majorHAnsi" w:hAnsiTheme="majorHAnsi" w:cs="Calibri"/>
          <w:sz w:val="24"/>
          <w:szCs w:val="24"/>
        </w:rPr>
        <w:t xml:space="preserve">, LITERACKA oraz DIGI Glass </w:t>
      </w:r>
      <w:proofErr w:type="spellStart"/>
      <w:r w:rsidRPr="009B622E">
        <w:rPr>
          <w:rFonts w:asciiTheme="majorHAnsi" w:hAnsiTheme="majorHAnsi" w:cs="Calibri"/>
          <w:sz w:val="24"/>
          <w:szCs w:val="24"/>
        </w:rPr>
        <w:t>Factory</w:t>
      </w:r>
      <w:proofErr w:type="spellEnd"/>
      <w:r w:rsidRPr="009B622E">
        <w:rPr>
          <w:rFonts w:asciiTheme="majorHAnsi" w:hAnsiTheme="majorHAnsi" w:cs="Calibri"/>
          <w:sz w:val="24"/>
          <w:szCs w:val="24"/>
        </w:rPr>
        <w:t>.</w:t>
      </w:r>
    </w:p>
    <w:p w14:paraId="5DFF3BD0" w14:textId="77777777" w:rsidR="009B622E" w:rsidRPr="009B622E" w:rsidRDefault="009B622E" w:rsidP="009B622E">
      <w:pPr>
        <w:pStyle w:val="Nagwek2"/>
        <w:spacing w:line="276" w:lineRule="auto"/>
        <w:rPr>
          <w:b/>
          <w:bCs/>
          <w:color w:val="000000" w:themeColor="text1"/>
          <w:sz w:val="28"/>
          <w:szCs w:val="28"/>
        </w:rPr>
      </w:pPr>
      <w:r w:rsidRPr="009B622E">
        <w:rPr>
          <w:b/>
          <w:bCs/>
          <w:color w:val="000000" w:themeColor="text1"/>
          <w:sz w:val="28"/>
          <w:szCs w:val="28"/>
        </w:rPr>
        <w:t>Cyfryzacja</w:t>
      </w:r>
    </w:p>
    <w:p w14:paraId="476FBB30" w14:textId="12EF1F2E" w:rsidR="009B622E" w:rsidRPr="009B622E" w:rsidRDefault="009B622E" w:rsidP="009B622E">
      <w:pPr>
        <w:spacing w:line="276" w:lineRule="auto"/>
        <w:rPr>
          <w:rFonts w:asciiTheme="majorHAnsi" w:hAnsiTheme="majorHAnsi" w:cs="Calibri"/>
          <w:sz w:val="24"/>
          <w:szCs w:val="24"/>
        </w:rPr>
      </w:pPr>
      <w:r w:rsidRPr="009B622E">
        <w:rPr>
          <w:rFonts w:asciiTheme="majorHAnsi" w:hAnsiTheme="majorHAnsi" w:cs="Calibri"/>
          <w:sz w:val="24"/>
          <w:szCs w:val="24"/>
        </w:rPr>
        <w:t xml:space="preserve">Za pośrednictwem technologii cyfrowej obywatele Unii Europejskiej mają dostęp do wielu usług podnoszących jakość życia. Ten rozwój jest możliwy dzięki wsparciu Funduszy Europejskich. Pomoc finansowa umożliwia zakup usług programistycznych, </w:t>
      </w:r>
      <w:proofErr w:type="spellStart"/>
      <w:r w:rsidRPr="009B622E">
        <w:rPr>
          <w:rFonts w:asciiTheme="majorHAnsi" w:hAnsiTheme="majorHAnsi" w:cs="Calibri"/>
          <w:sz w:val="24"/>
          <w:szCs w:val="24"/>
        </w:rPr>
        <w:t>oprogramowań</w:t>
      </w:r>
      <w:proofErr w:type="spellEnd"/>
      <w:r w:rsidRPr="009B622E">
        <w:rPr>
          <w:rFonts w:asciiTheme="majorHAnsi" w:hAnsiTheme="majorHAnsi" w:cs="Calibri"/>
          <w:sz w:val="24"/>
          <w:szCs w:val="24"/>
        </w:rPr>
        <w:t xml:space="preserve">, maszyn, urządzeń oraz sprzętu komputerowego. Dzięki wsparciu europejskiemu stworzono ponad 2700 szkoleń dotyczących cyfryzacji oraz przekazano 350 bonów na cyfryzację dla przedsiębiorstw na łączną kwotę 25 mln. euro. Wsparcie otrzymali m.in. </w:t>
      </w:r>
      <w:proofErr w:type="spellStart"/>
      <w:r w:rsidRPr="009B622E">
        <w:rPr>
          <w:rFonts w:asciiTheme="majorHAnsi" w:hAnsiTheme="majorHAnsi" w:cs="Calibri"/>
          <w:sz w:val="24"/>
          <w:szCs w:val="24"/>
        </w:rPr>
        <w:t>Relax-Med</w:t>
      </w:r>
      <w:proofErr w:type="spellEnd"/>
      <w:r w:rsidRPr="009B622E">
        <w:rPr>
          <w:rFonts w:asciiTheme="majorHAnsi" w:hAnsiTheme="majorHAnsi" w:cs="Calibri"/>
          <w:sz w:val="24"/>
          <w:szCs w:val="24"/>
        </w:rPr>
        <w:t>, Foodsoft.pl oraz EASY YACHTING.</w:t>
      </w:r>
    </w:p>
    <w:p w14:paraId="28D25FC5" w14:textId="3B786AE4" w:rsidR="00AC4FD9" w:rsidRDefault="00052881" w:rsidP="009B622E">
      <w:pPr>
        <w:spacing w:line="276" w:lineRule="auto"/>
        <w:rPr>
          <w:rFonts w:asciiTheme="majorHAnsi" w:hAnsiTheme="majorHAnsi" w:cs="Calibri"/>
          <w:sz w:val="24"/>
          <w:szCs w:val="24"/>
        </w:rPr>
      </w:pPr>
      <w:r>
        <w:rPr>
          <w:rFonts w:asciiTheme="majorHAnsi" w:hAnsiTheme="majorHAnsi" w:cs="Calibri"/>
          <w:sz w:val="24"/>
          <w:szCs w:val="24"/>
        </w:rPr>
        <w:t>–</w:t>
      </w:r>
      <w:r w:rsidR="009B622E" w:rsidRPr="009B622E">
        <w:rPr>
          <w:rFonts w:asciiTheme="majorHAnsi" w:hAnsiTheme="majorHAnsi" w:cs="Calibri"/>
          <w:sz w:val="24"/>
          <w:szCs w:val="24"/>
        </w:rPr>
        <w:t xml:space="preserve"> Fundusze Europejskie mają ogromny wpływ na rozwój Polski na wielu płaszczyznach. Przedsiębiorcy otrzymują fundusze na projekty, które trudno byłoby im zrealizować bez pomocy z zewnątrz. </w:t>
      </w:r>
      <w:r w:rsidR="00856031" w:rsidRPr="00856031">
        <w:rPr>
          <w:sz w:val="24"/>
          <w:szCs w:val="24"/>
        </w:rPr>
        <w:t>Projekty, którym zostało przyznane wsparcie, są odpowiedzią na rzeczywiste, specjalistyczne problemy z zakresu m.in. medycyny, infrastruktury, ekologii, designu, internacjonalizacji czy technologii.</w:t>
      </w:r>
      <w:r w:rsidR="00856031" w:rsidRPr="009B622E">
        <w:rPr>
          <w:rFonts w:asciiTheme="majorHAnsi" w:hAnsiTheme="majorHAnsi" w:cs="Calibri"/>
          <w:sz w:val="24"/>
          <w:szCs w:val="24"/>
        </w:rPr>
        <w:t xml:space="preserve"> </w:t>
      </w:r>
      <w:r w:rsidR="00856031" w:rsidRPr="00856031">
        <w:rPr>
          <w:sz w:val="24"/>
          <w:szCs w:val="24"/>
        </w:rPr>
        <w:t>Firmy coraz częściej podejmują ryzyko i starają się o fundusze na działania, których nikt wcześniej nie miał odwagi się podjąć.</w:t>
      </w:r>
      <w:r w:rsidR="00856031">
        <w:t xml:space="preserve"> </w:t>
      </w:r>
      <w:r w:rsidR="009B622E" w:rsidRPr="009B622E">
        <w:rPr>
          <w:rFonts w:asciiTheme="majorHAnsi" w:hAnsiTheme="majorHAnsi" w:cs="Calibri"/>
          <w:sz w:val="24"/>
          <w:szCs w:val="24"/>
        </w:rPr>
        <w:t xml:space="preserve">Cieszymy się, że tak duża ilość polskich firm zdecydowała się skorzystać z takiego wsparcia – </w:t>
      </w:r>
      <w:r w:rsidR="00E50A0C">
        <w:rPr>
          <w:rFonts w:asciiTheme="majorHAnsi" w:hAnsiTheme="majorHAnsi" w:cs="Calibri"/>
          <w:sz w:val="24"/>
          <w:szCs w:val="24"/>
        </w:rPr>
        <w:t xml:space="preserve">skomentował </w:t>
      </w:r>
      <w:r w:rsidR="00674E3A">
        <w:rPr>
          <w:rFonts w:asciiTheme="majorHAnsi" w:hAnsiTheme="majorHAnsi" w:cs="Calibri"/>
          <w:b/>
          <w:bCs/>
          <w:sz w:val="24"/>
          <w:szCs w:val="24"/>
        </w:rPr>
        <w:t xml:space="preserve">Mikołaj Różycki, </w:t>
      </w:r>
      <w:r w:rsidR="00674E3A" w:rsidRPr="004D6BB1">
        <w:rPr>
          <w:rFonts w:asciiTheme="majorHAnsi" w:hAnsiTheme="majorHAnsi" w:cs="Calibri"/>
          <w:bCs/>
          <w:sz w:val="24"/>
          <w:szCs w:val="24"/>
        </w:rPr>
        <w:t>p. o. prezesa</w:t>
      </w:r>
      <w:r w:rsidR="00E50A0C">
        <w:rPr>
          <w:rFonts w:asciiTheme="majorHAnsi" w:hAnsiTheme="majorHAnsi" w:cs="Calibri"/>
          <w:sz w:val="24"/>
          <w:szCs w:val="24"/>
        </w:rPr>
        <w:t xml:space="preserve"> PARP.</w:t>
      </w:r>
    </w:p>
    <w:p w14:paraId="15A98F23" w14:textId="7D4880C8" w:rsidR="00FD582F" w:rsidRDefault="00FD582F" w:rsidP="009B622E">
      <w:pPr>
        <w:spacing w:line="276" w:lineRule="auto"/>
        <w:rPr>
          <w:rFonts w:asciiTheme="majorHAnsi" w:hAnsiTheme="majorHAnsi" w:cs="Calibri"/>
          <w:sz w:val="24"/>
          <w:szCs w:val="24"/>
        </w:rPr>
      </w:pPr>
      <w:r>
        <w:rPr>
          <w:rFonts w:asciiTheme="majorHAnsi" w:hAnsiTheme="majorHAnsi" w:cs="Calibri"/>
          <w:sz w:val="24"/>
          <w:szCs w:val="24"/>
        </w:rPr>
        <w:t xml:space="preserve">Publikacja dostępna jest na </w:t>
      </w:r>
      <w:hyperlink r:id="rId12" w:history="1">
        <w:r w:rsidRPr="00FD582F">
          <w:rPr>
            <w:rStyle w:val="Hipercze"/>
            <w:rFonts w:asciiTheme="majorHAnsi" w:hAnsiTheme="majorHAnsi" w:cs="Calibri"/>
            <w:sz w:val="24"/>
            <w:szCs w:val="24"/>
          </w:rPr>
          <w:t>stronie</w:t>
        </w:r>
      </w:hyperlink>
      <w:r>
        <w:rPr>
          <w:rFonts w:asciiTheme="majorHAnsi" w:hAnsiTheme="majorHAnsi" w:cs="Calibri"/>
          <w:sz w:val="24"/>
          <w:szCs w:val="24"/>
        </w:rPr>
        <w:t>.</w:t>
      </w:r>
    </w:p>
    <w:p w14:paraId="721DDF2E" w14:textId="00C1C732" w:rsidR="00674E3A" w:rsidRDefault="00674E3A" w:rsidP="009B622E">
      <w:pPr>
        <w:spacing w:line="276" w:lineRule="auto"/>
        <w:rPr>
          <w:rFonts w:asciiTheme="majorHAnsi" w:hAnsiTheme="majorHAnsi" w:cs="Calibri"/>
          <w:sz w:val="24"/>
          <w:szCs w:val="24"/>
        </w:rPr>
      </w:pPr>
      <w:r>
        <w:rPr>
          <w:rFonts w:asciiTheme="majorHAnsi" w:hAnsiTheme="majorHAnsi" w:cs="Calibri"/>
          <w:sz w:val="24"/>
          <w:szCs w:val="24"/>
        </w:rPr>
        <w:t xml:space="preserve">Więcej projektów realizowanych dzięki Funduszom Europejskim można również zobaczyć na nowej wersji strony </w:t>
      </w:r>
      <w:hyperlink r:id="rId13" w:history="1">
        <w:r w:rsidRPr="00674E3A">
          <w:rPr>
            <w:rStyle w:val="Hipercze"/>
            <w:rFonts w:asciiTheme="majorHAnsi" w:hAnsiTheme="majorHAnsi" w:cs="Calibri"/>
            <w:sz w:val="24"/>
            <w:szCs w:val="24"/>
          </w:rPr>
          <w:t>„Przewodnik po sukcesach polskich firm”</w:t>
        </w:r>
      </w:hyperlink>
      <w:r>
        <w:rPr>
          <w:rFonts w:asciiTheme="majorHAnsi" w:hAnsiTheme="majorHAnsi" w:cs="Calibri"/>
          <w:sz w:val="24"/>
          <w:szCs w:val="24"/>
        </w:rPr>
        <w:t xml:space="preserve">. Zaprezentowane są tam projekty, które otrzymały dofinansowanie w ramach Programu: Inteligentny Rozwój, Polska Wschodnia oraz Wiedza Edukacja Rozwój, a także dzięki Funduszom Norweskim. </w:t>
      </w:r>
    </w:p>
    <w:p w14:paraId="12BB01DA" w14:textId="18A27E15" w:rsidR="00E50A0C" w:rsidRPr="00416EE5" w:rsidRDefault="00E50A0C" w:rsidP="009B622E">
      <w:pPr>
        <w:spacing w:line="276" w:lineRule="auto"/>
        <w:rPr>
          <w:sz w:val="24"/>
          <w:szCs w:val="24"/>
        </w:rPr>
      </w:pPr>
      <w:r>
        <w:rPr>
          <w:noProof/>
          <w:sz w:val="24"/>
          <w:szCs w:val="24"/>
        </w:rPr>
        <w:drawing>
          <wp:inline distT="0" distB="0" distL="0" distR="0" wp14:anchorId="2CCBA2C7" wp14:editId="2BD82723">
            <wp:extent cx="6120130" cy="664210"/>
            <wp:effectExtent l="0" t="0" r="1270" b="0"/>
            <wp:docPr id="7" name="Obraz 7" descr="Logotypy: Fundusze Europejskie, Rzeczpospolita Polska, Polska Agencja Rozwoju Przedsiębiorczości Grupa PFR, Unia Europejska Europejskie Fundusze Strukturalne i Inwesty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Logotypy: Fundusze Europejskie, Rzeczpospolita Polska, Polska Agencja Rozwoju Przedsiębiorczości Grupa PFR, Unia Europejska Europejskie Fundusze Strukturalne i Inwestycyjne"/>
                    <pic:cNvPicPr/>
                  </pic:nvPicPr>
                  <pic:blipFill>
                    <a:blip r:embed="rId14"/>
                    <a:stretch>
                      <a:fillRect/>
                    </a:stretch>
                  </pic:blipFill>
                  <pic:spPr>
                    <a:xfrm>
                      <a:off x="0" y="0"/>
                      <a:ext cx="6120130" cy="664210"/>
                    </a:xfrm>
                    <a:prstGeom prst="rect">
                      <a:avLst/>
                    </a:prstGeom>
                  </pic:spPr>
                </pic:pic>
              </a:graphicData>
            </a:graphic>
          </wp:inline>
        </w:drawing>
      </w:r>
    </w:p>
    <w:sectPr w:rsidR="00E50A0C" w:rsidRPr="00416EE5" w:rsidSect="00F756DA">
      <w:type w:val="continuous"/>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4ACD" w14:textId="77777777" w:rsidR="005E205B" w:rsidRDefault="005E205B">
      <w:pPr>
        <w:spacing w:after="0" w:line="240" w:lineRule="auto"/>
      </w:pPr>
      <w:r>
        <w:separator/>
      </w:r>
    </w:p>
  </w:endnote>
  <w:endnote w:type="continuationSeparator" w:id="0">
    <w:p w14:paraId="79C323A9" w14:textId="77777777" w:rsidR="005E205B" w:rsidRDefault="005E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A325" w14:textId="77777777" w:rsidR="005E205B" w:rsidRDefault="005E205B">
      <w:pPr>
        <w:spacing w:after="0" w:line="240" w:lineRule="auto"/>
      </w:pPr>
      <w:r>
        <w:separator/>
      </w:r>
    </w:p>
  </w:footnote>
  <w:footnote w:type="continuationSeparator" w:id="0">
    <w:p w14:paraId="3091FB58" w14:textId="77777777" w:rsidR="005E205B" w:rsidRDefault="005E2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3A99" w14:textId="038A28FD" w:rsidR="007C1744" w:rsidRDefault="002325E3">
    <w:pPr>
      <w:pStyle w:val="Nagwek"/>
    </w:pPr>
    <w:r>
      <w:rPr>
        <w:noProof/>
        <w:lang w:val="en-US" w:eastAsia="pl-PL"/>
      </w:rPr>
      <w:drawing>
        <wp:anchor distT="0" distB="0" distL="114300" distR="114300" simplePos="0" relativeHeight="251660288" behindDoc="1" locked="0" layoutInCell="1" allowOverlap="1" wp14:anchorId="243F28DD" wp14:editId="04FD469A">
          <wp:simplePos x="0" y="0"/>
          <wp:positionH relativeFrom="column">
            <wp:posOffset>-701040</wp:posOffset>
          </wp:positionH>
          <wp:positionV relativeFrom="paragraph">
            <wp:posOffset>-434975</wp:posOffset>
          </wp:positionV>
          <wp:extent cx="7537450" cy="9567545"/>
          <wp:effectExtent l="0" t="0" r="635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56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B6DE" w14:textId="298256E1" w:rsidR="007C1744" w:rsidRDefault="002325E3">
    <w:pPr>
      <w:pStyle w:val="Nagwek"/>
    </w:pPr>
    <w:r>
      <w:rPr>
        <w:noProof/>
        <w:lang w:val="en-US" w:eastAsia="pl-PL"/>
      </w:rPr>
      <w:drawing>
        <wp:anchor distT="0" distB="0" distL="114300" distR="114300" simplePos="0" relativeHeight="251661312" behindDoc="1" locked="0" layoutInCell="1" allowOverlap="1" wp14:anchorId="260F74D0" wp14:editId="65E8A803">
          <wp:simplePos x="0" y="0"/>
          <wp:positionH relativeFrom="margin">
            <wp:align>center</wp:align>
          </wp:positionH>
          <wp:positionV relativeFrom="paragraph">
            <wp:posOffset>-452755</wp:posOffset>
          </wp:positionV>
          <wp:extent cx="7115175" cy="9566910"/>
          <wp:effectExtent l="0" t="0" r="9525" b="0"/>
          <wp:wrapNone/>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956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0B60" w14:textId="0B824646" w:rsidR="007C1744" w:rsidRDefault="002325E3">
    <w:pPr>
      <w:pStyle w:val="Nagwek"/>
    </w:pPr>
    <w:r>
      <w:rPr>
        <w:noProof/>
        <w:lang w:val="en-US" w:eastAsia="pl-PL"/>
      </w:rPr>
      <w:drawing>
        <wp:anchor distT="0" distB="0" distL="114300" distR="114300" simplePos="0" relativeHeight="251659264" behindDoc="1" locked="0" layoutInCell="1" allowOverlap="1" wp14:anchorId="3A0110D3" wp14:editId="38D2D6AC">
          <wp:simplePos x="0" y="0"/>
          <wp:positionH relativeFrom="column">
            <wp:posOffset>-713740</wp:posOffset>
          </wp:positionH>
          <wp:positionV relativeFrom="paragraph">
            <wp:posOffset>-444500</wp:posOffset>
          </wp:positionV>
          <wp:extent cx="7542530" cy="9573895"/>
          <wp:effectExtent l="0" t="0" r="1270" b="8255"/>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9573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3489B"/>
    <w:multiLevelType w:val="hybridMultilevel"/>
    <w:tmpl w:val="FAE48DC4"/>
    <w:lvl w:ilvl="0" w:tplc="1E68F7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51432E75"/>
    <w:multiLevelType w:val="hybridMultilevel"/>
    <w:tmpl w:val="01FA3EA6"/>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 w15:restartNumberingAfterBreak="0">
    <w:nsid w:val="70C61E68"/>
    <w:multiLevelType w:val="hybridMultilevel"/>
    <w:tmpl w:val="69844CF0"/>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 w15:restartNumberingAfterBreak="0">
    <w:nsid w:val="72C00B5F"/>
    <w:multiLevelType w:val="hybridMultilevel"/>
    <w:tmpl w:val="ECEA6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3D"/>
    <w:rsid w:val="00052881"/>
    <w:rsid w:val="00081C97"/>
    <w:rsid w:val="00096144"/>
    <w:rsid w:val="000C172A"/>
    <w:rsid w:val="000F53A7"/>
    <w:rsid w:val="0010620A"/>
    <w:rsid w:val="00114FBE"/>
    <w:rsid w:val="0012487A"/>
    <w:rsid w:val="00155BAB"/>
    <w:rsid w:val="0016526B"/>
    <w:rsid w:val="001C3206"/>
    <w:rsid w:val="001D2CA0"/>
    <w:rsid w:val="002212A1"/>
    <w:rsid w:val="0023061E"/>
    <w:rsid w:val="002325E3"/>
    <w:rsid w:val="002331C4"/>
    <w:rsid w:val="00291E8B"/>
    <w:rsid w:val="0029503E"/>
    <w:rsid w:val="002C4017"/>
    <w:rsid w:val="0032710E"/>
    <w:rsid w:val="00336F70"/>
    <w:rsid w:val="00343AAD"/>
    <w:rsid w:val="00362455"/>
    <w:rsid w:val="00384B85"/>
    <w:rsid w:val="00385BED"/>
    <w:rsid w:val="003970E6"/>
    <w:rsid w:val="003A40C4"/>
    <w:rsid w:val="003A43D7"/>
    <w:rsid w:val="003A65B1"/>
    <w:rsid w:val="003B24B1"/>
    <w:rsid w:val="003B256E"/>
    <w:rsid w:val="003B5A2B"/>
    <w:rsid w:val="00416EE5"/>
    <w:rsid w:val="00484CE7"/>
    <w:rsid w:val="004850BD"/>
    <w:rsid w:val="00485B97"/>
    <w:rsid w:val="004A5A88"/>
    <w:rsid w:val="004D6BB1"/>
    <w:rsid w:val="004E185E"/>
    <w:rsid w:val="004F4A11"/>
    <w:rsid w:val="00544A66"/>
    <w:rsid w:val="00571B2A"/>
    <w:rsid w:val="005801BA"/>
    <w:rsid w:val="005E205B"/>
    <w:rsid w:val="005F1E4D"/>
    <w:rsid w:val="00600C38"/>
    <w:rsid w:val="0060342B"/>
    <w:rsid w:val="00627AE2"/>
    <w:rsid w:val="00631E77"/>
    <w:rsid w:val="0064236F"/>
    <w:rsid w:val="00674E3A"/>
    <w:rsid w:val="006764EB"/>
    <w:rsid w:val="006C5EE8"/>
    <w:rsid w:val="006C79A1"/>
    <w:rsid w:val="006D7547"/>
    <w:rsid w:val="00736FD9"/>
    <w:rsid w:val="00793D05"/>
    <w:rsid w:val="007D1C95"/>
    <w:rsid w:val="007D7EB1"/>
    <w:rsid w:val="007E435E"/>
    <w:rsid w:val="00813520"/>
    <w:rsid w:val="00856031"/>
    <w:rsid w:val="00870DF3"/>
    <w:rsid w:val="00891221"/>
    <w:rsid w:val="008A3370"/>
    <w:rsid w:val="008A4AF3"/>
    <w:rsid w:val="008C3396"/>
    <w:rsid w:val="008C41A6"/>
    <w:rsid w:val="008F174A"/>
    <w:rsid w:val="008F6A46"/>
    <w:rsid w:val="0091262D"/>
    <w:rsid w:val="00915325"/>
    <w:rsid w:val="00925945"/>
    <w:rsid w:val="00984E32"/>
    <w:rsid w:val="00990716"/>
    <w:rsid w:val="009968B5"/>
    <w:rsid w:val="009A233D"/>
    <w:rsid w:val="009B622E"/>
    <w:rsid w:val="00A03989"/>
    <w:rsid w:val="00A41C12"/>
    <w:rsid w:val="00A62B86"/>
    <w:rsid w:val="00A749B7"/>
    <w:rsid w:val="00A80513"/>
    <w:rsid w:val="00AC4FD9"/>
    <w:rsid w:val="00AC65CF"/>
    <w:rsid w:val="00B26754"/>
    <w:rsid w:val="00B50B4D"/>
    <w:rsid w:val="00B65C39"/>
    <w:rsid w:val="00B717D1"/>
    <w:rsid w:val="00B77154"/>
    <w:rsid w:val="00BE1BBB"/>
    <w:rsid w:val="00CC519E"/>
    <w:rsid w:val="00CD1371"/>
    <w:rsid w:val="00D0763E"/>
    <w:rsid w:val="00D12941"/>
    <w:rsid w:val="00D612C4"/>
    <w:rsid w:val="00D80723"/>
    <w:rsid w:val="00D96232"/>
    <w:rsid w:val="00E14005"/>
    <w:rsid w:val="00E1790B"/>
    <w:rsid w:val="00E33B09"/>
    <w:rsid w:val="00E50A0C"/>
    <w:rsid w:val="00E50DA2"/>
    <w:rsid w:val="00E745B4"/>
    <w:rsid w:val="00EC5AF8"/>
    <w:rsid w:val="00EE7A07"/>
    <w:rsid w:val="00F21983"/>
    <w:rsid w:val="00F27F6E"/>
    <w:rsid w:val="00F37FE3"/>
    <w:rsid w:val="00F76A54"/>
    <w:rsid w:val="00F80351"/>
    <w:rsid w:val="00F858FD"/>
    <w:rsid w:val="00FB6684"/>
    <w:rsid w:val="00FD582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06D9B"/>
  <w14:defaultImageDpi w14:val="300"/>
  <w15:docId w15:val="{AF6FEF62-3B17-7541-9278-93ACC608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233D"/>
    <w:pPr>
      <w:spacing w:after="160" w:line="259" w:lineRule="auto"/>
    </w:pPr>
    <w:rPr>
      <w:rFonts w:ascii="Calibri" w:eastAsia="Calibri" w:hAnsi="Calibri" w:cs="Times New Roman"/>
      <w:sz w:val="22"/>
      <w:szCs w:val="22"/>
      <w:lang w:val="pl-PL" w:eastAsia="en-US"/>
    </w:rPr>
  </w:style>
  <w:style w:type="paragraph" w:styleId="Nagwek1">
    <w:name w:val="heading 1"/>
    <w:basedOn w:val="Normalny"/>
    <w:next w:val="Normalny"/>
    <w:link w:val="Nagwek1Znak"/>
    <w:uiPriority w:val="9"/>
    <w:qFormat/>
    <w:rsid w:val="00F27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140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A233D"/>
    <w:rPr>
      <w:color w:val="0563C1"/>
      <w:u w:val="single"/>
    </w:rPr>
  </w:style>
  <w:style w:type="paragraph" w:styleId="Nagwek">
    <w:name w:val="header"/>
    <w:basedOn w:val="Normalny"/>
    <w:link w:val="NagwekZnak"/>
    <w:uiPriority w:val="99"/>
    <w:unhideWhenUsed/>
    <w:rsid w:val="009A23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233D"/>
    <w:rPr>
      <w:rFonts w:ascii="Calibri" w:eastAsia="Calibri" w:hAnsi="Calibri" w:cs="Times New Roman"/>
      <w:sz w:val="22"/>
      <w:szCs w:val="22"/>
      <w:lang w:val="pl-PL" w:eastAsia="en-US"/>
    </w:rPr>
  </w:style>
  <w:style w:type="paragraph" w:styleId="NormalnyWeb">
    <w:name w:val="Normal (Web)"/>
    <w:basedOn w:val="Normalny"/>
    <w:uiPriority w:val="99"/>
    <w:unhideWhenUsed/>
    <w:qFormat/>
    <w:rsid w:val="009A233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A233D"/>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A233D"/>
    <w:rPr>
      <w:rFonts w:ascii="Lucida Grande CE" w:eastAsia="Calibri" w:hAnsi="Lucida Grande CE" w:cs="Lucida Grande CE"/>
      <w:sz w:val="18"/>
      <w:szCs w:val="18"/>
      <w:lang w:val="pl-PL" w:eastAsia="en-US"/>
    </w:rPr>
  </w:style>
  <w:style w:type="character" w:styleId="UyteHipercze">
    <w:name w:val="FollowedHyperlink"/>
    <w:basedOn w:val="Domylnaczcionkaakapitu"/>
    <w:uiPriority w:val="99"/>
    <w:semiHidden/>
    <w:unhideWhenUsed/>
    <w:rsid w:val="00096144"/>
    <w:rPr>
      <w:color w:val="800080" w:themeColor="followedHyperlink"/>
      <w:u w:val="single"/>
    </w:rPr>
  </w:style>
  <w:style w:type="character" w:styleId="Odwoaniedokomentarza">
    <w:name w:val="annotation reference"/>
    <w:basedOn w:val="Domylnaczcionkaakapitu"/>
    <w:uiPriority w:val="99"/>
    <w:semiHidden/>
    <w:unhideWhenUsed/>
    <w:rsid w:val="00081C97"/>
    <w:rPr>
      <w:sz w:val="16"/>
      <w:szCs w:val="16"/>
    </w:rPr>
  </w:style>
  <w:style w:type="paragraph" w:styleId="Tekstkomentarza">
    <w:name w:val="annotation text"/>
    <w:basedOn w:val="Normalny"/>
    <w:link w:val="TekstkomentarzaZnak"/>
    <w:uiPriority w:val="99"/>
    <w:semiHidden/>
    <w:unhideWhenUsed/>
    <w:rsid w:val="00081C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C97"/>
    <w:rPr>
      <w:rFonts w:ascii="Calibri" w:eastAsia="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unhideWhenUsed/>
    <w:rsid w:val="00081C97"/>
    <w:rPr>
      <w:b/>
      <w:bCs/>
    </w:rPr>
  </w:style>
  <w:style w:type="character" w:customStyle="1" w:styleId="TematkomentarzaZnak">
    <w:name w:val="Temat komentarza Znak"/>
    <w:basedOn w:val="TekstkomentarzaZnak"/>
    <w:link w:val="Tematkomentarza"/>
    <w:uiPriority w:val="99"/>
    <w:semiHidden/>
    <w:rsid w:val="00081C97"/>
    <w:rPr>
      <w:rFonts w:ascii="Calibri" w:eastAsia="Calibri" w:hAnsi="Calibri" w:cs="Times New Roman"/>
      <w:b/>
      <w:bCs/>
      <w:sz w:val="20"/>
      <w:szCs w:val="20"/>
      <w:lang w:val="pl-PL" w:eastAsia="en-US"/>
    </w:rPr>
  </w:style>
  <w:style w:type="paragraph" w:styleId="Akapitzlist">
    <w:name w:val="List Paragraph"/>
    <w:basedOn w:val="Normalny"/>
    <w:uiPriority w:val="34"/>
    <w:qFormat/>
    <w:rsid w:val="00D96232"/>
    <w:pPr>
      <w:ind w:left="720"/>
      <w:contextualSpacing/>
    </w:pPr>
  </w:style>
  <w:style w:type="character" w:styleId="Nierozpoznanawzmianka">
    <w:name w:val="Unresolved Mention"/>
    <w:basedOn w:val="Domylnaczcionkaakapitu"/>
    <w:uiPriority w:val="99"/>
    <w:semiHidden/>
    <w:unhideWhenUsed/>
    <w:rsid w:val="00F27F6E"/>
    <w:rPr>
      <w:color w:val="605E5C"/>
      <w:shd w:val="clear" w:color="auto" w:fill="E1DFDD"/>
    </w:rPr>
  </w:style>
  <w:style w:type="character" w:customStyle="1" w:styleId="Nagwek1Znak">
    <w:name w:val="Nagłówek 1 Znak"/>
    <w:basedOn w:val="Domylnaczcionkaakapitu"/>
    <w:link w:val="Nagwek1"/>
    <w:uiPriority w:val="9"/>
    <w:rsid w:val="00F27F6E"/>
    <w:rPr>
      <w:rFonts w:asciiTheme="majorHAnsi" w:eastAsiaTheme="majorEastAsia" w:hAnsiTheme="majorHAnsi" w:cstheme="majorBidi"/>
      <w:color w:val="365F91" w:themeColor="accent1" w:themeShade="BF"/>
      <w:sz w:val="32"/>
      <w:szCs w:val="32"/>
      <w:lang w:val="pl-PL" w:eastAsia="en-US"/>
    </w:rPr>
  </w:style>
  <w:style w:type="character" w:customStyle="1" w:styleId="Nagwek2Znak">
    <w:name w:val="Nagłówek 2 Znak"/>
    <w:basedOn w:val="Domylnaczcionkaakapitu"/>
    <w:link w:val="Nagwek2"/>
    <w:uiPriority w:val="9"/>
    <w:rsid w:val="00E14005"/>
    <w:rPr>
      <w:rFonts w:asciiTheme="majorHAnsi" w:eastAsiaTheme="majorEastAsia" w:hAnsiTheme="majorHAnsi" w:cstheme="majorBidi"/>
      <w:color w:val="365F91" w:themeColor="accent1" w:themeShade="BF"/>
      <w:sz w:val="26"/>
      <w:szCs w:val="26"/>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8209">
      <w:bodyDiv w:val="1"/>
      <w:marLeft w:val="0"/>
      <w:marRight w:val="0"/>
      <w:marTop w:val="0"/>
      <w:marBottom w:val="0"/>
      <w:divBdr>
        <w:top w:val="none" w:sz="0" w:space="0" w:color="auto"/>
        <w:left w:val="none" w:sz="0" w:space="0" w:color="auto"/>
        <w:bottom w:val="none" w:sz="0" w:space="0" w:color="auto"/>
        <w:right w:val="none" w:sz="0" w:space="0" w:color="auto"/>
      </w:divBdr>
    </w:div>
    <w:div w:id="787701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parp.gov.pl/component/grants/practi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arp.gov.pl/component/publications/publication/ogladamy-wielkie-zmiany-projekty-zrealizowane-dzieki-funduszom-europejski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iza_sosnowska@parp.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5945</Characters>
  <Application>Microsoft Office Word</Application>
  <DocSecurity>0</DocSecurity>
  <Lines>99</Lines>
  <Paragraphs>21</Paragraphs>
  <ScaleCrop>false</ScaleCrop>
  <HeadingPairs>
    <vt:vector size="2" baseType="variant">
      <vt:variant>
        <vt:lpstr>Tytuł</vt:lpstr>
      </vt:variant>
      <vt:variant>
        <vt:i4>1</vt:i4>
      </vt:variant>
    </vt:vector>
  </HeadingPairs>
  <TitlesOfParts>
    <vt:vector size="1" baseType="lpstr">
      <vt:lpstr>Jest już dostępna publikacja przedstawiająca projekty zrealizowane z Funduszy Europejskich</vt:lpstr>
    </vt:vector>
  </TitlesOfParts>
  <Manager/>
  <Company/>
  <LinksUpToDate>false</LinksUpToDate>
  <CharactersWithSpaces>6771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Jest już dostępna publikacja przedstawiająca projekty zrealizowane z Funduszy Europejskich</dc:title>
  <dc:subject>Jest już dostępna publikacja przedstawiająca projekty zrealizowane z Funduszy Europejskich</dc:subject>
  <dc:creator>Magdalena Mikulska</dc:creator>
  <cp:keywords/>
  <dc:description/>
  <cp:lastModifiedBy>Sosnowska Luiza</cp:lastModifiedBy>
  <cp:revision>2</cp:revision>
  <cp:lastPrinted>2021-09-21T10:31:00Z</cp:lastPrinted>
  <dcterms:created xsi:type="dcterms:W3CDTF">2021-12-14T08:35:00Z</dcterms:created>
  <dcterms:modified xsi:type="dcterms:W3CDTF">2021-12-14T08:35:00Z</dcterms:modified>
  <cp:category/>
</cp:coreProperties>
</file>